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7B" w:rsidRPr="003A69AA" w:rsidRDefault="0049407B" w:rsidP="0049407B">
      <w:pPr>
        <w:spacing w:line="240" w:lineRule="auto"/>
        <w:rPr>
          <w:sz w:val="2"/>
          <w:lang w:val="fr-CH"/>
        </w:rPr>
        <w:sectPr w:rsidR="0049407B" w:rsidRPr="003A69AA" w:rsidSect="004940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49407B" w:rsidRPr="003A69AA" w:rsidRDefault="0049407B" w:rsidP="003A69A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A69AA">
        <w:rPr>
          <w:lang w:val="fr-CH"/>
        </w:rPr>
        <w:lastRenderedPageBreak/>
        <w:t>Commission économique pour l’Europe</w:t>
      </w:r>
    </w:p>
    <w:p w:rsidR="003A69AA" w:rsidRPr="003A69AA" w:rsidRDefault="003A69AA" w:rsidP="003A69A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49407B" w:rsidRPr="003A69AA" w:rsidRDefault="0049407B" w:rsidP="003A69A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3A69AA">
        <w:rPr>
          <w:b w:val="0"/>
          <w:bCs/>
          <w:lang w:val="fr-CH"/>
        </w:rPr>
        <w:t>Comité des transports intérieurs</w:t>
      </w:r>
    </w:p>
    <w:p w:rsidR="0049407B" w:rsidRPr="003A69AA" w:rsidRDefault="0049407B" w:rsidP="003A69AA">
      <w:pPr>
        <w:pStyle w:val="H1"/>
        <w:spacing w:line="120" w:lineRule="exact"/>
        <w:rPr>
          <w:b w:val="0"/>
          <w:sz w:val="10"/>
          <w:lang w:val="fr-CH"/>
        </w:rPr>
      </w:pPr>
    </w:p>
    <w:p w:rsidR="003A69AA" w:rsidRPr="003A69AA" w:rsidRDefault="003A69AA" w:rsidP="003A69A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A69AA">
        <w:rPr>
          <w:lang w:val="fr-CH"/>
        </w:rPr>
        <w:t xml:space="preserve">Forum mondial de l’harmonisation </w:t>
      </w:r>
      <w:r w:rsidRPr="003A69AA">
        <w:rPr>
          <w:lang w:val="fr-CH"/>
        </w:rPr>
        <w:br/>
        <w:t>des Règlements concernant les véhicules</w:t>
      </w:r>
    </w:p>
    <w:p w:rsidR="003A69AA" w:rsidRPr="003A69AA" w:rsidRDefault="003A69AA" w:rsidP="003A69A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3A69AA" w:rsidRPr="003A69AA" w:rsidRDefault="003A69AA" w:rsidP="003A69A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A69AA">
        <w:rPr>
          <w:lang w:val="fr-CH"/>
        </w:rPr>
        <w:t>167</w:t>
      </w:r>
      <w:r w:rsidRPr="003A69AA">
        <w:rPr>
          <w:vertAlign w:val="superscript"/>
          <w:lang w:val="fr-CH"/>
        </w:rPr>
        <w:t>e</w:t>
      </w:r>
      <w:r>
        <w:rPr>
          <w:lang w:val="fr-CH"/>
        </w:rPr>
        <w:t> </w:t>
      </w:r>
      <w:r w:rsidRPr="003A69AA">
        <w:rPr>
          <w:lang w:val="fr-CH"/>
        </w:rPr>
        <w:t>session</w:t>
      </w:r>
    </w:p>
    <w:p w:rsidR="003A69AA" w:rsidRPr="003A69AA" w:rsidRDefault="003A69AA" w:rsidP="003A69A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>
        <w:rPr>
          <w:lang w:val="fr-CH"/>
        </w:rPr>
        <w:t>Genève, 10-13 </w:t>
      </w:r>
      <w:r w:rsidRPr="003A69AA">
        <w:rPr>
          <w:lang w:val="fr-CH"/>
        </w:rPr>
        <w:t>novembre 2015</w:t>
      </w:r>
    </w:p>
    <w:p w:rsidR="003A69AA" w:rsidRPr="003A69AA" w:rsidRDefault="003A69AA" w:rsidP="003A69A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A69AA">
        <w:rPr>
          <w:lang w:val="fr-CH"/>
        </w:rPr>
        <w:t>Point 4.7.6 d</w:t>
      </w:r>
      <w:bookmarkStart w:id="1" w:name="insstart"/>
      <w:bookmarkEnd w:id="1"/>
      <w:r w:rsidRPr="003A69AA">
        <w:rPr>
          <w:lang w:val="fr-CH"/>
        </w:rPr>
        <w:t>e l’ordre du jour provisoire</w:t>
      </w:r>
    </w:p>
    <w:p w:rsidR="003A69AA" w:rsidRPr="003A69AA" w:rsidRDefault="003A69AA" w:rsidP="003A69A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A69AA">
        <w:rPr>
          <w:lang w:val="fr-CH"/>
        </w:rPr>
        <w:t xml:space="preserve">Accord de 1958 – Examen de projets d’amendements </w:t>
      </w:r>
      <w:r w:rsidRPr="003A69AA">
        <w:rPr>
          <w:lang w:val="fr-CH"/>
        </w:rPr>
        <w:br/>
        <w:t xml:space="preserve">à des Règlements existants, proposés par le GRSG </w:t>
      </w:r>
    </w:p>
    <w:p w:rsidR="003A69AA" w:rsidRPr="003A69AA" w:rsidRDefault="003A69AA" w:rsidP="003A69AA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A69AA" w:rsidRPr="003A69AA" w:rsidRDefault="003A69AA" w:rsidP="003A69AA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A69AA" w:rsidRPr="003A69AA" w:rsidRDefault="003A69AA" w:rsidP="003A69AA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A69AA" w:rsidRPr="003A69AA" w:rsidRDefault="003A69AA" w:rsidP="003A69A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A69AA">
        <w:rPr>
          <w:lang w:val="fr-CH"/>
        </w:rPr>
        <w:tab/>
      </w:r>
      <w:r w:rsidRPr="003A69AA">
        <w:rPr>
          <w:lang w:val="fr-CH"/>
        </w:rPr>
        <w:tab/>
        <w:t xml:space="preserve">Proposition de complément 8 à la série 01 </w:t>
      </w:r>
      <w:r w:rsidRPr="003A69AA">
        <w:rPr>
          <w:lang w:val="fr-CH"/>
        </w:rPr>
        <w:br/>
        <w:t>d’amendements au Règlement n</w:t>
      </w:r>
      <w:r w:rsidRPr="003A69AA">
        <w:rPr>
          <w:vertAlign w:val="superscript"/>
          <w:lang w:val="fr-CH"/>
        </w:rPr>
        <w:t>o</w:t>
      </w:r>
      <w:r w:rsidRPr="003A69AA">
        <w:rPr>
          <w:lang w:val="fr-CH"/>
        </w:rPr>
        <w:t xml:space="preserve"> 97 </w:t>
      </w:r>
      <w:r w:rsidRPr="003A69AA">
        <w:rPr>
          <w:lang w:val="fr-CH"/>
        </w:rPr>
        <w:br/>
        <w:t xml:space="preserve">(Systèmes d’alarme pour véhicule) </w:t>
      </w:r>
    </w:p>
    <w:p w:rsidR="003A69AA" w:rsidRPr="003A69AA" w:rsidRDefault="003A69AA" w:rsidP="003A69AA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A69AA" w:rsidRPr="003A69AA" w:rsidRDefault="003A69AA" w:rsidP="003A69AA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A69AA" w:rsidRPr="003A69AA" w:rsidRDefault="003A69AA" w:rsidP="003A69A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A69AA">
        <w:rPr>
          <w:lang w:val="fr-CH"/>
        </w:rPr>
        <w:tab/>
      </w:r>
      <w:r w:rsidRPr="003A69AA">
        <w:rPr>
          <w:lang w:val="fr-CH"/>
        </w:rPr>
        <w:tab/>
        <w:t xml:space="preserve">Communication du Groupe de travail des dispositions </w:t>
      </w:r>
      <w:r>
        <w:rPr>
          <w:lang w:val="fr-CH"/>
        </w:rPr>
        <w:br/>
      </w:r>
      <w:r w:rsidRPr="003A69AA">
        <w:rPr>
          <w:lang w:val="fr-CH"/>
        </w:rPr>
        <w:t>générales</w:t>
      </w:r>
      <w:r>
        <w:rPr>
          <w:lang w:val="fr-CH"/>
        </w:rPr>
        <w:t xml:space="preserve"> </w:t>
      </w:r>
      <w:r w:rsidRPr="003A69AA">
        <w:rPr>
          <w:lang w:val="fr-CH"/>
        </w:rPr>
        <w:t>de sécurité</w:t>
      </w:r>
      <w:r w:rsidRPr="003A69AA">
        <w:rPr>
          <w:rStyle w:val="FootnoteReference"/>
          <w:b w:val="0"/>
          <w:bCs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3A69AA" w:rsidRPr="003A69AA" w:rsidRDefault="003A69AA" w:rsidP="003A69AA">
      <w:pPr>
        <w:pStyle w:val="SingleTxt"/>
        <w:spacing w:after="0" w:line="120" w:lineRule="exact"/>
        <w:rPr>
          <w:sz w:val="10"/>
          <w:lang w:val="fr-CH"/>
        </w:rPr>
      </w:pPr>
    </w:p>
    <w:p w:rsidR="003A69AA" w:rsidRPr="003A69AA" w:rsidRDefault="003A69AA" w:rsidP="003A69AA">
      <w:pPr>
        <w:pStyle w:val="SingleTxt"/>
        <w:spacing w:after="0" w:line="120" w:lineRule="exact"/>
        <w:rPr>
          <w:sz w:val="10"/>
          <w:lang w:val="fr-CH"/>
        </w:rPr>
      </w:pPr>
    </w:p>
    <w:p w:rsidR="003A69AA" w:rsidRPr="003A69AA" w:rsidRDefault="003A69AA" w:rsidP="003A69AA">
      <w:pPr>
        <w:pStyle w:val="SingleTxt"/>
        <w:rPr>
          <w:b/>
          <w:lang w:val="fr-CH"/>
        </w:rPr>
      </w:pPr>
      <w:r w:rsidRPr="003A69AA">
        <w:rPr>
          <w:lang w:val="fr-CH"/>
        </w:rPr>
        <w:tab/>
        <w:t>Le texte reproduit ci-après a été adopté par le Groupe de travail des dispositions générales de sécurité (GRSG) à sa 108</w:t>
      </w:r>
      <w:r w:rsidRPr="003A69AA">
        <w:rPr>
          <w:vertAlign w:val="superscript"/>
          <w:lang w:val="fr-CH"/>
        </w:rPr>
        <w:t>e</w:t>
      </w:r>
      <w:r w:rsidRPr="003A69AA">
        <w:rPr>
          <w:lang w:val="fr-CH"/>
        </w:rPr>
        <w:t xml:space="preserve"> session (ECE/TRANS/WP.29/GRSG/87, par. 39), tenant </w:t>
      </w:r>
      <w:r>
        <w:rPr>
          <w:lang w:val="fr-CH"/>
        </w:rPr>
        <w:t xml:space="preserve">étant tenu </w:t>
      </w:r>
      <w:r w:rsidRPr="003A69AA">
        <w:rPr>
          <w:lang w:val="fr-CH"/>
        </w:rPr>
        <w:t>compte notamment des observations formulées par le Groupe de travail de l’éclairage et de la signalisation lumineuse (GRE). Il annule et remplace le document ECE/TRANS/WP.29/2015/36 et est fondé sur l’annexe II du rapport. Il est soumis au Forum mondial de l’harmonisation des Règlements concernant les véhicules (WP.29) et au Comité d’administration (AC.1) pour examen à leur</w:t>
      </w:r>
      <w:r>
        <w:rPr>
          <w:lang w:val="fr-CH"/>
        </w:rPr>
        <w:t>s</w:t>
      </w:r>
      <w:r w:rsidRPr="003A69AA">
        <w:rPr>
          <w:lang w:val="fr-CH"/>
        </w:rPr>
        <w:t xml:space="preserve"> session</w:t>
      </w:r>
      <w:r>
        <w:rPr>
          <w:lang w:val="fr-CH"/>
        </w:rPr>
        <w:t>s</w:t>
      </w:r>
      <w:r w:rsidRPr="003A69AA">
        <w:rPr>
          <w:lang w:val="fr-CH"/>
        </w:rPr>
        <w:t xml:space="preserve"> de novembre 2015.</w:t>
      </w:r>
    </w:p>
    <w:p w:rsidR="003A69AA" w:rsidRDefault="003A69AA">
      <w:pPr>
        <w:spacing w:line="240" w:lineRule="auto"/>
        <w:rPr>
          <w:lang w:val="fr-CH"/>
        </w:rPr>
      </w:pPr>
      <w:r>
        <w:rPr>
          <w:lang w:val="fr-CH"/>
        </w:rPr>
        <w:br w:type="page"/>
      </w:r>
    </w:p>
    <w:p w:rsidR="003A69AA" w:rsidRPr="003A69AA" w:rsidRDefault="003A69AA" w:rsidP="003A69AA">
      <w:pPr>
        <w:pStyle w:val="SingleTxt"/>
        <w:rPr>
          <w:iCs/>
          <w:lang w:val="fr-CH"/>
        </w:rPr>
      </w:pPr>
      <w:r w:rsidRPr="003A69AA">
        <w:rPr>
          <w:i/>
          <w:lang w:val="fr-CH"/>
        </w:rPr>
        <w:lastRenderedPageBreak/>
        <w:t>Paragraphe 6.9.1</w:t>
      </w:r>
      <w:r w:rsidRPr="003A69AA">
        <w:rPr>
          <w:lang w:val="fr-CH"/>
        </w:rPr>
        <w:t>,</w:t>
      </w:r>
      <w:r w:rsidRPr="003A69AA">
        <w:rPr>
          <w:i/>
          <w:lang w:val="fr-CH"/>
        </w:rPr>
        <w:t xml:space="preserve"> </w:t>
      </w:r>
      <w:proofErr w:type="gramStart"/>
      <w:r w:rsidRPr="003A69AA">
        <w:rPr>
          <w:lang w:val="fr-CH"/>
        </w:rPr>
        <w:t>modifier</w:t>
      </w:r>
      <w:proofErr w:type="gramEnd"/>
      <w:r w:rsidRPr="003A69AA">
        <w:rPr>
          <w:lang w:val="fr-CH"/>
        </w:rPr>
        <w:t xml:space="preserve"> comme suit</w:t>
      </w:r>
      <w:r>
        <w:rPr>
          <w:lang w:val="fr-CH"/>
        </w:rPr>
        <w:t> </w:t>
      </w:r>
      <w:r w:rsidRPr="003A69AA">
        <w:rPr>
          <w:lang w:val="fr-CH"/>
        </w:rPr>
        <w:t>:</w:t>
      </w:r>
      <w:r w:rsidRPr="003A69AA">
        <w:rPr>
          <w:i/>
          <w:lang w:val="fr-CH"/>
        </w:rPr>
        <w:t xml:space="preserve"> </w:t>
      </w:r>
    </w:p>
    <w:p w:rsidR="003A69AA" w:rsidRPr="003A69AA" w:rsidRDefault="003A69AA" w:rsidP="003A69AA">
      <w:pPr>
        <w:pStyle w:val="SingleTxt"/>
        <w:ind w:left="2218" w:hanging="951"/>
        <w:rPr>
          <w:lang w:val="fr-CH"/>
        </w:rPr>
      </w:pPr>
      <w:r w:rsidRPr="003A69AA">
        <w:rPr>
          <w:lang w:val="fr-CH"/>
        </w:rPr>
        <w:t>« 6.9.1</w:t>
      </w:r>
      <w:r w:rsidRPr="003A69AA">
        <w:rPr>
          <w:lang w:val="fr-CH"/>
        </w:rPr>
        <w:tab/>
        <w:t>Les indicateurs optiques à l’intérieur et les signaux optiques émis à l’extérieur de l’habitacle sont autorisés pour fournir des informations sur la position du SAV (activé, désactivé, temps de réglage de l’alarme, l’alarme a été actionnée). Tout signal optique émis ou toute utilisation des dispositifs d’éclairage ou de signalisation lumineuse à l’extérieur de l’habitacle doit satisfaire aux prescriptions du Règlement n</w:t>
      </w:r>
      <w:r w:rsidRPr="003A69AA">
        <w:rPr>
          <w:vertAlign w:val="superscript"/>
          <w:lang w:val="fr-CH"/>
        </w:rPr>
        <w:t>o</w:t>
      </w:r>
      <w:r w:rsidRPr="003A69AA">
        <w:rPr>
          <w:lang w:val="fr-CH"/>
        </w:rPr>
        <w:t> 48. ».</w:t>
      </w:r>
    </w:p>
    <w:p w:rsidR="003A69AA" w:rsidRPr="003A69AA" w:rsidRDefault="003A69AA" w:rsidP="003A69AA">
      <w:pPr>
        <w:pStyle w:val="SingleTxt"/>
        <w:rPr>
          <w:iCs/>
          <w:lang w:val="fr-CH"/>
        </w:rPr>
      </w:pPr>
      <w:r w:rsidRPr="003A69AA">
        <w:rPr>
          <w:i/>
          <w:lang w:val="fr-CH"/>
        </w:rPr>
        <w:t>Paragraphe 18.9.1</w:t>
      </w:r>
      <w:r w:rsidRPr="003A69AA">
        <w:rPr>
          <w:lang w:val="fr-CH"/>
        </w:rPr>
        <w:t>,</w:t>
      </w:r>
      <w:r w:rsidRPr="003A69AA">
        <w:rPr>
          <w:i/>
          <w:lang w:val="fr-CH"/>
        </w:rPr>
        <w:t xml:space="preserve"> </w:t>
      </w:r>
      <w:proofErr w:type="gramStart"/>
      <w:r w:rsidRPr="003A69AA">
        <w:rPr>
          <w:lang w:val="fr-CH"/>
        </w:rPr>
        <w:t>modifier</w:t>
      </w:r>
      <w:proofErr w:type="gramEnd"/>
      <w:r w:rsidRPr="003A69AA">
        <w:rPr>
          <w:lang w:val="fr-CH"/>
        </w:rPr>
        <w:t xml:space="preserve"> comme suit</w:t>
      </w:r>
      <w:r>
        <w:rPr>
          <w:lang w:val="fr-CH"/>
        </w:rPr>
        <w:t> </w:t>
      </w:r>
      <w:r w:rsidRPr="003A69AA">
        <w:rPr>
          <w:lang w:val="fr-CH"/>
        </w:rPr>
        <w:t>:</w:t>
      </w:r>
      <w:r w:rsidRPr="003A69AA">
        <w:rPr>
          <w:i/>
          <w:lang w:val="fr-CH"/>
        </w:rPr>
        <w:t xml:space="preserve"> </w:t>
      </w:r>
    </w:p>
    <w:p w:rsidR="003A69AA" w:rsidRPr="003A69AA" w:rsidRDefault="003A69AA" w:rsidP="003A69AA">
      <w:pPr>
        <w:pStyle w:val="SingleTxt"/>
        <w:ind w:left="2218" w:hanging="951"/>
        <w:rPr>
          <w:lang w:val="fr-CH"/>
        </w:rPr>
      </w:pPr>
      <w:r w:rsidRPr="003A69AA">
        <w:rPr>
          <w:lang w:val="fr-CH"/>
        </w:rPr>
        <w:t>« 18.9.1</w:t>
      </w:r>
      <w:r w:rsidRPr="003A69AA">
        <w:rPr>
          <w:lang w:val="fr-CH"/>
        </w:rPr>
        <w:tab/>
        <w:t>L’installation d’indicateurs optiques à l’intérieur et l’émission de signaux optiques à l’extérieur de l’habitacle sont autorisés pour fournir des informations sur la position du SA (activé, désactivé, temps de réglage de l’alarme, l’alarme a été actionnée). Tout signal optique émis ou toute utilisation des dispositifs d’éclairage ou de signalisation lumineuse à l’extérieur de l’habitacle doit satisfaire aux prescriptions du Règlement n</w:t>
      </w:r>
      <w:r w:rsidRPr="003A69AA">
        <w:rPr>
          <w:vertAlign w:val="superscript"/>
          <w:lang w:val="fr-CH"/>
        </w:rPr>
        <w:t>o</w:t>
      </w:r>
      <w:r w:rsidRPr="003A69AA">
        <w:rPr>
          <w:lang w:val="fr-CH"/>
        </w:rPr>
        <w:t> 48. ».</w:t>
      </w:r>
    </w:p>
    <w:p w:rsidR="003A69AA" w:rsidRPr="003A69AA" w:rsidRDefault="003A69AA" w:rsidP="003A69AA">
      <w:pPr>
        <w:pStyle w:val="SingleTxt"/>
        <w:rPr>
          <w:iCs/>
          <w:lang w:val="fr-CH"/>
        </w:rPr>
      </w:pPr>
      <w:r w:rsidRPr="003A69AA">
        <w:rPr>
          <w:i/>
          <w:lang w:val="fr-CH"/>
        </w:rPr>
        <w:t>Paragraphe 32.6.1</w:t>
      </w:r>
      <w:r w:rsidRPr="003A69AA">
        <w:rPr>
          <w:lang w:val="fr-CH"/>
        </w:rPr>
        <w:t>,</w:t>
      </w:r>
      <w:r w:rsidRPr="003A69AA">
        <w:rPr>
          <w:i/>
          <w:lang w:val="fr-CH"/>
        </w:rPr>
        <w:t xml:space="preserve"> </w:t>
      </w:r>
      <w:proofErr w:type="gramStart"/>
      <w:r w:rsidRPr="003A69AA">
        <w:rPr>
          <w:lang w:val="fr-CH"/>
        </w:rPr>
        <w:t>modifier</w:t>
      </w:r>
      <w:proofErr w:type="gramEnd"/>
      <w:r w:rsidRPr="003A69AA">
        <w:rPr>
          <w:lang w:val="fr-CH"/>
        </w:rPr>
        <w:t xml:space="preserve"> comme suit</w:t>
      </w:r>
      <w:r>
        <w:rPr>
          <w:lang w:val="fr-CH"/>
        </w:rPr>
        <w:t> </w:t>
      </w:r>
      <w:r w:rsidRPr="003A69AA">
        <w:rPr>
          <w:lang w:val="fr-CH"/>
        </w:rPr>
        <w:t>:</w:t>
      </w:r>
      <w:r w:rsidRPr="003A69AA">
        <w:rPr>
          <w:i/>
          <w:lang w:val="fr-CH"/>
        </w:rPr>
        <w:t xml:space="preserve"> </w:t>
      </w:r>
    </w:p>
    <w:p w:rsidR="003A69AA" w:rsidRPr="003A69AA" w:rsidRDefault="003A69AA" w:rsidP="003A69AA">
      <w:pPr>
        <w:pStyle w:val="SingleTxt"/>
        <w:ind w:left="2218" w:hanging="951"/>
        <w:rPr>
          <w:lang w:val="fr-CH"/>
        </w:rPr>
      </w:pPr>
      <w:r w:rsidRPr="003A69AA">
        <w:rPr>
          <w:lang w:val="fr-CH"/>
        </w:rPr>
        <w:t>« 32.6.1</w:t>
      </w:r>
      <w:r w:rsidRPr="003A69AA">
        <w:rPr>
          <w:lang w:val="fr-CH"/>
        </w:rPr>
        <w:tab/>
        <w:t>Les indicateurs optiques sont autorisés à l’intérieur et l’émission de signaux optiques à l’extérieur de l’habitacle pour fournir des informations sur la position du système d’immobilisation (activé, désactivé, passage d’activé à désactivé et inversement). Tout signal optique émis ou toute utilisation des dispositifs d’éclairage ou de signalisation lumineuse à l’extérieur de l’habitacle doit satisfaire aux prescriptions du Règlement n</w:t>
      </w:r>
      <w:r w:rsidRPr="003A69AA">
        <w:rPr>
          <w:vertAlign w:val="superscript"/>
          <w:lang w:val="fr-CH"/>
        </w:rPr>
        <w:t>o</w:t>
      </w:r>
      <w:r w:rsidRPr="003A69AA">
        <w:rPr>
          <w:lang w:val="fr-CH"/>
        </w:rPr>
        <w:t> 48. ».</w:t>
      </w:r>
    </w:p>
    <w:p w:rsidR="0049407B" w:rsidRPr="003A69AA" w:rsidRDefault="003A69AA" w:rsidP="003A69AA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49407B" w:rsidRPr="003A69AA" w:rsidSect="0049407B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95" w:rsidRDefault="00D51095" w:rsidP="00F3330B">
      <w:pPr>
        <w:spacing w:line="240" w:lineRule="auto"/>
      </w:pPr>
      <w:r>
        <w:separator/>
      </w:r>
    </w:p>
  </w:endnote>
  <w:endnote w:type="continuationSeparator" w:id="0">
    <w:p w:rsidR="00D51095" w:rsidRDefault="00D51095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49407B" w:rsidTr="0049407B">
      <w:trPr>
        <w:jc w:val="center"/>
      </w:trPr>
      <w:tc>
        <w:tcPr>
          <w:tcW w:w="5088" w:type="dxa"/>
          <w:shd w:val="clear" w:color="auto" w:fill="auto"/>
        </w:tcPr>
        <w:p w:rsidR="0049407B" w:rsidRPr="0049407B" w:rsidRDefault="0049407B" w:rsidP="0049407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37920">
            <w:rPr>
              <w:b w:val="0"/>
              <w:w w:val="103"/>
              <w:sz w:val="14"/>
            </w:rPr>
            <w:t>GE.15-14226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49407B" w:rsidRPr="0049407B" w:rsidRDefault="0049407B" w:rsidP="0049407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3792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3792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49407B" w:rsidRPr="0049407B" w:rsidRDefault="0049407B" w:rsidP="00494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49407B" w:rsidTr="0049407B">
      <w:trPr>
        <w:jc w:val="center"/>
      </w:trPr>
      <w:tc>
        <w:tcPr>
          <w:tcW w:w="5088" w:type="dxa"/>
          <w:shd w:val="clear" w:color="auto" w:fill="auto"/>
        </w:tcPr>
        <w:p w:rsidR="0049407B" w:rsidRPr="0049407B" w:rsidRDefault="0049407B" w:rsidP="0049407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31AC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3792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49407B" w:rsidRPr="0049407B" w:rsidRDefault="0049407B" w:rsidP="0049407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37920">
            <w:rPr>
              <w:b w:val="0"/>
              <w:w w:val="103"/>
              <w:sz w:val="14"/>
            </w:rPr>
            <w:t>GE.15-14226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9407B" w:rsidRPr="0049407B" w:rsidRDefault="0049407B" w:rsidP="004940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7B" w:rsidRDefault="0049407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F1E75B6" wp14:editId="6E968F58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8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8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49407B" w:rsidTr="0049407B">
      <w:tc>
        <w:tcPr>
          <w:tcW w:w="3859" w:type="dxa"/>
        </w:tcPr>
        <w:p w:rsidR="0049407B" w:rsidRDefault="0049407B" w:rsidP="0049407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37920">
            <w:rPr>
              <w:b w:val="0"/>
              <w:sz w:val="20"/>
            </w:rPr>
            <w:t>GE.15-14226 (F)</w:t>
          </w:r>
          <w:r>
            <w:rPr>
              <w:b w:val="0"/>
              <w:sz w:val="20"/>
            </w:rPr>
            <w:fldChar w:fldCharType="end"/>
          </w:r>
          <w:r w:rsidR="003A69AA">
            <w:rPr>
              <w:b w:val="0"/>
              <w:sz w:val="20"/>
            </w:rPr>
            <w:t xml:space="preserve">    220915    29</w:t>
          </w:r>
          <w:r>
            <w:rPr>
              <w:b w:val="0"/>
              <w:sz w:val="20"/>
            </w:rPr>
            <w:t>0915</w:t>
          </w:r>
        </w:p>
        <w:p w:rsidR="0049407B" w:rsidRPr="0049407B" w:rsidRDefault="0049407B" w:rsidP="0049407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137920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*1514226*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49407B" w:rsidRDefault="0049407B" w:rsidP="0049407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1062712" wp14:editId="04159A03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407B" w:rsidRPr="0049407B" w:rsidRDefault="0049407B" w:rsidP="0049407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95" w:rsidRPr="003E47D8" w:rsidRDefault="00D51095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D51095" w:rsidRPr="003E47D8" w:rsidRDefault="00D51095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id="1">
    <w:p w:rsidR="003A69AA" w:rsidRPr="003A69AA" w:rsidRDefault="003A69AA" w:rsidP="003A69A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3A69AA">
        <w:rPr>
          <w:rStyle w:val="FootnoteReference"/>
          <w:vertAlign w:val="baseline"/>
          <w:lang w:val="fr-CH"/>
        </w:rPr>
        <w:tab/>
        <w:t>*</w:t>
      </w:r>
      <w:r w:rsidRPr="003A69AA">
        <w:rPr>
          <w:rStyle w:val="FootnoteReference"/>
          <w:vertAlign w:val="baseline"/>
          <w:lang w:val="fr-CH"/>
        </w:rPr>
        <w:tab/>
      </w:r>
      <w:r w:rsidRPr="003A69AA">
        <w:rPr>
          <w:szCs w:val="18"/>
          <w:lang w:val="fr-CH"/>
        </w:rPr>
        <w:t>Conformément au programme de travail du Comité des transports intérieurs pour la période 2012</w:t>
      </w:r>
      <w:r>
        <w:rPr>
          <w:szCs w:val="18"/>
          <w:lang w:val="fr-CH"/>
        </w:rPr>
        <w:t>-2016 (ECE/TRANS/224, par. </w:t>
      </w:r>
      <w:r w:rsidRPr="003A69AA">
        <w:rPr>
          <w:szCs w:val="18"/>
          <w:lang w:val="fr-CH"/>
        </w:rPr>
        <w:t>94</w:t>
      </w:r>
      <w:r>
        <w:rPr>
          <w:szCs w:val="18"/>
          <w:lang w:val="fr-CH"/>
        </w:rPr>
        <w:t>,</w:t>
      </w:r>
      <w:r w:rsidRPr="003A69AA">
        <w:rPr>
          <w:szCs w:val="18"/>
          <w:lang w:val="fr-CH"/>
        </w:rPr>
        <w:t xml:space="preserve"> et ECE/TRANS/2012/12, activité 02.4), le Forum mondial</w:t>
      </w:r>
      <w:r>
        <w:rPr>
          <w:szCs w:val="18"/>
          <w:lang w:val="fr-CH"/>
        </w:rPr>
        <w:t xml:space="preserve"> </w:t>
      </w:r>
      <w:r w:rsidRPr="003A69AA">
        <w:rPr>
          <w:szCs w:val="18"/>
          <w:lang w:val="fr-CH"/>
        </w:rPr>
        <w:t>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49407B" w:rsidTr="0049407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9407B" w:rsidRPr="0049407B" w:rsidRDefault="0049407B" w:rsidP="0049407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37920">
            <w:rPr>
              <w:b/>
              <w:color w:val="000000"/>
            </w:rPr>
            <w:t>ECE/TRANS/WP.29/2015/87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49407B" w:rsidRDefault="0049407B" w:rsidP="0049407B">
          <w:pPr>
            <w:pStyle w:val="Header"/>
          </w:pPr>
        </w:p>
      </w:tc>
    </w:tr>
  </w:tbl>
  <w:p w:rsidR="0049407B" w:rsidRPr="0049407B" w:rsidRDefault="0049407B" w:rsidP="0049407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49407B" w:rsidTr="0049407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9407B" w:rsidRDefault="0049407B" w:rsidP="0049407B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49407B" w:rsidRPr="0049407B" w:rsidRDefault="0049407B" w:rsidP="0049407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37920">
            <w:rPr>
              <w:b/>
              <w:color w:val="000000"/>
            </w:rPr>
            <w:t>ECE/TRANS/WP.29/2015/87</w:t>
          </w:r>
          <w:r>
            <w:rPr>
              <w:b/>
              <w:color w:val="000000"/>
            </w:rPr>
            <w:fldChar w:fldCharType="end"/>
          </w:r>
        </w:p>
      </w:tc>
    </w:tr>
  </w:tbl>
  <w:p w:rsidR="0049407B" w:rsidRPr="0049407B" w:rsidRDefault="0049407B" w:rsidP="0049407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49407B" w:rsidRPr="003A69AA" w:rsidTr="0049407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407B" w:rsidRPr="003A69AA" w:rsidRDefault="0049407B" w:rsidP="0049407B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407B" w:rsidRPr="003A69AA" w:rsidRDefault="0049407B" w:rsidP="0049407B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3A69AA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407B" w:rsidRPr="003A69AA" w:rsidRDefault="0049407B" w:rsidP="0049407B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49407B" w:rsidRPr="003A69AA" w:rsidRDefault="0049407B" w:rsidP="0049407B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3A69AA">
            <w:rPr>
              <w:position w:val="-4"/>
              <w:sz w:val="40"/>
              <w:lang w:val="fr-CH"/>
            </w:rPr>
            <w:t>ECE</w:t>
          </w:r>
          <w:r w:rsidRPr="003A69AA">
            <w:rPr>
              <w:position w:val="-4"/>
              <w:lang w:val="fr-CH"/>
            </w:rPr>
            <w:t>/TRANS/WP.29/2015/87</w:t>
          </w:r>
        </w:p>
      </w:tc>
    </w:tr>
    <w:tr w:rsidR="0049407B" w:rsidRPr="003A69AA" w:rsidTr="0049407B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407B" w:rsidRPr="003A69AA" w:rsidRDefault="0049407B" w:rsidP="0049407B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3A69AA">
            <w:rPr>
              <w:lang w:val="fr-CH"/>
            </w:rPr>
            <w:t xml:space="preserve">  </w:t>
          </w:r>
          <w:r w:rsidRPr="003A69AA">
            <w:rPr>
              <w:noProof/>
              <w:lang w:val="en-GB" w:eastAsia="en-GB"/>
            </w:rPr>
            <w:drawing>
              <wp:inline distT="0" distB="0" distL="0" distR="0" wp14:anchorId="27342033" wp14:editId="15C419CC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407B" w:rsidRPr="003A69AA" w:rsidRDefault="0049407B" w:rsidP="0049407B">
          <w:pPr>
            <w:pStyle w:val="XLarge"/>
            <w:spacing w:before="109"/>
            <w:rPr>
              <w:lang w:val="fr-CH"/>
            </w:rPr>
          </w:pPr>
          <w:r w:rsidRPr="003A69AA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407B" w:rsidRPr="003A69AA" w:rsidRDefault="0049407B" w:rsidP="0049407B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407B" w:rsidRPr="003A69AA" w:rsidRDefault="0049407B" w:rsidP="0049407B">
          <w:pPr>
            <w:pStyle w:val="Distribution"/>
            <w:rPr>
              <w:color w:val="000000"/>
              <w:lang w:val="fr-CH"/>
            </w:rPr>
          </w:pPr>
          <w:proofErr w:type="spellStart"/>
          <w:r w:rsidRPr="003A69AA">
            <w:rPr>
              <w:color w:val="000000"/>
              <w:lang w:val="fr-CH"/>
            </w:rPr>
            <w:t>Distr</w:t>
          </w:r>
          <w:proofErr w:type="spellEnd"/>
          <w:r w:rsidRPr="003A69AA">
            <w:rPr>
              <w:color w:val="000000"/>
              <w:lang w:val="fr-CH"/>
            </w:rPr>
            <w:t>. générale</w:t>
          </w:r>
        </w:p>
        <w:p w:rsidR="0049407B" w:rsidRPr="003A69AA" w:rsidRDefault="0049407B" w:rsidP="0049407B">
          <w:pPr>
            <w:pStyle w:val="Publication"/>
            <w:rPr>
              <w:color w:val="000000"/>
              <w:lang w:val="fr-CH"/>
            </w:rPr>
          </w:pPr>
          <w:r w:rsidRPr="003A69AA">
            <w:rPr>
              <w:color w:val="000000"/>
              <w:lang w:val="fr-CH"/>
            </w:rPr>
            <w:t>24 août 2015</w:t>
          </w:r>
        </w:p>
        <w:p w:rsidR="0049407B" w:rsidRPr="003A69AA" w:rsidRDefault="0049407B" w:rsidP="0049407B">
          <w:pPr>
            <w:rPr>
              <w:lang w:val="fr-CH"/>
            </w:rPr>
          </w:pPr>
          <w:r w:rsidRPr="003A69AA">
            <w:rPr>
              <w:lang w:val="fr-CH"/>
            </w:rPr>
            <w:t>Français</w:t>
          </w:r>
        </w:p>
        <w:p w:rsidR="0049407B" w:rsidRPr="003A69AA" w:rsidRDefault="0049407B" w:rsidP="0049407B">
          <w:pPr>
            <w:pStyle w:val="Original"/>
            <w:rPr>
              <w:color w:val="000000"/>
              <w:lang w:val="fr-CH"/>
            </w:rPr>
          </w:pPr>
          <w:r w:rsidRPr="003A69AA">
            <w:rPr>
              <w:color w:val="000000"/>
              <w:lang w:val="fr-CH"/>
            </w:rPr>
            <w:t>Original : anglais</w:t>
          </w:r>
        </w:p>
      </w:tc>
    </w:tr>
  </w:tbl>
  <w:p w:rsidR="0049407B" w:rsidRPr="003A69AA" w:rsidRDefault="0049407B" w:rsidP="0049407B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26*"/>
    <w:docVar w:name="CreationDt" w:val="9/22/2015 11:31 AM"/>
    <w:docVar w:name="DocCategory" w:val="Doc"/>
    <w:docVar w:name="DocType" w:val="Final"/>
    <w:docVar w:name="DutyStation" w:val="Geneva"/>
    <w:docVar w:name="FooterJN" w:val="GE.15-14226"/>
    <w:docVar w:name="jobn" w:val="GE.15-14226 (F)"/>
    <w:docVar w:name="jobnDT" w:val="GE.15-14226 (F)   220915"/>
    <w:docVar w:name="jobnDTDT" w:val="GE.15-14226 (F)   220915   220915"/>
    <w:docVar w:name="JobNo" w:val="GE.1514226F"/>
    <w:docVar w:name="JobNo2" w:val="GE.1518791F"/>
    <w:docVar w:name="LocalDrive" w:val="0"/>
    <w:docVar w:name="OandT" w:val="N.Morin"/>
    <w:docVar w:name="PaperSize" w:val="A4"/>
    <w:docVar w:name="sss1" w:val="ECE/TRANS/WP.29/2015/87"/>
    <w:docVar w:name="sss2" w:val="-"/>
    <w:docVar w:name="Symbol1" w:val="ECE/TRANS/WP.29/2015/87"/>
    <w:docVar w:name="Symbol2" w:val="-"/>
  </w:docVars>
  <w:rsids>
    <w:rsidRoot w:val="00D51095"/>
    <w:rsid w:val="000015B8"/>
    <w:rsid w:val="000046A5"/>
    <w:rsid w:val="000055FB"/>
    <w:rsid w:val="00010C97"/>
    <w:rsid w:val="00016483"/>
    <w:rsid w:val="00022173"/>
    <w:rsid w:val="0002226F"/>
    <w:rsid w:val="00022B4A"/>
    <w:rsid w:val="00023602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3BE6"/>
    <w:rsid w:val="000746A5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47A7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37920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B2B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1ACC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A69AA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399D"/>
    <w:rsid w:val="0049407B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03F1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0FA0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56B"/>
    <w:rsid w:val="00B23797"/>
    <w:rsid w:val="00B249F3"/>
    <w:rsid w:val="00B25B74"/>
    <w:rsid w:val="00B26B93"/>
    <w:rsid w:val="00B26C0B"/>
    <w:rsid w:val="00B27126"/>
    <w:rsid w:val="00B32CDE"/>
    <w:rsid w:val="00B33ED9"/>
    <w:rsid w:val="00B34479"/>
    <w:rsid w:val="00B34D72"/>
    <w:rsid w:val="00B362BE"/>
    <w:rsid w:val="00B363A2"/>
    <w:rsid w:val="00B37213"/>
    <w:rsid w:val="00B40065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095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494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0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07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07B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494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0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07B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07B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1524-8ED8-4C5F-866B-41094745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Caillot</cp:lastModifiedBy>
  <cp:revision>3</cp:revision>
  <cp:lastPrinted>2015-10-02T08:55:00Z</cp:lastPrinted>
  <dcterms:created xsi:type="dcterms:W3CDTF">2015-10-02T08:55:00Z</dcterms:created>
  <dcterms:modified xsi:type="dcterms:W3CDTF">2015-10-02T08:55:00Z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1514226F</vt:lpwstr>
  </property>
  <property fmtid="{D5CDD505-2E9C-101B-9397-08002B2CF9AE}" pid="3" name="ODSRefJobNo">
    <vt:lpwstr>1518791F</vt:lpwstr>
  </property>
  <property fmtid="{D5CDD505-2E9C-101B-9397-08002B2CF9AE}" pid="4" name="Symbol1">
    <vt:lpwstr>ECE/TRANS/WP.29/2015/87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24 août 2015</vt:lpwstr>
  </property>
  <property fmtid="{D5CDD505-2E9C-101B-9397-08002B2CF9AE}" pid="12" name="Original">
    <vt:lpwstr>anglais</vt:lpwstr>
  </property>
  <property fmtid="{D5CDD505-2E9C-101B-9397-08002B2CF9AE}" pid="13" name="Release Date">
    <vt:lpwstr>220915</vt:lpwstr>
  </property>
</Properties>
</file>