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19" w:rsidRPr="00841E80" w:rsidRDefault="001E4919" w:rsidP="001E4919">
      <w:pPr>
        <w:tabs>
          <w:tab w:val="right" w:pos="3856"/>
          <w:tab w:val="left" w:pos="5387"/>
        </w:tabs>
        <w:suppressAutoHyphens/>
        <w:ind w:left="284"/>
        <w:jc w:val="both"/>
        <w:rPr>
          <w:rFonts w:ascii="Arial" w:hAnsi="Arial" w:cs="Arial"/>
          <w:bCs/>
          <w:noProof/>
          <w:lang w:val="de-DE"/>
        </w:rPr>
      </w:pPr>
      <w:bookmarkStart w:id="0" w:name="_GoBack"/>
      <w:bookmarkEnd w:id="0"/>
      <w:r>
        <w:rPr>
          <w:rFonts w:ascii="Arial" w:eastAsia="Arial" w:hAnsi="Arial" w:cs="Arial"/>
          <w:noProof/>
          <w:szCs w:val="24"/>
          <w:lang w:eastAsia="en-GB"/>
        </w:rPr>
        <w:drawing>
          <wp:anchor distT="0" distB="0" distL="114300" distR="114300" simplePos="0" relativeHeight="251659264" behindDoc="1" locked="0" layoutInCell="1" allowOverlap="1" wp14:anchorId="4D7820F2" wp14:editId="1494D0A3">
            <wp:simplePos x="0" y="0"/>
            <wp:positionH relativeFrom="column">
              <wp:posOffset>2753995</wp:posOffset>
            </wp:positionH>
            <wp:positionV relativeFrom="paragraph">
              <wp:posOffset>-157480</wp:posOffset>
            </wp:positionV>
            <wp:extent cx="575945" cy="3835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97D" w:rsidRPr="004C597D">
        <w:rPr>
          <w:rFonts w:ascii="Arial" w:hAnsi="Arial" w:cs="Arial"/>
          <w:b/>
          <w:snapToGrid w:val="0"/>
          <w:color w:val="808080"/>
          <w:sz w:val="14"/>
          <w:szCs w:val="24"/>
          <w:lang w:val="de-DE" w:eastAsia="fr-FR"/>
        </w:rPr>
        <w:t xml:space="preserve"> </w:t>
      </w:r>
      <w:r w:rsidR="004C597D" w:rsidRPr="00841E80">
        <w:rPr>
          <w:rFonts w:ascii="Arial" w:hAnsi="Arial" w:cs="Arial"/>
          <w:b/>
          <w:snapToGrid w:val="0"/>
          <w:color w:val="808080"/>
          <w:sz w:val="14"/>
          <w:szCs w:val="24"/>
          <w:lang w:val="de-DE" w:eastAsia="fr-FR"/>
        </w:rPr>
        <w:t>ZENTRALKOMMISSION FÜR DIE RHEINSCHIFFFAHRT</w:t>
      </w:r>
      <w:r w:rsidRPr="00841E80">
        <w:rPr>
          <w:rFonts w:ascii="Arial" w:hAnsi="Arial" w:cs="Arial"/>
          <w:bCs/>
          <w:snapToGrid w:val="0"/>
          <w:lang w:val="de-DE" w:eastAsia="de-DE"/>
        </w:rPr>
        <w:tab/>
      </w:r>
      <w:r w:rsidR="00C63D7A" w:rsidRPr="00841E80">
        <w:rPr>
          <w:rFonts w:ascii="Arial" w:hAnsi="Arial" w:cs="Arial"/>
          <w:bCs/>
          <w:snapToGrid w:val="0"/>
          <w:lang w:val="de-DE" w:eastAsia="de-DE"/>
        </w:rPr>
        <w:t>CCNR-ZKR/ADN/WP.15/AC.2/26/INF.22</w:t>
      </w:r>
    </w:p>
    <w:p w:rsidR="001E4919" w:rsidRPr="00841E80" w:rsidRDefault="001E4919" w:rsidP="001E4919">
      <w:pPr>
        <w:tabs>
          <w:tab w:val="right" w:pos="3856"/>
          <w:tab w:val="left" w:pos="5387"/>
        </w:tabs>
        <w:rPr>
          <w:rFonts w:ascii="Arial" w:eastAsia="Arial" w:hAnsi="Arial" w:cs="Arial"/>
          <w:szCs w:val="24"/>
          <w:lang w:val="de-DE" w:eastAsia="de-DE"/>
        </w:rPr>
      </w:pPr>
      <w:r w:rsidRPr="00841E80">
        <w:rPr>
          <w:rFonts w:ascii="Arial" w:eastAsia="Arial" w:hAnsi="Arial" w:cs="Arial"/>
          <w:szCs w:val="24"/>
          <w:lang w:val="de-DE" w:eastAsia="de-DE"/>
        </w:rPr>
        <w:tab/>
      </w:r>
      <w:r w:rsidRPr="00841E80">
        <w:rPr>
          <w:rFonts w:ascii="Arial" w:eastAsia="Arial" w:hAnsi="Arial" w:cs="Arial"/>
          <w:szCs w:val="24"/>
          <w:lang w:val="de-DE" w:eastAsia="de-DE"/>
        </w:rPr>
        <w:tab/>
      </w:r>
      <w:r w:rsidR="00E345A3" w:rsidRPr="00841E80">
        <w:rPr>
          <w:rFonts w:ascii="Arial" w:eastAsia="Arial" w:hAnsi="Arial" w:cs="Arial"/>
          <w:szCs w:val="24"/>
          <w:lang w:val="de-DE" w:eastAsia="de-DE"/>
        </w:rPr>
        <w:t>15. Januar 2015</w:t>
      </w:r>
    </w:p>
    <w:p w:rsidR="001E4919" w:rsidRPr="00841E80" w:rsidRDefault="001E4919" w:rsidP="001E4919">
      <w:pPr>
        <w:tabs>
          <w:tab w:val="right" w:pos="3856"/>
          <w:tab w:val="left" w:pos="5387"/>
        </w:tabs>
        <w:rPr>
          <w:rFonts w:ascii="Arial" w:hAnsi="Arial" w:cs="Arial"/>
          <w:snapToGrid w:val="0"/>
          <w:kern w:val="1"/>
          <w:lang w:val="de-DE" w:eastAsia="de-DE"/>
        </w:rPr>
      </w:pPr>
      <w:r w:rsidRPr="00841E80">
        <w:rPr>
          <w:rFonts w:ascii="Arial" w:eastAsia="Arial" w:hAnsi="Arial" w:cs="Arial"/>
          <w:szCs w:val="24"/>
          <w:lang w:val="de-DE" w:eastAsia="de-DE"/>
        </w:rPr>
        <w:tab/>
      </w:r>
      <w:r w:rsidRPr="00841E80">
        <w:rPr>
          <w:rFonts w:ascii="Arial" w:eastAsia="Arial" w:hAnsi="Arial" w:cs="Arial"/>
          <w:szCs w:val="24"/>
          <w:lang w:val="de-DE" w:eastAsia="de-DE"/>
        </w:rPr>
        <w:tab/>
      </w:r>
      <w:r w:rsidRPr="00841E80">
        <w:rPr>
          <w:rFonts w:ascii="Arial" w:eastAsia="Arial" w:hAnsi="Arial" w:cs="Arial"/>
          <w:sz w:val="16"/>
          <w:szCs w:val="24"/>
          <w:lang w:val="de-DE" w:eastAsia="de-DE"/>
        </w:rPr>
        <w:t xml:space="preserve">Or.  </w:t>
      </w:r>
      <w:r w:rsidR="00713A10">
        <w:rPr>
          <w:rFonts w:ascii="Arial" w:eastAsia="Arial" w:hAnsi="Arial" w:cs="Arial"/>
          <w:sz w:val="16"/>
          <w:szCs w:val="24"/>
          <w:lang w:val="de-DE" w:eastAsia="de-DE"/>
        </w:rPr>
        <w:t>ENGLISCH</w:t>
      </w:r>
    </w:p>
    <w:p w:rsidR="001E4919" w:rsidRPr="00841E80" w:rsidRDefault="001E4919" w:rsidP="001E4919">
      <w:pPr>
        <w:rPr>
          <w:rFonts w:ascii="Arial" w:hAnsi="Arial" w:cs="Arial"/>
          <w:sz w:val="16"/>
          <w:szCs w:val="24"/>
          <w:lang w:val="de-DE" w:eastAsia="de-DE"/>
        </w:rPr>
      </w:pPr>
    </w:p>
    <w:p w:rsidR="001E4919" w:rsidRPr="00841E80" w:rsidRDefault="001E4919" w:rsidP="001E4919">
      <w:pPr>
        <w:rPr>
          <w:rFonts w:ascii="Arial" w:hAnsi="Arial" w:cs="Arial"/>
          <w:sz w:val="16"/>
          <w:szCs w:val="24"/>
          <w:lang w:val="de-DE" w:eastAsia="de-DE"/>
        </w:rPr>
      </w:pPr>
    </w:p>
    <w:p w:rsidR="001E4919" w:rsidRPr="00841E80" w:rsidRDefault="001E4919" w:rsidP="001E4919">
      <w:pPr>
        <w:overflowPunct w:val="0"/>
        <w:autoSpaceDE w:val="0"/>
        <w:autoSpaceDN w:val="0"/>
        <w:adjustRightInd w:val="0"/>
        <w:ind w:left="4395" w:right="-286"/>
        <w:textAlignment w:val="baseline"/>
        <w:rPr>
          <w:rFonts w:ascii="Arial" w:hAnsi="Arial" w:cs="Arial"/>
          <w:snapToGrid w:val="0"/>
          <w:sz w:val="16"/>
          <w:szCs w:val="16"/>
          <w:lang w:val="de-DE" w:eastAsia="fr-FR"/>
        </w:rPr>
      </w:pPr>
      <w:r w:rsidRPr="00841E80">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1E4919" w:rsidRPr="00841E80" w:rsidRDefault="001E4919" w:rsidP="001E4919">
      <w:pPr>
        <w:overflowPunct w:val="0"/>
        <w:autoSpaceDE w:val="0"/>
        <w:autoSpaceDN w:val="0"/>
        <w:adjustRightInd w:val="0"/>
        <w:ind w:left="4395" w:right="-286"/>
        <w:textAlignment w:val="baseline"/>
        <w:rPr>
          <w:rFonts w:ascii="Arial" w:hAnsi="Arial" w:cs="Arial"/>
          <w:snapToGrid w:val="0"/>
          <w:sz w:val="16"/>
          <w:szCs w:val="16"/>
          <w:lang w:val="de-DE" w:eastAsia="fr-FR"/>
        </w:rPr>
      </w:pPr>
      <w:r w:rsidRPr="00841E80">
        <w:rPr>
          <w:rFonts w:ascii="Arial" w:hAnsi="Arial" w:cs="Arial"/>
          <w:snapToGrid w:val="0"/>
          <w:sz w:val="16"/>
          <w:szCs w:val="16"/>
          <w:lang w:val="de-DE" w:eastAsia="fr-FR"/>
        </w:rPr>
        <w:t>BEIGEFÜGTE VERORDNUNG (ADN)</w:t>
      </w:r>
    </w:p>
    <w:p w:rsidR="001E4919" w:rsidRPr="00841E80" w:rsidRDefault="001E4919" w:rsidP="001E4919">
      <w:pPr>
        <w:tabs>
          <w:tab w:val="left" w:pos="2977"/>
        </w:tabs>
        <w:ind w:left="4395"/>
        <w:rPr>
          <w:rFonts w:ascii="Arial" w:hAnsi="Arial" w:cs="Arial"/>
          <w:snapToGrid w:val="0"/>
          <w:sz w:val="16"/>
          <w:szCs w:val="16"/>
          <w:lang w:val="de-DE" w:eastAsia="fr-FR"/>
        </w:rPr>
      </w:pPr>
      <w:r w:rsidRPr="00841E80">
        <w:rPr>
          <w:rFonts w:ascii="Arial" w:hAnsi="Arial" w:cs="Arial"/>
          <w:snapToGrid w:val="0"/>
          <w:sz w:val="16"/>
          <w:szCs w:val="16"/>
          <w:lang w:val="de-DE" w:eastAsia="fr-FR"/>
        </w:rPr>
        <w:t>(SICHERHEITSAUSSCHUSS)</w:t>
      </w:r>
    </w:p>
    <w:p w:rsidR="001E4919" w:rsidRPr="00841E80" w:rsidRDefault="001E4919" w:rsidP="001E4919">
      <w:pPr>
        <w:tabs>
          <w:tab w:val="left" w:pos="2977"/>
        </w:tabs>
        <w:ind w:left="4395"/>
        <w:rPr>
          <w:rFonts w:ascii="Arial" w:hAnsi="Arial" w:cs="Arial"/>
          <w:snapToGrid w:val="0"/>
          <w:sz w:val="16"/>
          <w:szCs w:val="16"/>
          <w:lang w:val="de-DE" w:eastAsia="fr-FR"/>
        </w:rPr>
      </w:pPr>
      <w:r w:rsidRPr="00841E80">
        <w:rPr>
          <w:rFonts w:ascii="Arial" w:hAnsi="Arial" w:cs="Arial"/>
          <w:snapToGrid w:val="0"/>
          <w:sz w:val="16"/>
          <w:szCs w:val="16"/>
          <w:lang w:val="de-DE" w:eastAsia="fr-FR"/>
        </w:rPr>
        <w:t>(26. Tagung, Genf, 27. bis 30. Januar 2015)</w:t>
      </w:r>
    </w:p>
    <w:p w:rsidR="001E4919" w:rsidRPr="00841E80" w:rsidRDefault="001E4919" w:rsidP="001E4919">
      <w:pPr>
        <w:tabs>
          <w:tab w:val="left" w:pos="2977"/>
        </w:tabs>
        <w:ind w:left="4395"/>
        <w:rPr>
          <w:rFonts w:ascii="Arial" w:hAnsi="Arial" w:cs="Arial"/>
          <w:snapToGrid w:val="0"/>
          <w:sz w:val="16"/>
          <w:szCs w:val="16"/>
          <w:lang w:val="de-DE" w:eastAsia="fr-FR"/>
        </w:rPr>
      </w:pPr>
      <w:r w:rsidRPr="00841E80">
        <w:rPr>
          <w:rFonts w:ascii="Arial" w:hAnsi="Arial" w:cs="Arial"/>
          <w:snapToGrid w:val="0"/>
          <w:sz w:val="16"/>
          <w:szCs w:val="16"/>
          <w:lang w:val="de-DE" w:eastAsia="fr-FR"/>
        </w:rPr>
        <w:t>Punkt 4 c) der vorläufigen Tagesordnung</w:t>
      </w:r>
    </w:p>
    <w:p w:rsidR="004673A4" w:rsidRDefault="004673A4" w:rsidP="002816FA">
      <w:pPr>
        <w:tabs>
          <w:tab w:val="left" w:pos="2977"/>
        </w:tabs>
        <w:ind w:left="4395"/>
        <w:rPr>
          <w:rFonts w:ascii="Arial" w:hAnsi="Arial" w:cs="Arial"/>
          <w:b/>
          <w:snapToGrid w:val="0"/>
          <w:sz w:val="16"/>
          <w:szCs w:val="16"/>
          <w:lang w:val="de-DE" w:eastAsia="fr-FR"/>
        </w:rPr>
      </w:pPr>
      <w:r w:rsidRPr="004673A4">
        <w:rPr>
          <w:rFonts w:ascii="Arial" w:hAnsi="Arial" w:cs="Arial"/>
          <w:b/>
          <w:snapToGrid w:val="0"/>
          <w:sz w:val="16"/>
          <w:szCs w:val="16"/>
          <w:lang w:val="de-DE" w:eastAsia="fr-FR"/>
        </w:rPr>
        <w:t xml:space="preserve">Durchführung des ADN: </w:t>
      </w:r>
    </w:p>
    <w:p w:rsidR="00482EE6" w:rsidRPr="00841E80" w:rsidRDefault="004673A4" w:rsidP="002816FA">
      <w:pPr>
        <w:tabs>
          <w:tab w:val="left" w:pos="2977"/>
        </w:tabs>
        <w:ind w:left="4395"/>
        <w:rPr>
          <w:rFonts w:ascii="Arial" w:hAnsi="Arial" w:cs="Arial"/>
          <w:b/>
          <w:snapToGrid w:val="0"/>
          <w:sz w:val="16"/>
          <w:szCs w:val="16"/>
          <w:lang w:val="de-DE" w:eastAsia="fr-FR"/>
        </w:rPr>
      </w:pPr>
      <w:r w:rsidRPr="004673A4">
        <w:rPr>
          <w:rFonts w:ascii="Arial" w:hAnsi="Arial" w:cs="Arial"/>
          <w:b/>
          <w:snapToGrid w:val="0"/>
          <w:sz w:val="16"/>
          <w:szCs w:val="16"/>
          <w:lang w:val="de-DE" w:eastAsia="fr-FR"/>
        </w:rPr>
        <w:t>Auslegung der dem ADN beigefügten Verordnung</w:t>
      </w:r>
    </w:p>
    <w:p w:rsidR="00527344" w:rsidRPr="00327C1E" w:rsidRDefault="00482EE6" w:rsidP="00527344">
      <w:pPr>
        <w:pStyle w:val="HChG"/>
        <w:rPr>
          <w:lang w:val="de-DE"/>
        </w:rPr>
      </w:pPr>
      <w:r w:rsidRPr="00841E80">
        <w:rPr>
          <w:lang w:val="de-DE"/>
        </w:rPr>
        <w:tab/>
      </w:r>
      <w:r w:rsidRPr="00841E80">
        <w:rPr>
          <w:lang w:val="de-DE"/>
        </w:rPr>
        <w:tab/>
      </w:r>
      <w:r w:rsidR="00527344" w:rsidRPr="00327C1E">
        <w:rPr>
          <w:lang w:val="de-DE"/>
        </w:rPr>
        <w:t>Sondervorschrift 803 – Geeignete Messmethoden</w:t>
      </w:r>
    </w:p>
    <w:p w:rsidR="00527344" w:rsidRPr="00327C1E" w:rsidRDefault="00527344" w:rsidP="00527344">
      <w:pPr>
        <w:pStyle w:val="H1G"/>
        <w:rPr>
          <w:lang w:val="de-DE"/>
        </w:rPr>
      </w:pPr>
      <w:r w:rsidRPr="00327C1E">
        <w:rPr>
          <w:lang w:val="de-DE"/>
        </w:rPr>
        <w:tab/>
      </w:r>
      <w:r w:rsidRPr="00327C1E">
        <w:rPr>
          <w:lang w:val="de-DE"/>
        </w:rPr>
        <w:tab/>
        <w:t>Vorgelegt von den Niederlanden und EURACOAL</w:t>
      </w:r>
    </w:p>
    <w:p w:rsidR="00527344" w:rsidRPr="00963811" w:rsidRDefault="00527344" w:rsidP="00963811">
      <w:pPr>
        <w:pStyle w:val="HChG"/>
        <w:tabs>
          <w:tab w:val="clear" w:pos="851"/>
          <w:tab w:val="right" w:pos="567"/>
          <w:tab w:val="left" w:pos="1134"/>
        </w:tabs>
        <w:ind w:left="567" w:right="567" w:firstLine="0"/>
        <w:rPr>
          <w:sz w:val="24"/>
          <w:szCs w:val="24"/>
          <w:lang w:val="de-DE"/>
        </w:rPr>
      </w:pPr>
      <w:bookmarkStart w:id="1" w:name="OLE_LINK1"/>
      <w:r w:rsidRPr="00963811">
        <w:rPr>
          <w:sz w:val="24"/>
          <w:szCs w:val="24"/>
          <w:lang w:val="de-DE"/>
        </w:rPr>
        <w:t>I.</w:t>
      </w:r>
      <w:r w:rsidRPr="00963811">
        <w:rPr>
          <w:sz w:val="24"/>
          <w:szCs w:val="24"/>
          <w:lang w:val="de-DE"/>
        </w:rPr>
        <w:tab/>
        <w:t>Einleitung</w:t>
      </w:r>
    </w:p>
    <w:p w:rsidR="00527344" w:rsidRPr="00327C1E" w:rsidRDefault="00527344" w:rsidP="00963811">
      <w:pPr>
        <w:pStyle w:val="SingleTxtG"/>
        <w:tabs>
          <w:tab w:val="left" w:pos="1701"/>
        </w:tabs>
        <w:ind w:right="567"/>
        <w:rPr>
          <w:lang w:val="de-DE"/>
        </w:rPr>
      </w:pPr>
      <w:r w:rsidRPr="00327C1E">
        <w:rPr>
          <w:lang w:val="de-DE"/>
        </w:rPr>
        <w:t>1.</w:t>
      </w:r>
      <w:r w:rsidRPr="00327C1E">
        <w:rPr>
          <w:lang w:val="de-DE"/>
        </w:rPr>
        <w:tab/>
        <w:t>Der ADN-Sicherheitsausschuss hat in seiner fünfundzwanzigsten Sitzung im August</w:t>
      </w:r>
      <w:r w:rsidR="00963811">
        <w:rPr>
          <w:lang w:val="de-DE"/>
        </w:rPr>
        <w:t> </w:t>
      </w:r>
      <w:r w:rsidRPr="00327C1E">
        <w:rPr>
          <w:lang w:val="de-DE"/>
        </w:rPr>
        <w:t xml:space="preserve">2014 den in Dokument ECE/TRANS/WP.15/AC.2/2014/50 enthaltenen Vorschlag Deutschlands angenommen. Dieser Vorschlag sieht eine Änderung der gemäß ADN 2015 geltenden Sondervorschrift 803 für die Beförderung von Kohle in loser Schüttung </w:t>
      </w:r>
      <w:r w:rsidR="008504AC">
        <w:rPr>
          <w:lang w:val="de-DE"/>
        </w:rPr>
        <w:br/>
      </w:r>
      <w:r w:rsidRPr="00327C1E">
        <w:rPr>
          <w:lang w:val="de-DE"/>
        </w:rPr>
        <w:t>(UN-Nr.</w:t>
      </w:r>
      <w:r w:rsidR="008504AC">
        <w:rPr>
          <w:lang w:val="de-DE"/>
        </w:rPr>
        <w:t> </w:t>
      </w:r>
      <w:r w:rsidRPr="00327C1E">
        <w:rPr>
          <w:lang w:val="de-DE"/>
        </w:rPr>
        <w:t>1361) vor und führt den Ausdruck „geeignete Mess</w:t>
      </w:r>
      <w:r w:rsidR="007E6E3A" w:rsidRPr="00327C1E">
        <w:rPr>
          <w:lang w:val="de-DE"/>
        </w:rPr>
        <w:softHyphen/>
      </w:r>
      <w:r w:rsidRPr="00327C1E">
        <w:rPr>
          <w:lang w:val="de-DE"/>
        </w:rPr>
        <w:t>methoden“ ein (ECE/TRANS/WP.15/AC.2/52, Abs. 21).</w:t>
      </w:r>
    </w:p>
    <w:p w:rsidR="00527344" w:rsidRPr="00327C1E" w:rsidRDefault="00527344" w:rsidP="00963811">
      <w:pPr>
        <w:pStyle w:val="SingleTxtG"/>
        <w:tabs>
          <w:tab w:val="left" w:pos="1701"/>
        </w:tabs>
        <w:ind w:right="567"/>
        <w:rPr>
          <w:lang w:val="de-DE"/>
        </w:rPr>
      </w:pPr>
      <w:r w:rsidRPr="00327C1E">
        <w:rPr>
          <w:lang w:val="de-DE"/>
        </w:rPr>
        <w:t xml:space="preserve">2. </w:t>
      </w:r>
      <w:r w:rsidRPr="00327C1E">
        <w:rPr>
          <w:lang w:val="de-DE"/>
        </w:rPr>
        <w:tab/>
        <w:t xml:space="preserve">Die niederländische Delegation äußerte den Wunsch nach einer genaueren Klärung dieses Ausdrucks. Ohne eine solche Klärung würde nach Ansicht der niederländischen Delegation in den Niederlanden eine Diskussion zwischen den Umschlagstellen und den Untersuchungskommissionen drohen. </w:t>
      </w:r>
    </w:p>
    <w:p w:rsidR="00527344" w:rsidRDefault="00527344" w:rsidP="00963811">
      <w:pPr>
        <w:pStyle w:val="SingleTxtG"/>
        <w:tabs>
          <w:tab w:val="left" w:pos="1701"/>
        </w:tabs>
        <w:ind w:right="567"/>
        <w:rPr>
          <w:lang w:val="de-DE"/>
        </w:rPr>
      </w:pPr>
      <w:r w:rsidRPr="00327C1E">
        <w:rPr>
          <w:lang w:val="de-DE"/>
        </w:rPr>
        <w:t>3.</w:t>
      </w:r>
      <w:r w:rsidRPr="00327C1E">
        <w:rPr>
          <w:lang w:val="de-DE"/>
        </w:rPr>
        <w:tab/>
        <w:t>Auf Vorschlag des Vorsitzes hat der Sicherheitsausschuss die Niederlande aufgefordert, zwecks einer solchen Klärung für die nächste Sitzung zusammen mit EURACOAL ein entsprechendes Dokument vorzubereiten.</w:t>
      </w:r>
    </w:p>
    <w:p w:rsidR="003C237B" w:rsidRPr="00327C1E" w:rsidRDefault="003C237B" w:rsidP="00963811">
      <w:pPr>
        <w:pStyle w:val="SingleTxtG"/>
        <w:tabs>
          <w:tab w:val="left" w:pos="1701"/>
        </w:tabs>
        <w:ind w:right="567"/>
        <w:rPr>
          <w:lang w:val="de-DE"/>
        </w:rPr>
      </w:pPr>
    </w:p>
    <w:p w:rsidR="00527344" w:rsidRPr="00327C1E" w:rsidRDefault="00527344" w:rsidP="00963811">
      <w:pPr>
        <w:pStyle w:val="SingleTxtG"/>
        <w:tabs>
          <w:tab w:val="left" w:pos="9072"/>
        </w:tabs>
        <w:ind w:right="567" w:hanging="567"/>
        <w:jc w:val="left"/>
        <w:rPr>
          <w:b/>
          <w:sz w:val="24"/>
          <w:szCs w:val="24"/>
          <w:lang w:val="de-DE"/>
        </w:rPr>
      </w:pPr>
      <w:r w:rsidRPr="00327C1E">
        <w:rPr>
          <w:b/>
          <w:sz w:val="24"/>
          <w:szCs w:val="24"/>
          <w:lang w:val="de-DE"/>
        </w:rPr>
        <w:t xml:space="preserve">II. </w:t>
      </w:r>
      <w:r w:rsidRPr="00327C1E">
        <w:rPr>
          <w:b/>
          <w:sz w:val="24"/>
          <w:szCs w:val="24"/>
          <w:lang w:val="de-DE"/>
        </w:rPr>
        <w:tab/>
        <w:t>Vorschlag</w:t>
      </w:r>
    </w:p>
    <w:p w:rsidR="00527344" w:rsidRPr="00327C1E" w:rsidRDefault="00527344" w:rsidP="00963811">
      <w:pPr>
        <w:pStyle w:val="SingleTxtG"/>
        <w:tabs>
          <w:tab w:val="left" w:pos="1701"/>
        </w:tabs>
        <w:ind w:right="567"/>
        <w:rPr>
          <w:lang w:val="de-DE"/>
        </w:rPr>
      </w:pPr>
      <w:r w:rsidRPr="00327C1E">
        <w:rPr>
          <w:lang w:val="de-DE"/>
        </w:rPr>
        <w:t xml:space="preserve">4. </w:t>
      </w:r>
      <w:r w:rsidRPr="00327C1E">
        <w:rPr>
          <w:lang w:val="de-DE"/>
        </w:rPr>
        <w:tab/>
        <w:t>Um zu bestimmen, was unter einer „geeigneten Messmethode“ zu verstehen ist, möchten die niederländische Delegation und EURACOAL die an Umschlagstellen verwendeten Methoden und Messeinrichtungen einbeziehen. Diese umfassen die Verwendung einer Thermolanze, einer Thermokamera oder ähnlicher Geräte.</w:t>
      </w:r>
    </w:p>
    <w:p w:rsidR="00527344" w:rsidRPr="00327C1E" w:rsidRDefault="00527344" w:rsidP="00963811">
      <w:pPr>
        <w:pStyle w:val="SingleTxtG"/>
        <w:tabs>
          <w:tab w:val="left" w:pos="1701"/>
        </w:tabs>
        <w:ind w:right="567"/>
        <w:rPr>
          <w:lang w:val="de-DE"/>
        </w:rPr>
      </w:pPr>
      <w:r w:rsidRPr="00327C1E">
        <w:rPr>
          <w:lang w:val="de-DE"/>
        </w:rPr>
        <w:t xml:space="preserve">5. </w:t>
      </w:r>
      <w:r w:rsidRPr="00327C1E">
        <w:rPr>
          <w:lang w:val="de-DE"/>
        </w:rPr>
        <w:tab/>
        <w:t>Folgende Messmethoden finden derzeit Anwendung:</w:t>
      </w:r>
    </w:p>
    <w:p w:rsidR="00527344" w:rsidRPr="00327C1E" w:rsidRDefault="00527344" w:rsidP="00963811">
      <w:pPr>
        <w:pStyle w:val="SingleTxtG"/>
        <w:tabs>
          <w:tab w:val="left" w:pos="1701"/>
        </w:tabs>
        <w:ind w:right="567"/>
        <w:rPr>
          <w:lang w:val="de-DE"/>
        </w:rPr>
      </w:pPr>
      <w:r w:rsidRPr="00327C1E">
        <w:rPr>
          <w:lang w:val="de-DE"/>
        </w:rPr>
        <w:t>a)</w:t>
      </w:r>
      <w:r w:rsidRPr="00327C1E">
        <w:rPr>
          <w:lang w:val="de-DE"/>
        </w:rPr>
        <w:tab/>
        <w:t>Messen der Steinkohle-, Koks- und Anthrazitkohletemperatur vor der Verladung mit einer in die Halde eingeführten Thermolanze oder einer Infrarot-Kamera.</w:t>
      </w:r>
    </w:p>
    <w:p w:rsidR="00527344" w:rsidRPr="00327C1E" w:rsidRDefault="00527344" w:rsidP="00963811">
      <w:pPr>
        <w:pStyle w:val="SingleTxtG"/>
        <w:tabs>
          <w:tab w:val="left" w:pos="1701"/>
        </w:tabs>
        <w:ind w:right="567"/>
        <w:rPr>
          <w:lang w:val="de-DE"/>
        </w:rPr>
      </w:pPr>
      <w:r w:rsidRPr="00327C1E">
        <w:rPr>
          <w:lang w:val="de-DE"/>
        </w:rPr>
        <w:t>b)</w:t>
      </w:r>
      <w:r w:rsidRPr="00327C1E">
        <w:rPr>
          <w:lang w:val="de-DE"/>
        </w:rPr>
        <w:tab/>
        <w:t>Messen der Steinkohle-, Koks- und Anthrazitkohletemperatur während der Verladung:</w:t>
      </w:r>
      <w:r w:rsidR="007E6E3A" w:rsidRPr="00327C1E">
        <w:rPr>
          <w:lang w:val="de-DE"/>
        </w:rPr>
        <w:t xml:space="preserve"> </w:t>
      </w:r>
      <w:r w:rsidRPr="00327C1E">
        <w:rPr>
          <w:lang w:val="de-DE"/>
        </w:rPr>
        <w:t>Bei Verwendung eines Transportbands wird z. B. an das Bandende ein Wärmefühler angebracht oder es wird eine Infrarot-Kamera eingesetzt;</w:t>
      </w:r>
    </w:p>
    <w:p w:rsidR="00527344" w:rsidRPr="00327C1E" w:rsidRDefault="007E6E3A" w:rsidP="00963811">
      <w:pPr>
        <w:pStyle w:val="SingleTxtG"/>
        <w:tabs>
          <w:tab w:val="left" w:pos="1701"/>
        </w:tabs>
        <w:ind w:right="567"/>
        <w:rPr>
          <w:lang w:val="de-DE"/>
        </w:rPr>
      </w:pPr>
      <w:r w:rsidRPr="00327C1E">
        <w:rPr>
          <w:lang w:val="de-DE"/>
        </w:rPr>
        <w:t>c)</w:t>
      </w:r>
      <w:r w:rsidRPr="00327C1E">
        <w:rPr>
          <w:lang w:val="de-DE"/>
        </w:rPr>
        <w:tab/>
      </w:r>
      <w:r w:rsidR="00527344" w:rsidRPr="00327C1E">
        <w:rPr>
          <w:lang w:val="de-DE"/>
        </w:rPr>
        <w:t>Messen der Steinkohle-, Koks- und Anthrazitkohletemperatur nach der Ver</w:t>
      </w:r>
      <w:r w:rsidRPr="00327C1E">
        <w:rPr>
          <w:lang w:val="de-DE"/>
        </w:rPr>
        <w:softHyphen/>
      </w:r>
      <w:r w:rsidR="00527344" w:rsidRPr="00327C1E">
        <w:rPr>
          <w:lang w:val="de-DE"/>
        </w:rPr>
        <w:t>ladung mit einer in die Ladung eingeführten Thermolanze oder einer Infrarot-Kamera.</w:t>
      </w:r>
    </w:p>
    <w:p w:rsidR="00527344" w:rsidRPr="00327C1E" w:rsidRDefault="00527344" w:rsidP="00963811">
      <w:pPr>
        <w:pStyle w:val="SingleTxtG"/>
        <w:tabs>
          <w:tab w:val="left" w:pos="1134"/>
          <w:tab w:val="left" w:pos="1701"/>
          <w:tab w:val="left" w:pos="9072"/>
        </w:tabs>
        <w:ind w:right="567" w:hanging="567"/>
        <w:jc w:val="left"/>
        <w:rPr>
          <w:b/>
          <w:sz w:val="24"/>
          <w:szCs w:val="24"/>
          <w:lang w:val="de-DE"/>
        </w:rPr>
      </w:pPr>
      <w:r w:rsidRPr="00327C1E">
        <w:rPr>
          <w:b/>
          <w:sz w:val="24"/>
          <w:szCs w:val="24"/>
          <w:lang w:val="de-DE"/>
        </w:rPr>
        <w:br w:type="page"/>
      </w:r>
      <w:r w:rsidRPr="00327C1E">
        <w:rPr>
          <w:b/>
          <w:sz w:val="24"/>
          <w:szCs w:val="24"/>
          <w:lang w:val="de-DE"/>
        </w:rPr>
        <w:lastRenderedPageBreak/>
        <w:t xml:space="preserve">III. </w:t>
      </w:r>
      <w:r w:rsidRPr="00327C1E">
        <w:rPr>
          <w:b/>
          <w:sz w:val="24"/>
          <w:szCs w:val="24"/>
          <w:lang w:val="de-DE"/>
        </w:rPr>
        <w:tab/>
        <w:t>Zusätzlich: Messeinrichtung an Bord (nur für die Niederlande)</w:t>
      </w:r>
    </w:p>
    <w:p w:rsidR="00527344" w:rsidRPr="00327C1E" w:rsidRDefault="00527344" w:rsidP="00963811">
      <w:pPr>
        <w:pStyle w:val="SingleTxtG"/>
        <w:tabs>
          <w:tab w:val="left" w:pos="1701"/>
        </w:tabs>
        <w:ind w:right="567"/>
        <w:rPr>
          <w:lang w:val="de-DE"/>
        </w:rPr>
      </w:pPr>
      <w:r w:rsidRPr="00327C1E">
        <w:rPr>
          <w:lang w:val="de-DE"/>
        </w:rPr>
        <w:t xml:space="preserve">6. </w:t>
      </w:r>
      <w:r w:rsidRPr="00327C1E">
        <w:rPr>
          <w:lang w:val="de-DE"/>
        </w:rPr>
        <w:tab/>
        <w:t xml:space="preserve">Sondervorschrift 803 Buchstabe c verpflichtet den Frachtführer, die Temperatur der Ladung zu messen, wenn die Beförderungsdauer mehr als 20 Tage beträgt. </w:t>
      </w:r>
    </w:p>
    <w:p w:rsidR="00527344" w:rsidRPr="00327C1E" w:rsidRDefault="00527344" w:rsidP="00963811">
      <w:pPr>
        <w:pStyle w:val="SingleTxtG"/>
        <w:tabs>
          <w:tab w:val="left" w:pos="1701"/>
        </w:tabs>
        <w:ind w:right="567"/>
        <w:rPr>
          <w:lang w:val="de-DE"/>
        </w:rPr>
      </w:pPr>
      <w:r w:rsidRPr="00327C1E">
        <w:rPr>
          <w:lang w:val="de-DE"/>
        </w:rPr>
        <w:t xml:space="preserve">7. </w:t>
      </w:r>
      <w:r w:rsidRPr="00327C1E">
        <w:rPr>
          <w:lang w:val="de-DE"/>
        </w:rPr>
        <w:tab/>
        <w:t xml:space="preserve">Nach Ansicht der niederländischen Delegation bedeutet dies nicht, dass sich an Bord des Schiffes ständig eine Messeinrichtung befinden muss. Für den Fall, dass die Temperatur der Ladung gemäß Sondervorschrift 803 Buchstabe c gemessen werden muss und das Schiff keine geeignete Messeinrichtung an Bord hat, muss der Schiffsführer den Frachtführer informieren und unverzüglich die notwendige Messeinrichtung besorgen. </w:t>
      </w:r>
    </w:p>
    <w:p w:rsidR="00527344" w:rsidRPr="00327C1E" w:rsidRDefault="00527344" w:rsidP="00963811">
      <w:pPr>
        <w:pStyle w:val="SingleTxtG"/>
        <w:tabs>
          <w:tab w:val="left" w:pos="1701"/>
        </w:tabs>
        <w:ind w:right="567"/>
        <w:rPr>
          <w:lang w:val="de-DE"/>
        </w:rPr>
      </w:pPr>
      <w:r w:rsidRPr="00327C1E">
        <w:rPr>
          <w:lang w:val="de-DE"/>
        </w:rPr>
        <w:t>8.</w:t>
      </w:r>
      <w:r w:rsidRPr="00327C1E">
        <w:rPr>
          <w:lang w:val="de-DE"/>
        </w:rPr>
        <w:tab/>
        <w:t>Die niederländische Delegation würde gerne erfahren, ob gegen diese Auslegung Bedenken bestehen.</w:t>
      </w:r>
      <w:bookmarkEnd w:id="1"/>
    </w:p>
    <w:p w:rsidR="00C63D7A" w:rsidRPr="00327C1E" w:rsidRDefault="00C63D7A" w:rsidP="00963811">
      <w:pPr>
        <w:suppressAutoHyphens/>
        <w:ind w:right="567"/>
        <w:jc w:val="both"/>
        <w:rPr>
          <w:lang w:val="de-DE"/>
        </w:rPr>
      </w:pPr>
    </w:p>
    <w:p w:rsidR="001E4919" w:rsidRPr="00C63D7A" w:rsidRDefault="001E4919" w:rsidP="00963811">
      <w:pPr>
        <w:ind w:right="567"/>
        <w:jc w:val="center"/>
        <w:rPr>
          <w:lang w:val="de-DE"/>
        </w:rPr>
      </w:pPr>
      <w:r w:rsidRPr="00327C1E">
        <w:rPr>
          <w:lang w:val="de-DE"/>
        </w:rPr>
        <w:t>***</w:t>
      </w:r>
    </w:p>
    <w:sectPr w:rsidR="001E4919" w:rsidRPr="00C63D7A" w:rsidSect="00C63D7A">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7A" w:rsidRDefault="00C63D7A" w:rsidP="00C63D7A">
      <w:r>
        <w:separator/>
      </w:r>
    </w:p>
  </w:endnote>
  <w:endnote w:type="continuationSeparator" w:id="0">
    <w:p w:rsidR="00C63D7A" w:rsidRDefault="00C63D7A" w:rsidP="00C6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Pr="00C63D7A" w:rsidRDefault="00841E80" w:rsidP="00C63D7A">
    <w:pPr>
      <w:suppressAutoHyphens/>
      <w:jc w:val="right"/>
      <w:rPr>
        <w:lang w:val="nl-NL"/>
      </w:rPr>
    </w:pPr>
    <w:r>
      <w:rPr>
        <w:rFonts w:ascii="Arial" w:hAnsi="Arial" w:cs="Arial"/>
        <w:sz w:val="12"/>
        <w:szCs w:val="12"/>
        <w:lang w:val="nl-NL" w:eastAsia="fr-FR"/>
      </w:rPr>
      <w:t>mm_ba/adn_wp15_ac2_26_INF.22de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7A" w:rsidRDefault="00C63D7A" w:rsidP="00C63D7A">
      <w:r>
        <w:separator/>
      </w:r>
    </w:p>
  </w:footnote>
  <w:footnote w:type="continuationSeparator" w:id="0">
    <w:p w:rsidR="00C63D7A" w:rsidRDefault="00C63D7A" w:rsidP="00C6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Pr="0019115F" w:rsidRDefault="00C63D7A" w:rsidP="00C63D7A">
    <w:pPr>
      <w:tabs>
        <w:tab w:val="center" w:pos="4320"/>
        <w:tab w:val="right" w:pos="8640"/>
      </w:tabs>
      <w:rPr>
        <w:rFonts w:ascii="Arial" w:hAnsi="Arial"/>
        <w:sz w:val="16"/>
        <w:szCs w:val="24"/>
        <w:lang w:val="en-US" w:eastAsia="fr-FR"/>
      </w:rPr>
    </w:pPr>
    <w:r w:rsidRPr="0019115F">
      <w:rPr>
        <w:rFonts w:ascii="Arial" w:hAnsi="Arial"/>
        <w:sz w:val="16"/>
        <w:szCs w:val="24"/>
        <w:lang w:val="en-US" w:eastAsia="fr-FR"/>
      </w:rPr>
      <w:t>CCNR-ZKR/ADN/WP.15/AC.2/2</w:t>
    </w:r>
    <w:r>
      <w:rPr>
        <w:rFonts w:ascii="Arial" w:hAnsi="Arial"/>
        <w:sz w:val="16"/>
        <w:szCs w:val="24"/>
        <w:lang w:val="en-US" w:eastAsia="fr-FR"/>
      </w:rPr>
      <w:t>6</w:t>
    </w:r>
    <w:r w:rsidRPr="0019115F">
      <w:rPr>
        <w:rFonts w:ascii="Arial" w:hAnsi="Arial"/>
        <w:sz w:val="16"/>
        <w:szCs w:val="24"/>
        <w:lang w:val="en-US" w:eastAsia="fr-FR"/>
      </w:rPr>
      <w:t>/</w:t>
    </w:r>
    <w:r>
      <w:rPr>
        <w:rFonts w:ascii="Arial" w:hAnsi="Arial"/>
        <w:sz w:val="16"/>
        <w:szCs w:val="24"/>
        <w:lang w:val="en-US" w:eastAsia="fr-FR"/>
      </w:rPr>
      <w:t>INF.</w:t>
    </w:r>
    <w:r w:rsidR="005E5400">
      <w:rPr>
        <w:rFonts w:ascii="Arial" w:hAnsi="Arial"/>
        <w:sz w:val="16"/>
        <w:szCs w:val="24"/>
        <w:lang w:val="en-US" w:eastAsia="fr-FR"/>
      </w:rPr>
      <w:t>2</w:t>
    </w:r>
    <w:r w:rsidR="00527344">
      <w:rPr>
        <w:rFonts w:ascii="Arial" w:hAnsi="Arial"/>
        <w:sz w:val="16"/>
        <w:szCs w:val="24"/>
        <w:lang w:val="en-US" w:eastAsia="fr-FR"/>
      </w:rPr>
      <w:t>2</w:t>
    </w:r>
  </w:p>
  <w:p w:rsidR="00C63D7A" w:rsidRPr="0019115F" w:rsidRDefault="00C63D7A" w:rsidP="00C63D7A">
    <w:pPr>
      <w:tabs>
        <w:tab w:val="center" w:pos="4320"/>
        <w:tab w:val="right" w:pos="8640"/>
      </w:tabs>
      <w:rPr>
        <w:rFonts w:ascii="Arial" w:hAnsi="Arial"/>
        <w:sz w:val="16"/>
        <w:szCs w:val="24"/>
        <w:lang w:val="de-DE" w:eastAsia="fr-FR"/>
      </w:rPr>
    </w:pPr>
    <w:r>
      <w:rPr>
        <w:rFonts w:ascii="Arial" w:hAnsi="Arial"/>
        <w:sz w:val="16"/>
        <w:szCs w:val="24"/>
        <w:lang w:val="de-DE" w:eastAsia="fr-FR"/>
      </w:rPr>
      <w:t>Seite</w:t>
    </w:r>
    <w:r w:rsidRPr="0019115F">
      <w:rPr>
        <w:rFonts w:ascii="Arial" w:hAnsi="Arial"/>
        <w:sz w:val="16"/>
        <w:szCs w:val="24"/>
        <w:lang w:val="de-DE" w:eastAsia="fr-FR"/>
      </w:rPr>
      <w:t xml:space="preserve"> </w:t>
    </w:r>
    <w:r w:rsidRPr="0019115F">
      <w:rPr>
        <w:rFonts w:ascii="Arial" w:hAnsi="Arial"/>
        <w:sz w:val="16"/>
        <w:szCs w:val="24"/>
        <w:lang w:val="de-DE" w:eastAsia="fr-FR"/>
      </w:rPr>
      <w:fldChar w:fldCharType="begin"/>
    </w:r>
    <w:r w:rsidRPr="0019115F">
      <w:rPr>
        <w:rFonts w:ascii="Arial" w:hAnsi="Arial"/>
        <w:sz w:val="16"/>
        <w:szCs w:val="24"/>
        <w:lang w:val="de-DE" w:eastAsia="fr-FR"/>
      </w:rPr>
      <w:instrText xml:space="preserve"> PAGE  \* MERGEFORMAT </w:instrText>
    </w:r>
    <w:r w:rsidRPr="0019115F">
      <w:rPr>
        <w:rFonts w:ascii="Arial" w:hAnsi="Arial"/>
        <w:sz w:val="16"/>
        <w:szCs w:val="24"/>
        <w:lang w:val="de-DE" w:eastAsia="fr-FR"/>
      </w:rPr>
      <w:fldChar w:fldCharType="separate"/>
    </w:r>
    <w:r w:rsidR="00EB0A8F">
      <w:rPr>
        <w:rFonts w:ascii="Arial" w:hAnsi="Arial"/>
        <w:noProof/>
        <w:sz w:val="16"/>
        <w:szCs w:val="24"/>
        <w:lang w:val="de-DE" w:eastAsia="fr-FR"/>
      </w:rPr>
      <w:t>2</w:t>
    </w:r>
    <w:r w:rsidRPr="0019115F">
      <w:rPr>
        <w:rFonts w:ascii="Arial" w:hAnsi="Arial"/>
        <w:sz w:val="16"/>
        <w:szCs w:val="24"/>
        <w:lang w:val="de-DE" w:eastAsia="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19"/>
    <w:rsid w:val="00001B75"/>
    <w:rsid w:val="00012615"/>
    <w:rsid w:val="0007197E"/>
    <w:rsid w:val="0009215A"/>
    <w:rsid w:val="00092532"/>
    <w:rsid w:val="000C6E63"/>
    <w:rsid w:val="001518EB"/>
    <w:rsid w:val="001E4919"/>
    <w:rsid w:val="002547CB"/>
    <w:rsid w:val="002816FA"/>
    <w:rsid w:val="002C0A6F"/>
    <w:rsid w:val="0032039F"/>
    <w:rsid w:val="0032235E"/>
    <w:rsid w:val="00327C1E"/>
    <w:rsid w:val="00333905"/>
    <w:rsid w:val="0035152D"/>
    <w:rsid w:val="003C237B"/>
    <w:rsid w:val="00444FC4"/>
    <w:rsid w:val="00451CF0"/>
    <w:rsid w:val="004662B3"/>
    <w:rsid w:val="004673A4"/>
    <w:rsid w:val="00482EE6"/>
    <w:rsid w:val="004C0A87"/>
    <w:rsid w:val="004C597D"/>
    <w:rsid w:val="004E0D4D"/>
    <w:rsid w:val="00527344"/>
    <w:rsid w:val="00532C9A"/>
    <w:rsid w:val="0054034A"/>
    <w:rsid w:val="00591A7D"/>
    <w:rsid w:val="005C3EC5"/>
    <w:rsid w:val="005E5400"/>
    <w:rsid w:val="00604226"/>
    <w:rsid w:val="00615EBF"/>
    <w:rsid w:val="00621E0F"/>
    <w:rsid w:val="00643AEA"/>
    <w:rsid w:val="006446B8"/>
    <w:rsid w:val="00684DCE"/>
    <w:rsid w:val="006B3E8C"/>
    <w:rsid w:val="006E3F6F"/>
    <w:rsid w:val="00713A10"/>
    <w:rsid w:val="00720315"/>
    <w:rsid w:val="00720658"/>
    <w:rsid w:val="00751575"/>
    <w:rsid w:val="00757B88"/>
    <w:rsid w:val="007B0C80"/>
    <w:rsid w:val="007E6E3A"/>
    <w:rsid w:val="007F3731"/>
    <w:rsid w:val="00841E80"/>
    <w:rsid w:val="008504AC"/>
    <w:rsid w:val="008D6164"/>
    <w:rsid w:val="008E0C4F"/>
    <w:rsid w:val="00963811"/>
    <w:rsid w:val="009E0927"/>
    <w:rsid w:val="00A03AAF"/>
    <w:rsid w:val="00AA24B9"/>
    <w:rsid w:val="00AC0203"/>
    <w:rsid w:val="00B4533C"/>
    <w:rsid w:val="00C63D7A"/>
    <w:rsid w:val="00D205D8"/>
    <w:rsid w:val="00D60A81"/>
    <w:rsid w:val="00DB57E7"/>
    <w:rsid w:val="00E345A3"/>
    <w:rsid w:val="00EB0A8F"/>
    <w:rsid w:val="00ED557F"/>
    <w:rsid w:val="00F57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91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4">
    <w:name w:val="N4"/>
    <w:basedOn w:val="Normal"/>
    <w:rsid w:val="00A03AAF"/>
    <w:pPr>
      <w:widowControl w:val="0"/>
      <w:tabs>
        <w:tab w:val="left" w:pos="284"/>
        <w:tab w:val="left" w:pos="454"/>
        <w:tab w:val="left" w:pos="680"/>
        <w:tab w:val="left" w:pos="1418"/>
      </w:tabs>
      <w:overflowPunct w:val="0"/>
      <w:autoSpaceDE w:val="0"/>
      <w:autoSpaceDN w:val="0"/>
      <w:adjustRightInd w:val="0"/>
      <w:jc w:val="both"/>
      <w:textAlignment w:val="baseline"/>
    </w:pPr>
    <w:rPr>
      <w:sz w:val="22"/>
      <w:lang w:val="nl-NL"/>
    </w:rPr>
  </w:style>
  <w:style w:type="paragraph" w:styleId="Header">
    <w:name w:val="header"/>
    <w:basedOn w:val="Normal"/>
    <w:link w:val="HeaderChar"/>
    <w:rsid w:val="00C63D7A"/>
    <w:pPr>
      <w:tabs>
        <w:tab w:val="center" w:pos="4536"/>
        <w:tab w:val="right" w:pos="9072"/>
      </w:tabs>
    </w:pPr>
  </w:style>
  <w:style w:type="character" w:customStyle="1" w:styleId="HeaderChar">
    <w:name w:val="Header Char"/>
    <w:basedOn w:val="DefaultParagraphFont"/>
    <w:link w:val="Header"/>
    <w:rsid w:val="00C63D7A"/>
    <w:rPr>
      <w:lang w:val="en-GB" w:eastAsia="en-US"/>
    </w:rPr>
  </w:style>
  <w:style w:type="paragraph" w:styleId="Footer">
    <w:name w:val="footer"/>
    <w:basedOn w:val="Normal"/>
    <w:link w:val="FooterChar"/>
    <w:rsid w:val="00C63D7A"/>
    <w:pPr>
      <w:tabs>
        <w:tab w:val="center" w:pos="4536"/>
        <w:tab w:val="right" w:pos="9072"/>
      </w:tabs>
    </w:pPr>
  </w:style>
  <w:style w:type="character" w:customStyle="1" w:styleId="FooterChar">
    <w:name w:val="Footer Char"/>
    <w:basedOn w:val="DefaultParagraphFont"/>
    <w:link w:val="Footer"/>
    <w:rsid w:val="00C63D7A"/>
    <w:rPr>
      <w:lang w:val="en-GB" w:eastAsia="en-US"/>
    </w:rPr>
  </w:style>
  <w:style w:type="paragraph" w:customStyle="1" w:styleId="HChG">
    <w:name w:val="_ H _Ch_G"/>
    <w:basedOn w:val="Normal"/>
    <w:next w:val="Normal"/>
    <w:rsid w:val="00527344"/>
    <w:pPr>
      <w:keepNext/>
      <w:keepLines/>
      <w:tabs>
        <w:tab w:val="right" w:pos="851"/>
      </w:tabs>
      <w:suppressAutoHyphens/>
      <w:spacing w:before="360" w:after="240" w:line="300" w:lineRule="exact"/>
      <w:ind w:left="1134" w:right="1134" w:hanging="1134"/>
    </w:pPr>
    <w:rPr>
      <w:b/>
      <w:sz w:val="28"/>
      <w:lang w:eastAsia="en-GB"/>
    </w:rPr>
  </w:style>
  <w:style w:type="paragraph" w:customStyle="1" w:styleId="H1G">
    <w:name w:val="_ H_1_G"/>
    <w:basedOn w:val="Normal"/>
    <w:next w:val="Normal"/>
    <w:rsid w:val="00527344"/>
    <w:pPr>
      <w:keepNext/>
      <w:keepLines/>
      <w:tabs>
        <w:tab w:val="right" w:pos="851"/>
      </w:tabs>
      <w:suppressAutoHyphens/>
      <w:spacing w:before="360" w:after="240" w:line="270" w:lineRule="exact"/>
      <w:ind w:left="1134" w:right="1134" w:hanging="1134"/>
    </w:pPr>
    <w:rPr>
      <w:b/>
      <w:sz w:val="24"/>
      <w:lang w:eastAsia="en-GB"/>
    </w:rPr>
  </w:style>
  <w:style w:type="character" w:customStyle="1" w:styleId="SingleTxtGChar">
    <w:name w:val="_ Single Txt_G Char"/>
    <w:link w:val="SingleTxtG"/>
    <w:locked/>
    <w:rsid w:val="00527344"/>
    <w:rPr>
      <w:lang w:val="en-GB" w:eastAsia="en-GB"/>
    </w:rPr>
  </w:style>
  <w:style w:type="paragraph" w:customStyle="1" w:styleId="SingleTxtG">
    <w:name w:val="_ Single Txt_G"/>
    <w:basedOn w:val="Normal"/>
    <w:link w:val="SingleTxtGChar"/>
    <w:rsid w:val="00527344"/>
    <w:pPr>
      <w:suppressAutoHyphens/>
      <w:spacing w:after="120" w:line="240" w:lineRule="atLeast"/>
      <w:ind w:left="1134" w:right="1134"/>
      <w:jc w:val="both"/>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91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4">
    <w:name w:val="N4"/>
    <w:basedOn w:val="Normal"/>
    <w:rsid w:val="00A03AAF"/>
    <w:pPr>
      <w:widowControl w:val="0"/>
      <w:tabs>
        <w:tab w:val="left" w:pos="284"/>
        <w:tab w:val="left" w:pos="454"/>
        <w:tab w:val="left" w:pos="680"/>
        <w:tab w:val="left" w:pos="1418"/>
      </w:tabs>
      <w:overflowPunct w:val="0"/>
      <w:autoSpaceDE w:val="0"/>
      <w:autoSpaceDN w:val="0"/>
      <w:adjustRightInd w:val="0"/>
      <w:jc w:val="both"/>
      <w:textAlignment w:val="baseline"/>
    </w:pPr>
    <w:rPr>
      <w:sz w:val="22"/>
      <w:lang w:val="nl-NL"/>
    </w:rPr>
  </w:style>
  <w:style w:type="paragraph" w:styleId="Header">
    <w:name w:val="header"/>
    <w:basedOn w:val="Normal"/>
    <w:link w:val="HeaderChar"/>
    <w:rsid w:val="00C63D7A"/>
    <w:pPr>
      <w:tabs>
        <w:tab w:val="center" w:pos="4536"/>
        <w:tab w:val="right" w:pos="9072"/>
      </w:tabs>
    </w:pPr>
  </w:style>
  <w:style w:type="character" w:customStyle="1" w:styleId="HeaderChar">
    <w:name w:val="Header Char"/>
    <w:basedOn w:val="DefaultParagraphFont"/>
    <w:link w:val="Header"/>
    <w:rsid w:val="00C63D7A"/>
    <w:rPr>
      <w:lang w:val="en-GB" w:eastAsia="en-US"/>
    </w:rPr>
  </w:style>
  <w:style w:type="paragraph" w:styleId="Footer">
    <w:name w:val="footer"/>
    <w:basedOn w:val="Normal"/>
    <w:link w:val="FooterChar"/>
    <w:rsid w:val="00C63D7A"/>
    <w:pPr>
      <w:tabs>
        <w:tab w:val="center" w:pos="4536"/>
        <w:tab w:val="right" w:pos="9072"/>
      </w:tabs>
    </w:pPr>
  </w:style>
  <w:style w:type="character" w:customStyle="1" w:styleId="FooterChar">
    <w:name w:val="Footer Char"/>
    <w:basedOn w:val="DefaultParagraphFont"/>
    <w:link w:val="Footer"/>
    <w:rsid w:val="00C63D7A"/>
    <w:rPr>
      <w:lang w:val="en-GB" w:eastAsia="en-US"/>
    </w:rPr>
  </w:style>
  <w:style w:type="paragraph" w:customStyle="1" w:styleId="HChG">
    <w:name w:val="_ H _Ch_G"/>
    <w:basedOn w:val="Normal"/>
    <w:next w:val="Normal"/>
    <w:rsid w:val="00527344"/>
    <w:pPr>
      <w:keepNext/>
      <w:keepLines/>
      <w:tabs>
        <w:tab w:val="right" w:pos="851"/>
      </w:tabs>
      <w:suppressAutoHyphens/>
      <w:spacing w:before="360" w:after="240" w:line="300" w:lineRule="exact"/>
      <w:ind w:left="1134" w:right="1134" w:hanging="1134"/>
    </w:pPr>
    <w:rPr>
      <w:b/>
      <w:sz w:val="28"/>
      <w:lang w:eastAsia="en-GB"/>
    </w:rPr>
  </w:style>
  <w:style w:type="paragraph" w:customStyle="1" w:styleId="H1G">
    <w:name w:val="_ H_1_G"/>
    <w:basedOn w:val="Normal"/>
    <w:next w:val="Normal"/>
    <w:rsid w:val="00527344"/>
    <w:pPr>
      <w:keepNext/>
      <w:keepLines/>
      <w:tabs>
        <w:tab w:val="right" w:pos="851"/>
      </w:tabs>
      <w:suppressAutoHyphens/>
      <w:spacing w:before="360" w:after="240" w:line="270" w:lineRule="exact"/>
      <w:ind w:left="1134" w:right="1134" w:hanging="1134"/>
    </w:pPr>
    <w:rPr>
      <w:b/>
      <w:sz w:val="24"/>
      <w:lang w:eastAsia="en-GB"/>
    </w:rPr>
  </w:style>
  <w:style w:type="character" w:customStyle="1" w:styleId="SingleTxtGChar">
    <w:name w:val="_ Single Txt_G Char"/>
    <w:link w:val="SingleTxtG"/>
    <w:locked/>
    <w:rsid w:val="00527344"/>
    <w:rPr>
      <w:lang w:val="en-GB" w:eastAsia="en-GB"/>
    </w:rPr>
  </w:style>
  <w:style w:type="paragraph" w:customStyle="1" w:styleId="SingleTxtG">
    <w:name w:val="_ Single Txt_G"/>
    <w:basedOn w:val="Normal"/>
    <w:link w:val="SingleTxtGChar"/>
    <w:rsid w:val="00527344"/>
    <w:pPr>
      <w:suppressAutoHyphens/>
      <w:spacing w:after="120" w:line="240" w:lineRule="atLeast"/>
      <w:ind w:left="1134" w:right="1134"/>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Caillot</cp:lastModifiedBy>
  <cp:revision>2</cp:revision>
  <cp:lastPrinted>2015-01-22T14:17:00Z</cp:lastPrinted>
  <dcterms:created xsi:type="dcterms:W3CDTF">2015-01-22T15:18:00Z</dcterms:created>
  <dcterms:modified xsi:type="dcterms:W3CDTF">2015-01-22T15:18:00Z</dcterms:modified>
</cp:coreProperties>
</file>