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DB" w:rsidRPr="00CB5C81" w:rsidRDefault="00EF2ACA" w:rsidP="005E05DB">
      <w:pPr>
        <w:suppressAutoHyphens w:val="0"/>
        <w:spacing w:line="240" w:lineRule="auto"/>
        <w:ind w:left="5387" w:right="-286"/>
        <w:outlineLvl w:val="0"/>
        <w:rPr>
          <w:rFonts w:ascii="Arial" w:hAnsi="Arial"/>
          <w:snapToGrid w:val="0"/>
          <w:lang w:val="en-US" w:bidi="fr-FR"/>
        </w:rPr>
      </w:pPr>
      <w:bookmarkStart w:id="0" w:name="_GoBack"/>
      <w:bookmarkEnd w:id="0"/>
      <w:r>
        <w:rPr>
          <w:noProof/>
          <w:lang w:val="en-GB" w:eastAsia="en-GB"/>
        </w:rPr>
        <w:drawing>
          <wp:anchor distT="0" distB="0" distL="114300" distR="114300" simplePos="0" relativeHeight="251657728" behindDoc="0" locked="0" layoutInCell="1" allowOverlap="1" wp14:anchorId="637A4AAB" wp14:editId="658F6579">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5DB" w:rsidRPr="00CB5C81">
        <w:rPr>
          <w:rFonts w:ascii="Arial" w:eastAsia="Arial" w:hAnsi="Arial" w:cs="Arial"/>
          <w:bCs/>
          <w:szCs w:val="24"/>
          <w:lang w:val="en-US" w:eastAsia="de-DE"/>
        </w:rPr>
        <w:t>CCNR-ZKR/ADN/WP.15/AC.2/2015/</w:t>
      </w:r>
      <w:r w:rsidR="00D44E0D">
        <w:rPr>
          <w:rFonts w:ascii="Arial" w:eastAsia="Arial" w:hAnsi="Arial" w:cs="Arial"/>
          <w:bCs/>
          <w:szCs w:val="24"/>
          <w:lang w:val="en-US" w:eastAsia="de-DE"/>
        </w:rPr>
        <w:t>33</w:t>
      </w:r>
    </w:p>
    <w:p w:rsidR="005E05DB" w:rsidRPr="00CB5C81" w:rsidRDefault="005E05DB" w:rsidP="005E05DB">
      <w:pPr>
        <w:tabs>
          <w:tab w:val="left" w:pos="5670"/>
        </w:tabs>
        <w:suppressAutoHyphens w:val="0"/>
        <w:spacing w:line="240" w:lineRule="auto"/>
        <w:ind w:left="5387"/>
        <w:rPr>
          <w:rFonts w:ascii="Arial" w:hAnsi="Arial" w:cs="Arial"/>
          <w:sz w:val="16"/>
          <w:szCs w:val="24"/>
          <w:lang w:val="de-DE" w:eastAsia="de-DE"/>
        </w:rPr>
      </w:pPr>
      <w:r w:rsidRPr="00CB5C81">
        <w:rPr>
          <w:rFonts w:ascii="Arial" w:hAnsi="Arial" w:cs="Arial"/>
          <w:sz w:val="16"/>
          <w:szCs w:val="24"/>
          <w:lang w:val="de-DE" w:eastAsia="de-DE"/>
        </w:rPr>
        <w:t>Allgemeine Verteilung</w:t>
      </w:r>
    </w:p>
    <w:p w:rsidR="005E05DB" w:rsidRPr="00CB5C81" w:rsidRDefault="00D44E0D" w:rsidP="005E05DB">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4</w:t>
      </w:r>
      <w:r w:rsidR="005E05DB" w:rsidRPr="00CB5C81">
        <w:rPr>
          <w:rFonts w:ascii="Arial" w:eastAsia="Arial" w:hAnsi="Arial" w:cs="Arial"/>
          <w:szCs w:val="24"/>
          <w:lang w:val="de-DE" w:eastAsia="de-DE"/>
        </w:rPr>
        <w:t xml:space="preserve">. </w:t>
      </w:r>
      <w:r>
        <w:rPr>
          <w:rFonts w:ascii="Arial" w:eastAsia="Arial" w:hAnsi="Arial" w:cs="Arial"/>
          <w:szCs w:val="24"/>
          <w:lang w:val="de-DE" w:eastAsia="de-DE"/>
        </w:rPr>
        <w:t>Juni</w:t>
      </w:r>
      <w:r w:rsidR="005E05DB" w:rsidRPr="00CB5C81">
        <w:rPr>
          <w:rFonts w:ascii="Arial" w:eastAsia="Arial" w:hAnsi="Arial" w:cs="Arial"/>
          <w:szCs w:val="24"/>
          <w:lang w:val="de-DE" w:eastAsia="de-DE"/>
        </w:rPr>
        <w:t xml:space="preserve"> 2015</w:t>
      </w:r>
    </w:p>
    <w:p w:rsidR="005E05DB" w:rsidRPr="00CB5C81" w:rsidRDefault="005E05DB" w:rsidP="005E05DB">
      <w:pPr>
        <w:tabs>
          <w:tab w:val="right" w:pos="3856"/>
          <w:tab w:val="left" w:pos="5670"/>
        </w:tabs>
        <w:suppressAutoHyphens w:val="0"/>
        <w:spacing w:line="240" w:lineRule="auto"/>
        <w:ind w:left="5387" w:right="565"/>
        <w:rPr>
          <w:rFonts w:ascii="Arial" w:hAnsi="Arial" w:cs="Arial"/>
          <w:snapToGrid w:val="0"/>
          <w:kern w:val="1"/>
          <w:lang w:val="de-DE" w:eastAsia="de-DE"/>
        </w:rPr>
      </w:pPr>
      <w:r w:rsidRPr="00CB5C81">
        <w:rPr>
          <w:rFonts w:ascii="Arial" w:eastAsia="Arial" w:hAnsi="Arial" w:cs="Arial"/>
          <w:sz w:val="16"/>
          <w:szCs w:val="24"/>
          <w:lang w:val="de-DE" w:eastAsia="de-DE"/>
        </w:rPr>
        <w:t>Or. DEUTSCH</w:t>
      </w:r>
    </w:p>
    <w:p w:rsidR="005E05DB" w:rsidRPr="00CB5C81" w:rsidRDefault="005E05DB" w:rsidP="005E05DB">
      <w:pPr>
        <w:suppressAutoHyphens w:val="0"/>
        <w:spacing w:line="240" w:lineRule="auto"/>
        <w:rPr>
          <w:rFonts w:ascii="Arial" w:hAnsi="Arial" w:cs="Arial"/>
          <w:sz w:val="16"/>
          <w:szCs w:val="24"/>
          <w:lang w:val="de-DE" w:eastAsia="de-DE"/>
        </w:rPr>
      </w:pPr>
    </w:p>
    <w:p w:rsidR="005E05DB" w:rsidRPr="00CB5C81" w:rsidRDefault="005E05DB" w:rsidP="005E05DB">
      <w:pPr>
        <w:suppressAutoHyphens w:val="0"/>
        <w:spacing w:line="240" w:lineRule="auto"/>
        <w:rPr>
          <w:rFonts w:ascii="Arial" w:hAnsi="Arial" w:cs="Arial"/>
          <w:sz w:val="16"/>
          <w:szCs w:val="24"/>
          <w:lang w:val="de-DE" w:eastAsia="de-DE"/>
        </w:rPr>
      </w:pP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GEMEINSAME EXPERTENTAGUNG FÜR DIE DEM</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ÜBEREINKOMMEN ÜBER DIE INTERNATIONALE BEFÖRDERUNG</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VON GEFÄHRLICHEN GÜTERN AUF BINNENWASSERSTRASSEN</w:t>
      </w:r>
    </w:p>
    <w:p w:rsidR="00274776" w:rsidRPr="00E8760A" w:rsidRDefault="00274776" w:rsidP="00274776">
      <w:pPr>
        <w:tabs>
          <w:tab w:val="left" w:pos="2977"/>
        </w:tabs>
        <w:suppressAutoHyphens w:val="0"/>
        <w:spacing w:line="240" w:lineRule="auto"/>
        <w:ind w:left="3958"/>
        <w:rPr>
          <w:rFonts w:ascii="Arial" w:hAnsi="Arial"/>
          <w:snapToGrid w:val="0"/>
          <w:position w:val="2"/>
          <w:sz w:val="16"/>
          <w:szCs w:val="24"/>
          <w:lang w:val="de-DE"/>
        </w:rPr>
      </w:pPr>
      <w:r w:rsidRPr="00E8760A">
        <w:rPr>
          <w:rFonts w:ascii="Arial" w:hAnsi="Arial"/>
          <w:noProof/>
          <w:snapToGrid w:val="0"/>
          <w:sz w:val="16"/>
          <w:szCs w:val="24"/>
          <w:lang w:val="de-DE"/>
        </w:rPr>
        <w:t>BEIGEFÜGTE VERORDNUNG (ADN)</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position w:val="2"/>
          <w:sz w:val="16"/>
          <w:szCs w:val="24"/>
          <w:lang w:val="de-DE"/>
        </w:rPr>
        <w:t>(SICHERHEITSAUSSCHUSS)</w:t>
      </w:r>
    </w:p>
    <w:p w:rsidR="00274776" w:rsidRDefault="00274776" w:rsidP="00274776">
      <w:pPr>
        <w:tabs>
          <w:tab w:val="left" w:pos="2977"/>
        </w:tabs>
        <w:suppressAutoHyphens w:val="0"/>
        <w:spacing w:line="240" w:lineRule="auto"/>
        <w:ind w:left="3960"/>
        <w:rPr>
          <w:rFonts w:ascii="Arial" w:hAnsi="Arial"/>
          <w:noProof/>
          <w:snapToGrid w:val="0"/>
          <w:sz w:val="16"/>
          <w:szCs w:val="24"/>
          <w:lang w:val="de-DE"/>
        </w:rPr>
      </w:pPr>
      <w:r w:rsidRPr="00E8760A">
        <w:rPr>
          <w:rFonts w:ascii="Arial" w:hAnsi="Arial"/>
          <w:snapToGrid w:val="0"/>
          <w:sz w:val="16"/>
          <w:szCs w:val="24"/>
          <w:lang w:val="de-DE"/>
        </w:rPr>
        <w:t>(2</w:t>
      </w:r>
      <w:r w:rsidR="00324350">
        <w:rPr>
          <w:rFonts w:ascii="Arial" w:hAnsi="Arial"/>
          <w:snapToGrid w:val="0"/>
          <w:sz w:val="16"/>
          <w:szCs w:val="24"/>
          <w:lang w:val="de-DE"/>
        </w:rPr>
        <w:t>7</w:t>
      </w:r>
      <w:r w:rsidRPr="00E8760A">
        <w:rPr>
          <w:rFonts w:ascii="Arial" w:hAnsi="Arial"/>
          <w:snapToGrid w:val="0"/>
          <w:sz w:val="16"/>
          <w:szCs w:val="24"/>
          <w:lang w:val="de-DE"/>
        </w:rPr>
        <w:t xml:space="preserve">. </w:t>
      </w:r>
      <w:r w:rsidRPr="00E8760A">
        <w:rPr>
          <w:rFonts w:ascii="Arial" w:hAnsi="Arial"/>
          <w:noProof/>
          <w:snapToGrid w:val="0"/>
          <w:sz w:val="16"/>
          <w:szCs w:val="24"/>
          <w:lang w:val="de-DE"/>
        </w:rPr>
        <w:t>Tagung, Genf, 2</w:t>
      </w:r>
      <w:r w:rsidR="00324350">
        <w:rPr>
          <w:rFonts w:ascii="Arial" w:hAnsi="Arial"/>
          <w:noProof/>
          <w:snapToGrid w:val="0"/>
          <w:sz w:val="16"/>
          <w:szCs w:val="24"/>
          <w:lang w:val="de-DE"/>
        </w:rPr>
        <w:t>4</w:t>
      </w:r>
      <w:r w:rsidRPr="00E8760A">
        <w:rPr>
          <w:rFonts w:ascii="Arial" w:hAnsi="Arial"/>
          <w:noProof/>
          <w:snapToGrid w:val="0"/>
          <w:sz w:val="16"/>
          <w:szCs w:val="24"/>
          <w:lang w:val="de-DE"/>
        </w:rPr>
        <w:t xml:space="preserve">. bis </w:t>
      </w:r>
      <w:r w:rsidR="00324350">
        <w:rPr>
          <w:rFonts w:ascii="Arial" w:hAnsi="Arial"/>
          <w:noProof/>
          <w:snapToGrid w:val="0"/>
          <w:sz w:val="16"/>
          <w:szCs w:val="24"/>
          <w:lang w:val="de-DE"/>
        </w:rPr>
        <w:t>28</w:t>
      </w:r>
      <w:r w:rsidRPr="00E8760A">
        <w:rPr>
          <w:rFonts w:ascii="Arial" w:hAnsi="Arial"/>
          <w:noProof/>
          <w:snapToGrid w:val="0"/>
          <w:sz w:val="16"/>
          <w:szCs w:val="24"/>
          <w:lang w:val="de-DE"/>
        </w:rPr>
        <w:t xml:space="preserve">. </w:t>
      </w:r>
      <w:r w:rsidR="00324350">
        <w:rPr>
          <w:rFonts w:ascii="Arial" w:hAnsi="Arial"/>
          <w:noProof/>
          <w:snapToGrid w:val="0"/>
          <w:sz w:val="16"/>
          <w:szCs w:val="24"/>
          <w:lang w:val="de-DE"/>
        </w:rPr>
        <w:t>August</w:t>
      </w:r>
      <w:r w:rsidRPr="00E8760A">
        <w:rPr>
          <w:rFonts w:ascii="Arial" w:hAnsi="Arial"/>
          <w:noProof/>
          <w:snapToGrid w:val="0"/>
          <w:sz w:val="16"/>
          <w:szCs w:val="24"/>
          <w:lang w:val="de-DE"/>
        </w:rPr>
        <w:t xml:space="preserve"> 201</w:t>
      </w:r>
      <w:r w:rsidR="002700C0">
        <w:rPr>
          <w:rFonts w:ascii="Arial" w:hAnsi="Arial"/>
          <w:noProof/>
          <w:snapToGrid w:val="0"/>
          <w:sz w:val="16"/>
          <w:szCs w:val="24"/>
          <w:lang w:val="de-DE"/>
        </w:rPr>
        <w:t>5</w:t>
      </w:r>
      <w:r w:rsidRPr="00E8760A">
        <w:rPr>
          <w:rFonts w:ascii="Arial" w:hAnsi="Arial"/>
          <w:noProof/>
          <w:snapToGrid w:val="0"/>
          <w:sz w:val="16"/>
          <w:szCs w:val="24"/>
          <w:lang w:val="de-DE"/>
        </w:rPr>
        <w:t>)</w:t>
      </w:r>
    </w:p>
    <w:p w:rsidR="00773EAF" w:rsidRDefault="00773EAF" w:rsidP="00773EAF">
      <w:pPr>
        <w:tabs>
          <w:tab w:val="left" w:pos="2977"/>
        </w:tabs>
        <w:suppressAutoHyphens w:val="0"/>
        <w:spacing w:line="240" w:lineRule="auto"/>
        <w:ind w:left="3960"/>
        <w:rPr>
          <w:rFonts w:ascii="Arial" w:hAnsi="Arial" w:cs="Arial"/>
          <w:sz w:val="16"/>
          <w:szCs w:val="16"/>
          <w:lang w:val="de-DE" w:eastAsia="en-US"/>
        </w:rPr>
      </w:pPr>
      <w:r w:rsidRPr="00E8760A">
        <w:rPr>
          <w:rFonts w:ascii="Arial" w:hAnsi="Arial" w:cs="Arial"/>
          <w:sz w:val="16"/>
          <w:szCs w:val="16"/>
          <w:lang w:val="de-DE" w:eastAsia="en-US"/>
        </w:rPr>
        <w:t xml:space="preserve">Punkt </w:t>
      </w:r>
      <w:r w:rsidR="00D44E0D">
        <w:rPr>
          <w:rFonts w:ascii="Arial" w:hAnsi="Arial" w:cs="Arial"/>
          <w:sz w:val="16"/>
          <w:szCs w:val="16"/>
          <w:lang w:val="de-DE" w:eastAsia="en-US"/>
        </w:rPr>
        <w:t>4 b</w:t>
      </w:r>
      <w:r w:rsidR="00455426">
        <w:rPr>
          <w:rFonts w:ascii="Arial" w:hAnsi="Arial" w:cs="Arial"/>
          <w:sz w:val="16"/>
          <w:szCs w:val="16"/>
          <w:lang w:val="de-DE" w:eastAsia="en-US"/>
        </w:rPr>
        <w:t>)</w:t>
      </w:r>
      <w:r w:rsidRPr="00E8760A">
        <w:rPr>
          <w:rFonts w:ascii="Arial" w:hAnsi="Arial" w:cs="Arial"/>
          <w:sz w:val="16"/>
          <w:szCs w:val="16"/>
          <w:lang w:val="de-DE" w:eastAsia="en-US"/>
        </w:rPr>
        <w:t xml:space="preserve"> zur vorläufigen Tagesordnung</w:t>
      </w:r>
    </w:p>
    <w:p w:rsidR="005134C0" w:rsidRPr="0047566B" w:rsidRDefault="005134C0" w:rsidP="005134C0">
      <w:pPr>
        <w:jc w:val="center"/>
        <w:rPr>
          <w:sz w:val="22"/>
          <w:szCs w:val="22"/>
          <w:lang w:val="de-DE"/>
        </w:rPr>
      </w:pPr>
    </w:p>
    <w:p w:rsidR="005134C0" w:rsidRPr="0047566B" w:rsidRDefault="005134C0" w:rsidP="005134C0">
      <w:pPr>
        <w:jc w:val="center"/>
        <w:rPr>
          <w:b/>
          <w:lang w:val="de-DE"/>
        </w:rPr>
      </w:pPr>
    </w:p>
    <w:p w:rsidR="00D44E0D" w:rsidRPr="00D44E0D" w:rsidRDefault="00D44E0D" w:rsidP="00D44E0D">
      <w:pPr>
        <w:snapToGrid w:val="0"/>
        <w:jc w:val="center"/>
        <w:rPr>
          <w:noProof/>
          <w:sz w:val="22"/>
          <w:szCs w:val="24"/>
          <w:lang w:val="de-DE"/>
        </w:rPr>
      </w:pPr>
      <w:r w:rsidRPr="00D44E0D">
        <w:rPr>
          <w:noProof/>
          <w:sz w:val="22"/>
          <w:szCs w:val="24"/>
          <w:lang w:val="de-DE"/>
        </w:rPr>
        <w:t>VORSCHLÄGE FÜR ÄNDERUNGEN DER DEM ADN BEIGEFÜGTEN VERORDNUNG:</w:t>
      </w:r>
    </w:p>
    <w:p w:rsidR="00D44E0D" w:rsidRPr="00D44E0D" w:rsidRDefault="00D44E0D" w:rsidP="00D44E0D">
      <w:pPr>
        <w:jc w:val="center"/>
        <w:rPr>
          <w:b/>
          <w:noProof/>
          <w:snapToGrid w:val="0"/>
          <w:sz w:val="24"/>
          <w:szCs w:val="24"/>
          <w:u w:val="single"/>
          <w:lang w:val="de-DE"/>
        </w:rPr>
      </w:pPr>
    </w:p>
    <w:p w:rsidR="005134C0" w:rsidRDefault="00D44E0D" w:rsidP="00D44E0D">
      <w:pPr>
        <w:jc w:val="center"/>
        <w:rPr>
          <w:b/>
          <w:lang w:val="de-DE"/>
        </w:rPr>
      </w:pPr>
      <w:r w:rsidRPr="00D44E0D">
        <w:rPr>
          <w:b/>
          <w:noProof/>
          <w:snapToGrid w:val="0"/>
          <w:sz w:val="24"/>
          <w:szCs w:val="24"/>
          <w:u w:val="single"/>
          <w:lang w:val="de-DE"/>
        </w:rPr>
        <w:t>Weitere Änderungsvorschläge</w:t>
      </w:r>
    </w:p>
    <w:p w:rsidR="005134C0" w:rsidRDefault="005134C0" w:rsidP="005134C0">
      <w:pPr>
        <w:jc w:val="center"/>
        <w:rPr>
          <w:b/>
          <w:lang w:val="de-DE"/>
        </w:rPr>
      </w:pPr>
    </w:p>
    <w:p w:rsidR="00D44E0D" w:rsidRPr="0047566B" w:rsidRDefault="00D44E0D" w:rsidP="005134C0">
      <w:pPr>
        <w:jc w:val="center"/>
        <w:rPr>
          <w:b/>
          <w:lang w:val="de-DE"/>
        </w:rPr>
      </w:pPr>
    </w:p>
    <w:p w:rsidR="005134C0" w:rsidRPr="00E7371E" w:rsidRDefault="005134C0" w:rsidP="0025142F">
      <w:pPr>
        <w:ind w:left="1134"/>
        <w:rPr>
          <w:b/>
          <w:bCs/>
          <w:sz w:val="28"/>
          <w:szCs w:val="28"/>
          <w:lang w:val="de-DE"/>
        </w:rPr>
      </w:pPr>
      <w:r>
        <w:rPr>
          <w:b/>
          <w:bCs/>
          <w:sz w:val="28"/>
          <w:szCs w:val="28"/>
          <w:lang w:val="de-DE"/>
        </w:rPr>
        <w:t>Stoffbezogenheit der Vorschriften des ADN</w:t>
      </w:r>
      <w:r w:rsidR="0025142F">
        <w:rPr>
          <w:b/>
          <w:bCs/>
          <w:sz w:val="28"/>
          <w:szCs w:val="28"/>
          <w:lang w:val="de-DE"/>
        </w:rPr>
        <w:br/>
      </w:r>
      <w:r w:rsidRPr="00E7371E">
        <w:rPr>
          <w:b/>
          <w:bCs/>
          <w:sz w:val="28"/>
          <w:szCs w:val="28"/>
          <w:lang w:val="de-DE"/>
        </w:rPr>
        <w:t>- Anforderungen an die elektrischen Einrichtungen -</w:t>
      </w:r>
    </w:p>
    <w:p w:rsidR="0025142F" w:rsidRDefault="0025142F" w:rsidP="0025142F">
      <w:pPr>
        <w:ind w:left="1134"/>
        <w:jc w:val="both"/>
        <w:rPr>
          <w:b/>
          <w:snapToGrid w:val="0"/>
          <w:sz w:val="24"/>
          <w:lang w:val="de-DE"/>
        </w:rPr>
      </w:pPr>
    </w:p>
    <w:p w:rsidR="0025142F" w:rsidRPr="0025142F" w:rsidRDefault="001D0AC2" w:rsidP="0025142F">
      <w:pPr>
        <w:ind w:left="1134"/>
        <w:jc w:val="both"/>
        <w:rPr>
          <w:vertAlign w:val="superscript"/>
          <w:lang w:val="de-DE" w:eastAsia="en-US"/>
        </w:rPr>
      </w:pPr>
      <w:r>
        <w:rPr>
          <w:b/>
          <w:snapToGrid w:val="0"/>
          <w:sz w:val="24"/>
          <w:lang w:val="de-DE"/>
        </w:rPr>
        <w:t>Gemeinsam e</w:t>
      </w:r>
      <w:r w:rsidR="0025142F" w:rsidRPr="0025142F">
        <w:rPr>
          <w:b/>
          <w:snapToGrid w:val="0"/>
          <w:sz w:val="24"/>
          <w:lang w:val="de-DE"/>
        </w:rPr>
        <w:t>ingereicht durch die Europäische Binnenschifffahrts Union (EBU), ERSTU (European River Sea Transport Union) und die Europäische Schifferorganisation(ESO)</w:t>
      </w:r>
      <w:r w:rsidR="0025142F" w:rsidRPr="0025142F">
        <w:rPr>
          <w:b/>
          <w:noProof/>
          <w:snapToGrid w:val="0"/>
          <w:sz w:val="18"/>
          <w:szCs w:val="24"/>
          <w:vertAlign w:val="superscript"/>
          <w:lang w:val="de-DE"/>
        </w:rPr>
        <w:footnoteReference w:id="2"/>
      </w:r>
    </w:p>
    <w:p w:rsidR="00B0171B" w:rsidRPr="00853BD3" w:rsidRDefault="00B0171B" w:rsidP="00B0171B">
      <w:pPr>
        <w:jc w:val="center"/>
        <w:rPr>
          <w:u w:val="single"/>
          <w:lang w:val="de-DE"/>
        </w:rPr>
      </w:pPr>
    </w:p>
    <w:p w:rsidR="00B0171B" w:rsidRPr="00C832DF" w:rsidRDefault="00B0171B" w:rsidP="00122E97">
      <w:pPr>
        <w:pStyle w:val="HChG"/>
        <w:tabs>
          <w:tab w:val="left" w:pos="1701"/>
        </w:tabs>
        <w:ind w:firstLine="0"/>
        <w:rPr>
          <w:snapToGrid w:val="0"/>
          <w:lang w:val="de-DE"/>
        </w:rPr>
      </w:pPr>
      <w:r w:rsidRPr="00C832DF">
        <w:rPr>
          <w:snapToGrid w:val="0"/>
          <w:lang w:val="de-DE"/>
        </w:rPr>
        <w:t>Vorbemerkung</w:t>
      </w:r>
      <w:r w:rsidR="00745949" w:rsidRPr="00C832DF">
        <w:rPr>
          <w:snapToGrid w:val="0"/>
          <w:lang w:val="de-DE"/>
        </w:rPr>
        <w:t>en</w:t>
      </w:r>
    </w:p>
    <w:p w:rsidR="001704F9" w:rsidRPr="007964A5" w:rsidRDefault="00D44E0D" w:rsidP="00122E97">
      <w:pPr>
        <w:tabs>
          <w:tab w:val="left" w:pos="567"/>
          <w:tab w:val="left" w:pos="1701"/>
          <w:tab w:val="left" w:pos="1985"/>
          <w:tab w:val="left" w:pos="2552"/>
          <w:tab w:val="left" w:pos="3119"/>
          <w:tab w:val="left" w:pos="3686"/>
        </w:tabs>
        <w:ind w:left="1134"/>
        <w:jc w:val="both"/>
        <w:rPr>
          <w:snapToGrid w:val="0"/>
          <w:lang w:val="de-DE"/>
        </w:rPr>
      </w:pPr>
      <w:r>
        <w:rPr>
          <w:snapToGrid w:val="0"/>
          <w:lang w:val="de-DE"/>
        </w:rPr>
        <w:t>1.</w:t>
      </w:r>
      <w:r>
        <w:rPr>
          <w:snapToGrid w:val="0"/>
          <w:lang w:val="de-DE"/>
        </w:rPr>
        <w:tab/>
      </w:r>
      <w:r w:rsidR="001704F9" w:rsidRPr="007964A5">
        <w:rPr>
          <w:snapToGrid w:val="0"/>
          <w:lang w:val="de-DE"/>
        </w:rPr>
        <w:t>Zu diesem Thema wurde</w:t>
      </w:r>
      <w:r w:rsidR="007C7E3C" w:rsidRPr="007964A5">
        <w:rPr>
          <w:snapToGrid w:val="0"/>
          <w:lang w:val="de-DE"/>
        </w:rPr>
        <w:t xml:space="preserve"> </w:t>
      </w:r>
      <w:r w:rsidR="00B0171B" w:rsidRPr="007964A5">
        <w:rPr>
          <w:snapToGrid w:val="0"/>
          <w:lang w:val="de-DE"/>
        </w:rPr>
        <w:t xml:space="preserve">dem ADN Sicherheitsausschuss </w:t>
      </w:r>
      <w:r w:rsidR="00FA07C2" w:rsidRPr="007964A5">
        <w:rPr>
          <w:snapToGrid w:val="0"/>
          <w:lang w:val="de-DE"/>
        </w:rPr>
        <w:t xml:space="preserve">erstmalig </w:t>
      </w:r>
      <w:r w:rsidR="001704F9" w:rsidRPr="007964A5">
        <w:rPr>
          <w:snapToGrid w:val="0"/>
          <w:lang w:val="de-DE"/>
        </w:rPr>
        <w:t>zu</w:t>
      </w:r>
      <w:r w:rsidR="00FA07C2" w:rsidRPr="007964A5">
        <w:rPr>
          <w:snapToGrid w:val="0"/>
          <w:lang w:val="de-DE"/>
        </w:rPr>
        <w:t xml:space="preserve"> seiner 24. Sitzung und zuletzt </w:t>
      </w:r>
      <w:r w:rsidR="001704F9" w:rsidRPr="007964A5">
        <w:rPr>
          <w:snapToGrid w:val="0"/>
          <w:lang w:val="de-DE"/>
        </w:rPr>
        <w:t xml:space="preserve">zu </w:t>
      </w:r>
      <w:r w:rsidR="00B0171B" w:rsidRPr="007964A5">
        <w:rPr>
          <w:snapToGrid w:val="0"/>
          <w:lang w:val="de-DE"/>
        </w:rPr>
        <w:t xml:space="preserve">seiner 26. Sitzung </w:t>
      </w:r>
      <w:r w:rsidR="001704F9" w:rsidRPr="007964A5">
        <w:rPr>
          <w:snapToGrid w:val="0"/>
          <w:lang w:val="de-DE"/>
        </w:rPr>
        <w:t xml:space="preserve">im Prinzip inhaltsgleiche Anträge </w:t>
      </w:r>
      <w:r w:rsidR="00B0171B" w:rsidRPr="007964A5">
        <w:rPr>
          <w:snapToGrid w:val="0"/>
          <w:lang w:val="de-DE"/>
        </w:rPr>
        <w:t>vorgeleg</w:t>
      </w:r>
      <w:r w:rsidR="00C832DF">
        <w:rPr>
          <w:snapToGrid w:val="0"/>
          <w:lang w:val="de-DE"/>
        </w:rPr>
        <w:t>t.</w:t>
      </w:r>
    </w:p>
    <w:p w:rsidR="001704F9" w:rsidRPr="007964A5" w:rsidRDefault="001704F9" w:rsidP="00122E97">
      <w:pPr>
        <w:tabs>
          <w:tab w:val="left" w:pos="567"/>
          <w:tab w:val="left" w:pos="1701"/>
          <w:tab w:val="left" w:pos="1985"/>
          <w:tab w:val="left" w:pos="2552"/>
          <w:tab w:val="left" w:pos="3119"/>
          <w:tab w:val="left" w:pos="3686"/>
        </w:tabs>
        <w:ind w:left="1134"/>
        <w:jc w:val="both"/>
        <w:rPr>
          <w:snapToGrid w:val="0"/>
          <w:lang w:val="de-DE"/>
        </w:rPr>
      </w:pPr>
    </w:p>
    <w:p w:rsidR="00745949" w:rsidRPr="007964A5" w:rsidRDefault="00D44E0D" w:rsidP="00122E97">
      <w:pPr>
        <w:tabs>
          <w:tab w:val="left" w:pos="567"/>
          <w:tab w:val="left" w:pos="1701"/>
          <w:tab w:val="left" w:pos="1985"/>
          <w:tab w:val="left" w:pos="2552"/>
          <w:tab w:val="left" w:pos="3119"/>
          <w:tab w:val="left" w:pos="3686"/>
        </w:tabs>
        <w:ind w:left="1134"/>
        <w:jc w:val="both"/>
        <w:rPr>
          <w:snapToGrid w:val="0"/>
          <w:lang w:val="de-DE"/>
        </w:rPr>
      </w:pPr>
      <w:r>
        <w:rPr>
          <w:snapToGrid w:val="0"/>
          <w:lang w:val="de-DE"/>
        </w:rPr>
        <w:t>2.</w:t>
      </w:r>
      <w:r>
        <w:rPr>
          <w:snapToGrid w:val="0"/>
          <w:lang w:val="de-DE"/>
        </w:rPr>
        <w:tab/>
      </w:r>
      <w:r w:rsidR="00B0171B" w:rsidRPr="007964A5">
        <w:rPr>
          <w:snapToGrid w:val="0"/>
          <w:lang w:val="de-DE"/>
        </w:rPr>
        <w:t xml:space="preserve">Das </w:t>
      </w:r>
      <w:r w:rsidR="00FA07C2" w:rsidRPr="007964A5">
        <w:rPr>
          <w:snapToGrid w:val="0"/>
          <w:lang w:val="de-DE"/>
        </w:rPr>
        <w:t xml:space="preserve">zur 26. Sitzung vorgelegte </w:t>
      </w:r>
      <w:r w:rsidR="00B0171B" w:rsidRPr="007964A5">
        <w:rPr>
          <w:snapToGrid w:val="0"/>
          <w:lang w:val="de-DE"/>
        </w:rPr>
        <w:t xml:space="preserve">Dokument </w:t>
      </w:r>
      <w:r w:rsidR="001704F9" w:rsidRPr="007964A5">
        <w:rPr>
          <w:snapToGrid w:val="0"/>
          <w:lang w:val="de-DE"/>
        </w:rPr>
        <w:t xml:space="preserve">wurde erst unmittelbar vor der Sitzung als INF.26 eingereicht, </w:t>
      </w:r>
      <w:r w:rsidR="007C7E3C" w:rsidRPr="007964A5">
        <w:rPr>
          <w:snapToGrid w:val="0"/>
          <w:lang w:val="de-DE"/>
        </w:rPr>
        <w:t xml:space="preserve">weil entscheidende Elemente der Begründung </w:t>
      </w:r>
      <w:r w:rsidR="00745949" w:rsidRPr="007964A5">
        <w:rPr>
          <w:snapToGrid w:val="0"/>
          <w:lang w:val="de-DE"/>
        </w:rPr>
        <w:t xml:space="preserve">des Antrags </w:t>
      </w:r>
      <w:r w:rsidR="007C7E3C" w:rsidRPr="007964A5">
        <w:rPr>
          <w:snapToGrid w:val="0"/>
          <w:lang w:val="de-DE"/>
        </w:rPr>
        <w:t xml:space="preserve">erst bei der Sitzung der informellen Arbeitsgruppe </w:t>
      </w:r>
      <w:r w:rsidR="00745949" w:rsidRPr="007964A5">
        <w:rPr>
          <w:snapToGrid w:val="0"/>
          <w:lang w:val="de-DE"/>
        </w:rPr>
        <w:t>Explosionsschutz</w:t>
      </w:r>
      <w:r w:rsidR="001704F9" w:rsidRPr="007964A5">
        <w:rPr>
          <w:snapToGrid w:val="0"/>
          <w:lang w:val="de-DE"/>
        </w:rPr>
        <w:t xml:space="preserve"> festgelegt worden waren,</w:t>
      </w:r>
      <w:r w:rsidR="00745949" w:rsidRPr="007964A5">
        <w:rPr>
          <w:snapToGrid w:val="0"/>
          <w:lang w:val="de-DE"/>
        </w:rPr>
        <w:t xml:space="preserve"> die wenige Tage</w:t>
      </w:r>
      <w:r w:rsidR="00A42878" w:rsidRPr="007964A5">
        <w:rPr>
          <w:snapToGrid w:val="0"/>
          <w:lang w:val="de-DE"/>
        </w:rPr>
        <w:t xml:space="preserve"> vorher</w:t>
      </w:r>
      <w:r w:rsidR="001704F9" w:rsidRPr="007964A5">
        <w:rPr>
          <w:snapToGrid w:val="0"/>
          <w:lang w:val="de-DE"/>
        </w:rPr>
        <w:t xml:space="preserve"> </w:t>
      </w:r>
      <w:r w:rsidR="00D432E8" w:rsidRPr="007964A5">
        <w:rPr>
          <w:snapToGrid w:val="0"/>
          <w:lang w:val="de-DE"/>
        </w:rPr>
        <w:t xml:space="preserve">– und zwar </w:t>
      </w:r>
      <w:r w:rsidR="00A42878" w:rsidRPr="007964A5">
        <w:rPr>
          <w:snapToGrid w:val="0"/>
          <w:lang w:val="de-DE"/>
        </w:rPr>
        <w:t>am 14/15.01.2015 in Berlin</w:t>
      </w:r>
      <w:r w:rsidR="00E310AF" w:rsidRPr="007964A5">
        <w:rPr>
          <w:snapToGrid w:val="0"/>
          <w:lang w:val="de-DE"/>
        </w:rPr>
        <w:t xml:space="preserve"> </w:t>
      </w:r>
      <w:r w:rsidR="00D432E8" w:rsidRPr="007964A5">
        <w:rPr>
          <w:snapToGrid w:val="0"/>
          <w:lang w:val="de-DE"/>
        </w:rPr>
        <w:t>-</w:t>
      </w:r>
      <w:r w:rsidR="00C832DF">
        <w:rPr>
          <w:snapToGrid w:val="0"/>
          <w:lang w:val="de-DE"/>
        </w:rPr>
        <w:t>stattgefunden hatte.</w:t>
      </w:r>
    </w:p>
    <w:p w:rsidR="00745949" w:rsidRPr="007964A5" w:rsidRDefault="00745949" w:rsidP="00122E97">
      <w:pPr>
        <w:tabs>
          <w:tab w:val="left" w:pos="567"/>
          <w:tab w:val="left" w:pos="1701"/>
          <w:tab w:val="left" w:pos="1985"/>
          <w:tab w:val="left" w:pos="2552"/>
          <w:tab w:val="left" w:pos="3119"/>
          <w:tab w:val="left" w:pos="3686"/>
        </w:tabs>
        <w:ind w:left="1134"/>
        <w:jc w:val="both"/>
        <w:rPr>
          <w:snapToGrid w:val="0"/>
          <w:lang w:val="de-DE"/>
        </w:rPr>
      </w:pPr>
    </w:p>
    <w:p w:rsidR="00745949" w:rsidRPr="007964A5" w:rsidRDefault="00D44E0D" w:rsidP="00122E97">
      <w:pPr>
        <w:tabs>
          <w:tab w:val="left" w:pos="567"/>
          <w:tab w:val="left" w:pos="1701"/>
          <w:tab w:val="left" w:pos="1985"/>
          <w:tab w:val="left" w:pos="2552"/>
          <w:tab w:val="left" w:pos="3119"/>
          <w:tab w:val="left" w:pos="3686"/>
        </w:tabs>
        <w:ind w:left="1134"/>
        <w:jc w:val="both"/>
        <w:rPr>
          <w:snapToGrid w:val="0"/>
          <w:lang w:val="de-DE"/>
        </w:rPr>
      </w:pPr>
      <w:r>
        <w:rPr>
          <w:snapToGrid w:val="0"/>
          <w:lang w:val="de-DE"/>
        </w:rPr>
        <w:t>3.</w:t>
      </w:r>
      <w:r>
        <w:rPr>
          <w:snapToGrid w:val="0"/>
          <w:lang w:val="de-DE"/>
        </w:rPr>
        <w:tab/>
      </w:r>
      <w:r w:rsidR="00745949" w:rsidRPr="007964A5">
        <w:rPr>
          <w:snapToGrid w:val="0"/>
          <w:lang w:val="de-DE"/>
        </w:rPr>
        <w:t xml:space="preserve">Den Verbänden der Binnenschifffahrt ist bewußt, dass mit dem erneut </w:t>
      </w:r>
      <w:r w:rsidR="00E310AF" w:rsidRPr="007964A5">
        <w:rPr>
          <w:snapToGrid w:val="0"/>
          <w:lang w:val="de-DE"/>
        </w:rPr>
        <w:t xml:space="preserve">vorgelegten </w:t>
      </w:r>
      <w:r w:rsidR="00745949" w:rsidRPr="007964A5">
        <w:rPr>
          <w:snapToGrid w:val="0"/>
          <w:lang w:val="de-DE"/>
        </w:rPr>
        <w:t>Vorschlag ein kleiner Teil des von der informellen Arbeitsgruppe Explosionsschutz bearbeitetet</w:t>
      </w:r>
      <w:r w:rsidR="00E310AF" w:rsidRPr="007964A5">
        <w:rPr>
          <w:snapToGrid w:val="0"/>
          <w:lang w:val="de-DE"/>
        </w:rPr>
        <w:t>e</w:t>
      </w:r>
      <w:r w:rsidR="00745949" w:rsidRPr="007964A5">
        <w:rPr>
          <w:snapToGrid w:val="0"/>
          <w:lang w:val="de-DE"/>
        </w:rPr>
        <w:t xml:space="preserve">n Arbeitspaketes herausgegriffen und </w:t>
      </w:r>
      <w:r w:rsidR="001704F9" w:rsidRPr="007964A5">
        <w:rPr>
          <w:snapToGrid w:val="0"/>
          <w:lang w:val="de-DE"/>
        </w:rPr>
        <w:t xml:space="preserve">bereits jetzt – vor Inkrafttreten des gesamten Paketes - </w:t>
      </w:r>
      <w:r w:rsidR="00745949" w:rsidRPr="007964A5">
        <w:rPr>
          <w:snapToGrid w:val="0"/>
          <w:lang w:val="de-DE"/>
        </w:rPr>
        <w:t>beschlos</w:t>
      </w:r>
      <w:r w:rsidR="00C832DF">
        <w:rPr>
          <w:snapToGrid w:val="0"/>
          <w:lang w:val="de-DE"/>
        </w:rPr>
        <w:t>sen werden soll.</w:t>
      </w:r>
    </w:p>
    <w:p w:rsidR="00745949" w:rsidRPr="007964A5" w:rsidRDefault="00745949" w:rsidP="00122E97">
      <w:pPr>
        <w:tabs>
          <w:tab w:val="left" w:pos="567"/>
          <w:tab w:val="left" w:pos="1701"/>
          <w:tab w:val="left" w:pos="1985"/>
          <w:tab w:val="left" w:pos="2552"/>
          <w:tab w:val="left" w:pos="3119"/>
          <w:tab w:val="left" w:pos="3686"/>
        </w:tabs>
        <w:ind w:left="1134"/>
        <w:jc w:val="both"/>
        <w:rPr>
          <w:snapToGrid w:val="0"/>
          <w:lang w:val="de-DE"/>
        </w:rPr>
      </w:pPr>
    </w:p>
    <w:p w:rsidR="00E64A93" w:rsidRDefault="00E64A93">
      <w:pPr>
        <w:suppressAutoHyphens w:val="0"/>
        <w:spacing w:line="240" w:lineRule="auto"/>
        <w:rPr>
          <w:snapToGrid w:val="0"/>
          <w:lang w:val="de-DE"/>
        </w:rPr>
      </w:pPr>
      <w:r>
        <w:rPr>
          <w:snapToGrid w:val="0"/>
          <w:lang w:val="de-DE"/>
        </w:rPr>
        <w:br w:type="page"/>
      </w:r>
    </w:p>
    <w:p w:rsidR="00745949" w:rsidRPr="007964A5" w:rsidRDefault="00D44E0D" w:rsidP="00122E97">
      <w:pPr>
        <w:tabs>
          <w:tab w:val="left" w:pos="567"/>
          <w:tab w:val="left" w:pos="1701"/>
          <w:tab w:val="left" w:pos="1985"/>
          <w:tab w:val="left" w:pos="2552"/>
          <w:tab w:val="left" w:pos="3119"/>
          <w:tab w:val="left" w:pos="3686"/>
        </w:tabs>
        <w:ind w:left="1134"/>
        <w:jc w:val="both"/>
        <w:rPr>
          <w:snapToGrid w:val="0"/>
          <w:lang w:val="de-DE"/>
        </w:rPr>
      </w:pPr>
      <w:r>
        <w:rPr>
          <w:snapToGrid w:val="0"/>
          <w:lang w:val="de-DE"/>
        </w:rPr>
        <w:lastRenderedPageBreak/>
        <w:t>4.</w:t>
      </w:r>
      <w:r>
        <w:rPr>
          <w:snapToGrid w:val="0"/>
          <w:lang w:val="de-DE"/>
        </w:rPr>
        <w:tab/>
      </w:r>
      <w:r w:rsidR="00745949" w:rsidRPr="007964A5">
        <w:rPr>
          <w:snapToGrid w:val="0"/>
          <w:lang w:val="de-DE"/>
        </w:rPr>
        <w:t xml:space="preserve">Wegen der </w:t>
      </w:r>
      <w:r w:rsidR="006B464B" w:rsidRPr="007964A5">
        <w:rPr>
          <w:snapToGrid w:val="0"/>
          <w:lang w:val="de-DE"/>
        </w:rPr>
        <w:t xml:space="preserve">nach wie vor gegebenen </w:t>
      </w:r>
      <w:r w:rsidR="00745949" w:rsidRPr="007964A5">
        <w:rPr>
          <w:snapToGrid w:val="0"/>
          <w:lang w:val="de-DE"/>
        </w:rPr>
        <w:t xml:space="preserve">Eilbedürftigkeit </w:t>
      </w:r>
      <w:r w:rsidR="0049408A" w:rsidRPr="007964A5">
        <w:rPr>
          <w:snapToGrid w:val="0"/>
          <w:lang w:val="de-DE"/>
        </w:rPr>
        <w:t>bitten die Verbände der Binnenschifffahrt diesem Vorgehen zuzustimmen</w:t>
      </w:r>
      <w:r w:rsidR="006B464B" w:rsidRPr="007964A5">
        <w:rPr>
          <w:snapToGrid w:val="0"/>
          <w:lang w:val="de-DE"/>
        </w:rPr>
        <w:t xml:space="preserve"> und den Beschluss wie vorgelegt zu fassen</w:t>
      </w:r>
      <w:r w:rsidR="0049408A" w:rsidRPr="007964A5">
        <w:rPr>
          <w:snapToGrid w:val="0"/>
          <w:lang w:val="de-DE"/>
        </w:rPr>
        <w:t>.</w:t>
      </w:r>
    </w:p>
    <w:p w:rsidR="006B464B" w:rsidRPr="007964A5" w:rsidRDefault="006B464B" w:rsidP="00122E97">
      <w:pPr>
        <w:pStyle w:val="HChG"/>
        <w:tabs>
          <w:tab w:val="left" w:pos="1701"/>
        </w:tabs>
        <w:ind w:firstLine="0"/>
        <w:rPr>
          <w:snapToGrid w:val="0"/>
          <w:lang w:val="de-DE"/>
        </w:rPr>
      </w:pPr>
      <w:r w:rsidRPr="007964A5">
        <w:rPr>
          <w:snapToGrid w:val="0"/>
          <w:lang w:val="de-DE"/>
        </w:rPr>
        <w:t>Einleitung</w:t>
      </w:r>
    </w:p>
    <w:p w:rsidR="006B464B" w:rsidRDefault="00D44E0D" w:rsidP="00122E97">
      <w:pPr>
        <w:tabs>
          <w:tab w:val="left" w:pos="567"/>
          <w:tab w:val="left" w:pos="1701"/>
          <w:tab w:val="left" w:pos="1985"/>
          <w:tab w:val="left" w:pos="2552"/>
          <w:tab w:val="left" w:pos="3119"/>
          <w:tab w:val="left" w:pos="3686"/>
        </w:tabs>
        <w:ind w:left="1134"/>
        <w:jc w:val="both"/>
        <w:rPr>
          <w:lang w:val="de-DE"/>
        </w:rPr>
      </w:pPr>
      <w:r>
        <w:rPr>
          <w:lang w:val="de-DE"/>
        </w:rPr>
        <w:t>5</w:t>
      </w:r>
      <w:r w:rsidR="006B464B">
        <w:rPr>
          <w:lang w:val="de-DE"/>
        </w:rPr>
        <w:t>.</w:t>
      </w:r>
      <w:r w:rsidR="006B464B">
        <w:rPr>
          <w:lang w:val="de-DE"/>
        </w:rPr>
        <w:tab/>
        <w:t>Bei der 24. Sitzung des ADN Sicherheitsausschusses im Januar 2014 hat die EBU den Antrag gestellt, bestimmte Anforderungen an die Ausrüstung von Tankschiffen in Abhängigkeit von der Schiffs-Stoffliste festzuschreiben. Entscheidend war dabei die Frage, ob in der Schiffs-Stoffliste eines Schiffes Güter enthalten sind, für die laut Spalte 17 von Tabelle C Explosionsschutz erforderlich ist oder nicht. Der Antrag der EBU war in zwei Teile geteilt.</w:t>
      </w:r>
    </w:p>
    <w:p w:rsidR="00820EAC" w:rsidRDefault="00820EAC" w:rsidP="00122E97">
      <w:pPr>
        <w:tabs>
          <w:tab w:val="left" w:pos="567"/>
          <w:tab w:val="left" w:pos="1701"/>
          <w:tab w:val="left" w:pos="1985"/>
          <w:tab w:val="left" w:pos="2552"/>
          <w:tab w:val="left" w:pos="3119"/>
          <w:tab w:val="left" w:pos="3686"/>
        </w:tabs>
        <w:ind w:left="1134"/>
        <w:jc w:val="both"/>
        <w:rPr>
          <w:lang w:val="de-DE"/>
        </w:rPr>
      </w:pPr>
    </w:p>
    <w:p w:rsidR="006B464B" w:rsidRDefault="00D44E0D" w:rsidP="00122E97">
      <w:pPr>
        <w:tabs>
          <w:tab w:val="left" w:pos="567"/>
          <w:tab w:val="left" w:pos="1701"/>
          <w:tab w:val="left" w:pos="1985"/>
          <w:tab w:val="left" w:pos="2552"/>
          <w:tab w:val="left" w:pos="3119"/>
          <w:tab w:val="left" w:pos="3686"/>
        </w:tabs>
        <w:ind w:left="1134"/>
        <w:jc w:val="both"/>
        <w:rPr>
          <w:lang w:val="de-DE"/>
        </w:rPr>
      </w:pPr>
      <w:r>
        <w:rPr>
          <w:lang w:val="de-DE"/>
        </w:rPr>
        <w:t>6</w:t>
      </w:r>
      <w:r w:rsidR="006B464B">
        <w:rPr>
          <w:lang w:val="de-DE"/>
        </w:rPr>
        <w:t>.</w:t>
      </w:r>
      <w:r w:rsidR="006B464B">
        <w:rPr>
          <w:lang w:val="de-DE"/>
        </w:rPr>
        <w:tab/>
        <w:t xml:space="preserve">Der 1. Teil des Antrags betraf Flammendurchschlagsicherungen an Probeentnahmeöffnungen, Entspannvorrichtungen und Lüftungsöffnungen von Kofferdämmen. Dieser Teil des Antrags wurde vom Sicherheitsausschuss </w:t>
      </w:r>
      <w:r w:rsidR="001704F9">
        <w:rPr>
          <w:lang w:val="de-DE"/>
        </w:rPr>
        <w:t xml:space="preserve">in seiner 24. Tagung </w:t>
      </w:r>
      <w:r w:rsidR="006B464B">
        <w:rPr>
          <w:lang w:val="de-DE"/>
        </w:rPr>
        <w:t>angenommen. Die Änderungen sind im ADN 2015 enthalten.</w:t>
      </w:r>
    </w:p>
    <w:p w:rsidR="006B464B" w:rsidRDefault="00D44E0D" w:rsidP="00122E97">
      <w:pPr>
        <w:tabs>
          <w:tab w:val="left" w:pos="567"/>
          <w:tab w:val="left" w:pos="1701"/>
          <w:tab w:val="left" w:pos="1985"/>
          <w:tab w:val="left" w:pos="2552"/>
          <w:tab w:val="left" w:pos="3119"/>
          <w:tab w:val="left" w:pos="3686"/>
        </w:tabs>
        <w:spacing w:before="120"/>
        <w:ind w:left="1134"/>
        <w:jc w:val="both"/>
        <w:rPr>
          <w:lang w:val="de-DE"/>
        </w:rPr>
      </w:pPr>
      <w:r>
        <w:rPr>
          <w:lang w:val="de-DE"/>
        </w:rPr>
        <w:t>7.</w:t>
      </w:r>
      <w:r>
        <w:rPr>
          <w:lang w:val="de-DE"/>
        </w:rPr>
        <w:tab/>
      </w:r>
      <w:r w:rsidR="006B464B">
        <w:rPr>
          <w:lang w:val="de-DE"/>
        </w:rPr>
        <w:t>Der 2. Teil des Antrags betraf die Anforderungen an elektrische Einrichtungen. Nach kurzer Diskussion des Antrags hat die EBU diesen Antrag bei der 24. Tagung des Sicherheitsausschusses zurückgezogen, weil die Argumentation des Antrags nicht ausreichend erschien.</w:t>
      </w:r>
    </w:p>
    <w:p w:rsidR="006B464B" w:rsidRDefault="006B464B" w:rsidP="00122E97">
      <w:pPr>
        <w:tabs>
          <w:tab w:val="left" w:pos="567"/>
          <w:tab w:val="left" w:pos="1701"/>
          <w:tab w:val="left" w:pos="1985"/>
          <w:tab w:val="left" w:pos="2552"/>
          <w:tab w:val="left" w:pos="3119"/>
          <w:tab w:val="left" w:pos="3686"/>
        </w:tabs>
        <w:ind w:left="1134"/>
        <w:jc w:val="both"/>
        <w:rPr>
          <w:lang w:val="de-DE"/>
        </w:rPr>
      </w:pPr>
    </w:p>
    <w:p w:rsidR="00820EAC" w:rsidRPr="00D432E8" w:rsidRDefault="00D44E0D" w:rsidP="00122E97">
      <w:pPr>
        <w:tabs>
          <w:tab w:val="left" w:pos="567"/>
          <w:tab w:val="left" w:pos="1701"/>
          <w:tab w:val="left" w:pos="1985"/>
          <w:tab w:val="left" w:pos="2552"/>
          <w:tab w:val="left" w:pos="3119"/>
          <w:tab w:val="left" w:pos="3686"/>
        </w:tabs>
        <w:ind w:left="1134"/>
        <w:jc w:val="both"/>
        <w:rPr>
          <w:rFonts w:eastAsia="Calibri"/>
          <w:lang w:val="de-DE"/>
        </w:rPr>
      </w:pPr>
      <w:r>
        <w:rPr>
          <w:lang w:val="de-DE"/>
        </w:rPr>
        <w:t>8</w:t>
      </w:r>
      <w:r w:rsidR="00820EAC" w:rsidRPr="00D432E8">
        <w:rPr>
          <w:lang w:val="de-DE"/>
        </w:rPr>
        <w:t>.</w:t>
      </w:r>
      <w:r w:rsidR="00820EAC" w:rsidRPr="00D432E8">
        <w:rPr>
          <w:lang w:val="de-DE"/>
        </w:rPr>
        <w:tab/>
        <w:t xml:space="preserve">Bei der 25. Tagung des Sicherheitsausschusses wurden Grundlagen für die weitere Arbeit der informellen Arbeitsgruppe „Explosionsschutz“ gelegt. </w:t>
      </w:r>
      <w:r w:rsidR="001704F9" w:rsidRPr="00D432E8">
        <w:rPr>
          <w:lang w:val="de-DE"/>
        </w:rPr>
        <w:t>In den Ziffern 54. und 56</w:t>
      </w:r>
      <w:r w:rsidR="00D432E8" w:rsidRPr="00D432E8">
        <w:rPr>
          <w:lang w:val="de-DE"/>
        </w:rPr>
        <w:t>.</w:t>
      </w:r>
      <w:r w:rsidR="001704F9" w:rsidRPr="00D432E8">
        <w:rPr>
          <w:lang w:val="de-DE"/>
        </w:rPr>
        <w:t xml:space="preserve"> </w:t>
      </w:r>
      <w:r w:rsidR="00D432E8" w:rsidRPr="00D432E8">
        <w:rPr>
          <w:lang w:val="de-DE"/>
        </w:rPr>
        <w:t>des Protokolls über die Sitzung der 25.</w:t>
      </w:r>
      <w:r w:rsidR="00C832DF">
        <w:rPr>
          <w:lang w:val="de-DE"/>
        </w:rPr>
        <w:t> </w:t>
      </w:r>
      <w:r w:rsidR="00D432E8" w:rsidRPr="00D432E8">
        <w:rPr>
          <w:lang w:val="de-DE"/>
        </w:rPr>
        <w:t xml:space="preserve">Tagung </w:t>
      </w:r>
      <w:r w:rsidRPr="00D44E0D">
        <w:rPr>
          <w:lang w:val="de-DE"/>
        </w:rPr>
        <w:t xml:space="preserve">(ECE/TRANS/WP.15/AC.2/52) </w:t>
      </w:r>
      <w:r w:rsidR="001704F9" w:rsidRPr="00D432E8">
        <w:rPr>
          <w:lang w:val="de-DE"/>
        </w:rPr>
        <w:t xml:space="preserve">finden sich Festlegungen </w:t>
      </w:r>
      <w:r w:rsidR="00D432E8" w:rsidRPr="00D432E8">
        <w:rPr>
          <w:lang w:val="de-DE"/>
        </w:rPr>
        <w:t xml:space="preserve">über Mindestanforderungen </w:t>
      </w:r>
      <w:r w:rsidR="00D432E8" w:rsidRPr="00D432E8">
        <w:rPr>
          <w:szCs w:val="24"/>
          <w:lang w:val="de-DE"/>
        </w:rPr>
        <w:t>(z.B. Temperaturklasse, Explosionsgruppe) und weitergehende Forderungen, die von den zur Beförderung in den jeweiligen Tankschiffen zugelassen</w:t>
      </w:r>
      <w:r w:rsidR="00C832DF">
        <w:rPr>
          <w:szCs w:val="24"/>
          <w:lang w:val="de-DE"/>
        </w:rPr>
        <w:t>en Stoffe abhängig sein sollen.</w:t>
      </w:r>
    </w:p>
    <w:p w:rsidR="00DF7132" w:rsidRDefault="00DF7132" w:rsidP="00122E97">
      <w:pPr>
        <w:tabs>
          <w:tab w:val="left" w:pos="567"/>
          <w:tab w:val="left" w:pos="1701"/>
          <w:tab w:val="left" w:pos="1985"/>
          <w:tab w:val="left" w:pos="2552"/>
          <w:tab w:val="left" w:pos="3119"/>
          <w:tab w:val="left" w:pos="3686"/>
        </w:tabs>
        <w:ind w:left="1134"/>
        <w:jc w:val="both"/>
        <w:rPr>
          <w:lang w:val="de-DE"/>
        </w:rPr>
      </w:pPr>
    </w:p>
    <w:p w:rsidR="00FA07C2" w:rsidRDefault="00D44E0D" w:rsidP="00122E97">
      <w:pPr>
        <w:tabs>
          <w:tab w:val="left" w:pos="567"/>
          <w:tab w:val="left" w:pos="1701"/>
          <w:tab w:val="left" w:pos="1985"/>
          <w:tab w:val="left" w:pos="2552"/>
          <w:tab w:val="left" w:pos="3119"/>
          <w:tab w:val="left" w:pos="3686"/>
        </w:tabs>
        <w:ind w:left="1134"/>
        <w:jc w:val="both"/>
        <w:rPr>
          <w:szCs w:val="24"/>
          <w:lang w:val="de-DE"/>
        </w:rPr>
      </w:pPr>
      <w:r>
        <w:rPr>
          <w:lang w:val="de-DE"/>
        </w:rPr>
        <w:t>9</w:t>
      </w:r>
      <w:r w:rsidR="00820EAC">
        <w:rPr>
          <w:lang w:val="de-DE"/>
        </w:rPr>
        <w:t>.</w:t>
      </w:r>
      <w:r w:rsidR="00820EAC">
        <w:rPr>
          <w:lang w:val="de-DE"/>
        </w:rPr>
        <w:tab/>
      </w:r>
      <w:r w:rsidR="00D432E8">
        <w:rPr>
          <w:lang w:val="de-DE"/>
        </w:rPr>
        <w:t>Die informelle Arbeitsgruppe Explosionsschutz hat auf dieser Grundlage weitere Festlegungen getroffen.</w:t>
      </w:r>
      <w:r w:rsidR="00820EAC">
        <w:rPr>
          <w:szCs w:val="24"/>
          <w:lang w:val="de-DE"/>
        </w:rPr>
        <w:t xml:space="preserve"> </w:t>
      </w:r>
      <w:r w:rsidR="00D432E8">
        <w:rPr>
          <w:szCs w:val="24"/>
          <w:lang w:val="de-DE"/>
        </w:rPr>
        <w:t>Ein Protokoll liegt nicht vor. Aus den fortgeschriebenen Arbeitsdokumenten leiten die Vertreter der Binnenschifffahrt Folgendes ab:</w:t>
      </w:r>
    </w:p>
    <w:p w:rsidR="00FA07C2" w:rsidRDefault="00FA07C2" w:rsidP="00122E97">
      <w:pPr>
        <w:tabs>
          <w:tab w:val="left" w:pos="567"/>
          <w:tab w:val="left" w:pos="1701"/>
          <w:tab w:val="left" w:pos="1985"/>
          <w:tab w:val="left" w:pos="2552"/>
          <w:tab w:val="left" w:pos="3119"/>
          <w:tab w:val="left" w:pos="3686"/>
        </w:tabs>
        <w:ind w:left="1134"/>
        <w:jc w:val="both"/>
        <w:rPr>
          <w:szCs w:val="24"/>
          <w:lang w:val="de-DE"/>
        </w:rPr>
      </w:pPr>
    </w:p>
    <w:p w:rsidR="004350C0" w:rsidRDefault="00D44E0D" w:rsidP="00D44E0D">
      <w:pPr>
        <w:pStyle w:val="SingleTxtG"/>
        <w:numPr>
          <w:ilvl w:val="0"/>
          <w:numId w:val="13"/>
        </w:numPr>
        <w:tabs>
          <w:tab w:val="left" w:pos="1843"/>
        </w:tabs>
        <w:ind w:right="-1" w:hanging="294"/>
        <w:rPr>
          <w:rFonts w:ascii="Arial" w:hAnsi="Arial" w:cs="Arial"/>
          <w:szCs w:val="24"/>
          <w:lang w:val="de-DE"/>
        </w:rPr>
      </w:pPr>
      <w:r>
        <w:rPr>
          <w:lang w:val="de-DE"/>
        </w:rPr>
        <w:t>„</w:t>
      </w:r>
      <w:r w:rsidR="00FA07C2">
        <w:rPr>
          <w:lang w:val="de-DE"/>
        </w:rPr>
        <w:t xml:space="preserve">Wenn die Schiffs-Stoffliste eines Schiffes Güter enthält, für die laut Spalte 17 von Tabelle C Explosionsschutz erforderlich ist </w:t>
      </w:r>
      <w:r w:rsidR="00FA07C2">
        <w:rPr>
          <w:rFonts w:eastAsia="Calibri"/>
          <w:lang w:val="de-DE"/>
        </w:rPr>
        <w:t>müssen die elektrischen Einrichtungen dem Typ „bescheinigte Sicherheit“</w:t>
      </w:r>
      <w:r w:rsidR="006B11E8">
        <w:rPr>
          <w:rFonts w:eastAsia="Calibri"/>
          <w:lang w:val="de-DE"/>
        </w:rPr>
        <w:t xml:space="preserve"> </w:t>
      </w:r>
      <w:r w:rsidR="004350C0">
        <w:rPr>
          <w:rFonts w:eastAsia="Calibri"/>
          <w:lang w:val="de-DE"/>
        </w:rPr>
        <w:t>(vergleichbar Zone 1)</w:t>
      </w:r>
      <w:r w:rsidR="00FA07C2">
        <w:rPr>
          <w:rFonts w:eastAsia="Calibri"/>
          <w:lang w:val="de-DE"/>
        </w:rPr>
        <w:t xml:space="preserve"> entsprechen.</w:t>
      </w:r>
    </w:p>
    <w:p w:rsidR="004350C0" w:rsidRPr="00D44E0D" w:rsidRDefault="00FA07C2" w:rsidP="00D44E0D">
      <w:pPr>
        <w:pStyle w:val="SingleTxtG"/>
        <w:numPr>
          <w:ilvl w:val="0"/>
          <w:numId w:val="13"/>
        </w:numPr>
        <w:tabs>
          <w:tab w:val="left" w:pos="1843"/>
        </w:tabs>
        <w:spacing w:before="120" w:after="0"/>
        <w:ind w:right="-1" w:hanging="294"/>
        <w:rPr>
          <w:rFonts w:ascii="Arial" w:hAnsi="Arial" w:cs="Arial"/>
          <w:szCs w:val="24"/>
          <w:lang w:val="de-DE"/>
        </w:rPr>
      </w:pPr>
      <w:r w:rsidRPr="00D432E8">
        <w:rPr>
          <w:lang w:val="de-DE"/>
        </w:rPr>
        <w:t xml:space="preserve">Wenn die Schiffs-Stoffliste eines Schiffes </w:t>
      </w:r>
      <w:r w:rsidR="00A42878" w:rsidRPr="00D432E8">
        <w:rPr>
          <w:u w:val="single"/>
          <w:lang w:val="de-DE"/>
        </w:rPr>
        <w:t>nur</w:t>
      </w:r>
      <w:r w:rsidR="00A42878" w:rsidRPr="00D432E8">
        <w:rPr>
          <w:lang w:val="de-DE"/>
        </w:rPr>
        <w:t xml:space="preserve"> </w:t>
      </w:r>
      <w:r w:rsidRPr="00D432E8">
        <w:rPr>
          <w:lang w:val="de-DE"/>
        </w:rPr>
        <w:t>Güter enthält, für die laut Spalte 17 von Tabelle C</w:t>
      </w:r>
      <w:r>
        <w:rPr>
          <w:lang w:val="de-DE"/>
        </w:rPr>
        <w:t xml:space="preserve"> </w:t>
      </w:r>
      <w:r w:rsidRPr="00D44E0D">
        <w:rPr>
          <w:u w:val="single"/>
          <w:lang w:val="de-DE"/>
        </w:rPr>
        <w:t>kein</w:t>
      </w:r>
      <w:r>
        <w:rPr>
          <w:lang w:val="de-DE"/>
        </w:rPr>
        <w:t xml:space="preserve"> Explosionsschutz erforderlich ist </w:t>
      </w:r>
      <w:r>
        <w:rPr>
          <w:rFonts w:eastAsia="Calibri"/>
          <w:lang w:val="de-DE"/>
        </w:rPr>
        <w:t xml:space="preserve">müssen die elektrischen Einrichtungen dem Typ </w:t>
      </w:r>
      <w:r>
        <w:rPr>
          <w:bCs/>
          <w:lang w:val="de-DE"/>
        </w:rPr>
        <w:t xml:space="preserve">„begrenzte Explosionsgefahr“ </w:t>
      </w:r>
      <w:r>
        <w:rPr>
          <w:rFonts w:eastAsia="Calibri"/>
          <w:lang w:val="de-DE"/>
        </w:rPr>
        <w:t>(vergleichbar Zone 2)</w:t>
      </w:r>
      <w:r>
        <w:rPr>
          <w:b/>
          <w:bCs/>
          <w:lang w:val="de-DE"/>
        </w:rPr>
        <w:t xml:space="preserve"> </w:t>
      </w:r>
      <w:r>
        <w:rPr>
          <w:bCs/>
          <w:lang w:val="de-DE"/>
        </w:rPr>
        <w:t>e</w:t>
      </w:r>
      <w:r>
        <w:rPr>
          <w:rFonts w:eastAsia="Calibri"/>
          <w:lang w:val="de-DE"/>
        </w:rPr>
        <w:t xml:space="preserve">ntsprechen, wobei </w:t>
      </w:r>
      <w:r>
        <w:rPr>
          <w:bCs/>
          <w:lang w:val="de-DE"/>
        </w:rPr>
        <w:t>eine maximale Oberflächentemperatur von 200 °C nicht überschritten werden darf.</w:t>
      </w:r>
      <w:r w:rsidR="00D44E0D">
        <w:rPr>
          <w:bCs/>
          <w:lang w:val="de-DE"/>
        </w:rPr>
        <w:t>“</w:t>
      </w:r>
    </w:p>
    <w:p w:rsidR="00D44E0D" w:rsidRDefault="00D44E0D" w:rsidP="00D44E0D">
      <w:pPr>
        <w:pStyle w:val="SingleTxtG"/>
        <w:tabs>
          <w:tab w:val="left" w:pos="1843"/>
        </w:tabs>
        <w:spacing w:after="0"/>
        <w:ind w:left="1854" w:right="-1"/>
        <w:rPr>
          <w:rFonts w:ascii="Arial" w:hAnsi="Arial" w:cs="Arial"/>
          <w:szCs w:val="24"/>
          <w:lang w:val="de-DE"/>
        </w:rPr>
      </w:pPr>
    </w:p>
    <w:p w:rsidR="00820EAC" w:rsidRDefault="00D44E0D" w:rsidP="00122E97">
      <w:pPr>
        <w:tabs>
          <w:tab w:val="left" w:pos="567"/>
          <w:tab w:val="left" w:pos="1701"/>
          <w:tab w:val="left" w:pos="1985"/>
          <w:tab w:val="left" w:pos="2552"/>
          <w:tab w:val="left" w:pos="3119"/>
          <w:tab w:val="left" w:pos="3686"/>
        </w:tabs>
        <w:ind w:left="1134"/>
        <w:jc w:val="both"/>
        <w:rPr>
          <w:szCs w:val="24"/>
          <w:lang w:val="de-DE"/>
        </w:rPr>
      </w:pPr>
      <w:r>
        <w:rPr>
          <w:szCs w:val="24"/>
          <w:lang w:val="de-DE"/>
        </w:rPr>
        <w:t>10.</w:t>
      </w:r>
      <w:r>
        <w:rPr>
          <w:szCs w:val="24"/>
          <w:lang w:val="de-DE"/>
        </w:rPr>
        <w:tab/>
      </w:r>
      <w:r w:rsidR="004350C0">
        <w:rPr>
          <w:szCs w:val="24"/>
          <w:lang w:val="de-DE"/>
        </w:rPr>
        <w:t>und schlagen eine Ergänzung des bestehenden Texts vor:</w:t>
      </w:r>
    </w:p>
    <w:p w:rsidR="00E64A93" w:rsidRDefault="00E64A93">
      <w:pPr>
        <w:suppressAutoHyphens w:val="0"/>
        <w:spacing w:line="240" w:lineRule="auto"/>
        <w:rPr>
          <w:b/>
          <w:snapToGrid w:val="0"/>
          <w:sz w:val="28"/>
          <w:lang w:val="de-DE"/>
        </w:rPr>
      </w:pPr>
      <w:r>
        <w:rPr>
          <w:snapToGrid w:val="0"/>
          <w:lang w:val="de-DE"/>
        </w:rPr>
        <w:br w:type="page"/>
      </w:r>
    </w:p>
    <w:p w:rsidR="006B464B" w:rsidRPr="007964A5" w:rsidRDefault="00FA07C2" w:rsidP="00122E97">
      <w:pPr>
        <w:pStyle w:val="HChG"/>
        <w:tabs>
          <w:tab w:val="left" w:pos="1701"/>
        </w:tabs>
        <w:ind w:firstLine="0"/>
        <w:rPr>
          <w:snapToGrid w:val="0"/>
          <w:lang w:val="de-DE"/>
        </w:rPr>
      </w:pPr>
      <w:r w:rsidRPr="007964A5">
        <w:rPr>
          <w:snapToGrid w:val="0"/>
          <w:lang w:val="de-DE"/>
        </w:rPr>
        <w:lastRenderedPageBreak/>
        <w:t>B</w:t>
      </w:r>
      <w:r w:rsidR="006B464B" w:rsidRPr="007964A5">
        <w:rPr>
          <w:snapToGrid w:val="0"/>
          <w:lang w:val="de-DE"/>
        </w:rPr>
        <w:t>estehender Text</w:t>
      </w:r>
    </w:p>
    <w:p w:rsidR="006B464B" w:rsidRDefault="00D44E0D" w:rsidP="00122E97">
      <w:pPr>
        <w:tabs>
          <w:tab w:val="left" w:pos="567"/>
          <w:tab w:val="left" w:pos="1701"/>
          <w:tab w:val="left" w:pos="1985"/>
          <w:tab w:val="left" w:pos="2552"/>
          <w:tab w:val="left" w:pos="3119"/>
          <w:tab w:val="left" w:pos="3686"/>
        </w:tabs>
        <w:ind w:left="1134"/>
        <w:rPr>
          <w:lang w:val="de-DE" w:eastAsia="en-US"/>
        </w:rPr>
      </w:pPr>
      <w:r>
        <w:rPr>
          <w:rFonts w:eastAsia="Calibri"/>
          <w:lang w:val="de-DE"/>
        </w:rPr>
        <w:t>11</w:t>
      </w:r>
      <w:r w:rsidR="006B464B">
        <w:rPr>
          <w:rFonts w:eastAsia="Calibri"/>
          <w:lang w:val="de-DE"/>
        </w:rPr>
        <w:t>.</w:t>
      </w:r>
      <w:r w:rsidR="006B464B">
        <w:rPr>
          <w:rFonts w:eastAsia="Calibri"/>
          <w:lang w:val="de-DE"/>
        </w:rPr>
        <w:tab/>
        <w:t>Der besteh</w:t>
      </w:r>
      <w:r w:rsidR="00C832DF">
        <w:rPr>
          <w:rFonts w:eastAsia="Calibri"/>
          <w:lang w:val="de-DE"/>
        </w:rPr>
        <w:t>ende Text in 9.3.x.52.1 lautet:</w:t>
      </w:r>
    </w:p>
    <w:p w:rsidR="006B464B" w:rsidRDefault="006B464B" w:rsidP="00122E97">
      <w:pPr>
        <w:tabs>
          <w:tab w:val="left" w:pos="1701"/>
        </w:tabs>
        <w:autoSpaceDE w:val="0"/>
        <w:autoSpaceDN w:val="0"/>
        <w:adjustRightInd w:val="0"/>
        <w:ind w:left="1134"/>
        <w:rPr>
          <w:rFonts w:eastAsia="Calibri"/>
          <w:lang w:val="de-DE"/>
        </w:rPr>
      </w:pPr>
    </w:p>
    <w:p w:rsidR="006B464B" w:rsidRPr="006B11E8" w:rsidRDefault="00D44E0D" w:rsidP="00122E97">
      <w:pPr>
        <w:tabs>
          <w:tab w:val="left" w:pos="1701"/>
        </w:tabs>
        <w:autoSpaceDE w:val="0"/>
        <w:autoSpaceDN w:val="0"/>
        <w:adjustRightInd w:val="0"/>
        <w:ind w:left="1134"/>
        <w:rPr>
          <w:rFonts w:eastAsia="Calibri"/>
          <w:b/>
          <w:lang w:val="de-DE"/>
        </w:rPr>
      </w:pPr>
      <w:r>
        <w:rPr>
          <w:rFonts w:eastAsia="Calibri"/>
          <w:lang w:val="de-DE"/>
        </w:rPr>
        <w:t>„</w:t>
      </w:r>
      <w:r w:rsidR="006B464B">
        <w:rPr>
          <w:rFonts w:eastAsia="Calibri"/>
          <w:lang w:val="de-DE"/>
        </w:rPr>
        <w:t xml:space="preserve">9.3.x.52 </w:t>
      </w:r>
      <w:r w:rsidR="006B464B" w:rsidRPr="006B11E8">
        <w:rPr>
          <w:rFonts w:eastAsia="Calibri"/>
          <w:b/>
          <w:lang w:val="de-DE"/>
        </w:rPr>
        <w:t>Art und Aufstellungsort der elektrischen Einrichtungen</w:t>
      </w:r>
    </w:p>
    <w:p w:rsidR="006B464B" w:rsidRDefault="006B464B" w:rsidP="00122E97">
      <w:pPr>
        <w:tabs>
          <w:tab w:val="left" w:pos="1701"/>
        </w:tabs>
        <w:autoSpaceDE w:val="0"/>
        <w:autoSpaceDN w:val="0"/>
        <w:adjustRightInd w:val="0"/>
        <w:ind w:left="1134"/>
        <w:rPr>
          <w:rFonts w:eastAsia="Calibri"/>
          <w:lang w:val="de-DE"/>
        </w:rPr>
      </w:pPr>
    </w:p>
    <w:p w:rsidR="006B464B" w:rsidRDefault="006B464B" w:rsidP="00122E97">
      <w:pPr>
        <w:tabs>
          <w:tab w:val="left" w:pos="1701"/>
        </w:tabs>
        <w:autoSpaceDE w:val="0"/>
        <w:autoSpaceDN w:val="0"/>
        <w:adjustRightInd w:val="0"/>
        <w:ind w:left="1134"/>
        <w:rPr>
          <w:rFonts w:eastAsia="Calibri"/>
          <w:lang w:val="de-DE"/>
        </w:rPr>
      </w:pPr>
      <w:r>
        <w:rPr>
          <w:rFonts w:eastAsia="Calibri"/>
          <w:lang w:val="de-DE"/>
        </w:rPr>
        <w:t>9.3.x.52.1 [Zugelassene Einrichtungen]</w:t>
      </w:r>
    </w:p>
    <w:p w:rsidR="006B464B" w:rsidRDefault="006B464B" w:rsidP="00122E97">
      <w:pPr>
        <w:tabs>
          <w:tab w:val="left" w:pos="1701"/>
        </w:tabs>
        <w:autoSpaceDE w:val="0"/>
        <w:autoSpaceDN w:val="0"/>
        <w:adjustRightInd w:val="0"/>
        <w:ind w:left="1134"/>
        <w:rPr>
          <w:rFonts w:eastAsia="Calibri"/>
          <w:lang w:val="de-DE"/>
        </w:rPr>
      </w:pPr>
    </w:p>
    <w:p w:rsidR="006B464B" w:rsidRDefault="006B464B" w:rsidP="009703C4">
      <w:pPr>
        <w:tabs>
          <w:tab w:val="left" w:pos="1701"/>
        </w:tabs>
        <w:autoSpaceDE w:val="0"/>
        <w:autoSpaceDN w:val="0"/>
        <w:adjustRightInd w:val="0"/>
        <w:ind w:left="1701" w:hanging="567"/>
        <w:rPr>
          <w:rFonts w:eastAsia="Calibri"/>
          <w:lang w:val="de-DE"/>
        </w:rPr>
      </w:pPr>
      <w:r>
        <w:rPr>
          <w:rFonts w:eastAsia="Calibri"/>
          <w:lang w:val="de-DE"/>
        </w:rPr>
        <w:t>a)</w:t>
      </w:r>
      <w:r>
        <w:rPr>
          <w:rFonts w:eastAsia="Calibri"/>
          <w:lang w:val="de-DE"/>
        </w:rPr>
        <w:tab/>
        <w:t xml:space="preserve">In Ladetanks, </w:t>
      </w:r>
      <w:r w:rsidR="007964A5">
        <w:rPr>
          <w:rFonts w:eastAsia="Calibri"/>
          <w:lang w:val="de-DE"/>
        </w:rPr>
        <w:t>[</w:t>
      </w:r>
      <w:r>
        <w:rPr>
          <w:rFonts w:eastAsia="Calibri"/>
          <w:lang w:val="de-DE"/>
        </w:rPr>
        <w:t>Restetanks</w:t>
      </w:r>
      <w:r w:rsidR="007964A5">
        <w:rPr>
          <w:rFonts w:eastAsia="Calibri"/>
          <w:lang w:val="de-DE"/>
        </w:rPr>
        <w:t>]</w:t>
      </w:r>
      <w:r w:rsidR="007964A5">
        <w:rPr>
          <w:rStyle w:val="FootnoteReference"/>
          <w:rFonts w:eastAsia="Calibri"/>
        </w:rPr>
        <w:footnoteReference w:id="3"/>
      </w:r>
      <w:r>
        <w:rPr>
          <w:rFonts w:eastAsia="Calibri"/>
          <w:lang w:val="de-DE"/>
        </w:rPr>
        <w:t xml:space="preserve"> sowie in Lade- und Löschleitungen sind nur zugelassen (vergleichbar Zone</w:t>
      </w:r>
      <w:r w:rsidR="00C832DF">
        <w:rPr>
          <w:rFonts w:eastAsia="Calibri"/>
          <w:lang w:val="de-DE"/>
        </w:rPr>
        <w:t> </w:t>
      </w:r>
      <w:r>
        <w:rPr>
          <w:rFonts w:eastAsia="Calibri"/>
          <w:lang w:val="de-DE"/>
        </w:rPr>
        <w:t>0):</w:t>
      </w:r>
    </w:p>
    <w:p w:rsidR="006B464B" w:rsidRDefault="006B464B" w:rsidP="009703C4">
      <w:pPr>
        <w:tabs>
          <w:tab w:val="left" w:pos="1701"/>
          <w:tab w:val="left" w:pos="1985"/>
        </w:tabs>
        <w:autoSpaceDE w:val="0"/>
        <w:autoSpaceDN w:val="0"/>
        <w:adjustRightInd w:val="0"/>
        <w:spacing w:before="60"/>
        <w:ind w:left="1701"/>
        <w:rPr>
          <w:rFonts w:eastAsia="Calibri"/>
          <w:lang w:val="de-DE"/>
        </w:rPr>
      </w:pPr>
      <w:r>
        <w:rPr>
          <w:rFonts w:eastAsia="Calibri"/>
          <w:lang w:val="de-DE"/>
        </w:rPr>
        <w:t>–</w:t>
      </w:r>
      <w:r w:rsidR="00C832DF">
        <w:rPr>
          <w:rFonts w:eastAsia="Calibri"/>
          <w:lang w:val="de-DE"/>
        </w:rPr>
        <w:tab/>
      </w:r>
      <w:r>
        <w:rPr>
          <w:rFonts w:eastAsia="Calibri"/>
          <w:lang w:val="de-DE"/>
        </w:rPr>
        <w:t>Mess-, Regel- und Alarmeinrichtungen in Ausführung EEx (ia).</w:t>
      </w:r>
    </w:p>
    <w:p w:rsidR="009703C4" w:rsidRDefault="009703C4" w:rsidP="00122E97">
      <w:pPr>
        <w:tabs>
          <w:tab w:val="left" w:pos="1701"/>
        </w:tabs>
        <w:autoSpaceDE w:val="0"/>
        <w:autoSpaceDN w:val="0"/>
        <w:adjustRightInd w:val="0"/>
        <w:spacing w:before="60"/>
        <w:ind w:left="1134"/>
        <w:rPr>
          <w:rFonts w:eastAsia="Calibri"/>
          <w:lang w:val="de-DE"/>
        </w:rPr>
      </w:pPr>
    </w:p>
    <w:p w:rsidR="006B464B" w:rsidRDefault="006B464B" w:rsidP="009703C4">
      <w:pPr>
        <w:tabs>
          <w:tab w:val="left" w:pos="1701"/>
        </w:tabs>
        <w:autoSpaceDE w:val="0"/>
        <w:autoSpaceDN w:val="0"/>
        <w:adjustRightInd w:val="0"/>
        <w:ind w:left="1701" w:hanging="567"/>
        <w:rPr>
          <w:rFonts w:eastAsia="Calibri"/>
          <w:lang w:val="de-DE"/>
        </w:rPr>
      </w:pPr>
      <w:r>
        <w:rPr>
          <w:rFonts w:eastAsia="Calibri"/>
          <w:lang w:val="de-DE"/>
        </w:rPr>
        <w:t>b)</w:t>
      </w:r>
      <w:r>
        <w:rPr>
          <w:rFonts w:eastAsia="Calibri"/>
          <w:lang w:val="de-DE"/>
        </w:rPr>
        <w:tab/>
        <w:t>In Kofferdämmen, Wallgängen, Doppelböden und Aufstellungsräumen sind nur zugelassen (vergleichbar Zone 1):</w:t>
      </w:r>
    </w:p>
    <w:p w:rsidR="006B464B" w:rsidRDefault="006B464B" w:rsidP="009703C4">
      <w:pPr>
        <w:tabs>
          <w:tab w:val="left" w:pos="1701"/>
          <w:tab w:val="left" w:pos="1985"/>
        </w:tabs>
        <w:autoSpaceDE w:val="0"/>
        <w:autoSpaceDN w:val="0"/>
        <w:adjustRightInd w:val="0"/>
        <w:spacing w:before="60"/>
        <w:ind w:left="1701"/>
        <w:jc w:val="both"/>
        <w:rPr>
          <w:rFonts w:eastAsia="Calibri"/>
          <w:lang w:val="de-DE"/>
        </w:rPr>
      </w:pPr>
      <w:r>
        <w:rPr>
          <w:rFonts w:eastAsia="Calibri"/>
          <w:lang w:val="de-DE"/>
        </w:rPr>
        <w:t>–</w:t>
      </w:r>
      <w:r>
        <w:rPr>
          <w:rFonts w:eastAsia="Calibri"/>
          <w:lang w:val="de-DE"/>
        </w:rPr>
        <w:tab/>
        <w:t>Mess-, Regel- und Alarmeinrichtungen vom Typ „bescheinigte Sicherheit“;</w:t>
      </w:r>
    </w:p>
    <w:p w:rsidR="006B464B" w:rsidRDefault="006B464B" w:rsidP="009703C4">
      <w:pPr>
        <w:tabs>
          <w:tab w:val="left" w:pos="1701"/>
          <w:tab w:val="left" w:pos="1985"/>
        </w:tabs>
        <w:autoSpaceDE w:val="0"/>
        <w:autoSpaceDN w:val="0"/>
        <w:adjustRightInd w:val="0"/>
        <w:spacing w:before="60"/>
        <w:ind w:left="1701"/>
        <w:jc w:val="both"/>
        <w:rPr>
          <w:rFonts w:eastAsia="Calibri"/>
          <w:lang w:val="de-DE"/>
        </w:rPr>
      </w:pPr>
      <w:r>
        <w:rPr>
          <w:rFonts w:eastAsia="Calibri"/>
          <w:lang w:val="de-DE"/>
        </w:rPr>
        <w:t>–</w:t>
      </w:r>
      <w:r>
        <w:rPr>
          <w:rFonts w:eastAsia="Calibri"/>
          <w:lang w:val="de-DE"/>
        </w:rPr>
        <w:tab/>
        <w:t>Leuchten der Schutzart „druckfeste Kapselung“ oder „Überdruckkapselung“;</w:t>
      </w:r>
    </w:p>
    <w:p w:rsidR="006B464B" w:rsidRDefault="006B464B" w:rsidP="009703C4">
      <w:pPr>
        <w:tabs>
          <w:tab w:val="left" w:pos="1985"/>
        </w:tabs>
        <w:autoSpaceDE w:val="0"/>
        <w:autoSpaceDN w:val="0"/>
        <w:adjustRightInd w:val="0"/>
        <w:spacing w:before="60"/>
        <w:ind w:left="1985" w:hanging="284"/>
        <w:jc w:val="both"/>
        <w:rPr>
          <w:rFonts w:eastAsia="Calibri"/>
          <w:lang w:val="de-DE"/>
        </w:rPr>
      </w:pPr>
      <w:r>
        <w:rPr>
          <w:rFonts w:eastAsia="Calibri"/>
          <w:lang w:val="de-DE"/>
        </w:rPr>
        <w:t>–</w:t>
      </w:r>
      <w:r>
        <w:rPr>
          <w:rFonts w:eastAsia="Calibri"/>
          <w:lang w:val="de-DE"/>
        </w:rPr>
        <w:tab/>
        <w:t>hermetisch abgeschlossene Echolotschwinger, deren Kabel in dickwandigen Stahlrohren mit gasdichten Verbindungen bis über das Hauptdeck geführt sind;</w:t>
      </w:r>
    </w:p>
    <w:p w:rsidR="00C832DF" w:rsidRDefault="009703C4" w:rsidP="00E64A93">
      <w:pPr>
        <w:tabs>
          <w:tab w:val="left" w:pos="1985"/>
        </w:tabs>
        <w:autoSpaceDE w:val="0"/>
        <w:autoSpaceDN w:val="0"/>
        <w:adjustRightInd w:val="0"/>
        <w:spacing w:before="60"/>
        <w:ind w:left="1985" w:hanging="284"/>
        <w:jc w:val="both"/>
        <w:rPr>
          <w:rFonts w:eastAsia="Calibri"/>
          <w:lang w:val="de-DE"/>
        </w:rPr>
      </w:pPr>
      <w:r w:rsidRPr="009703C4">
        <w:rPr>
          <w:rFonts w:eastAsia="Calibri"/>
          <w:lang w:val="de-DE"/>
        </w:rPr>
        <w:t>–</w:t>
      </w:r>
      <w:r w:rsidR="006B464B">
        <w:rPr>
          <w:rFonts w:eastAsia="Calibri"/>
          <w:lang w:val="de-DE"/>
        </w:rPr>
        <w:tab/>
        <w:t>Kabel für den aktiven Kathodenschutz der Außenhaut in Schutzrohren aus Stahl wie für Echolotschwinger.</w:t>
      </w:r>
    </w:p>
    <w:p w:rsidR="00E64A93" w:rsidRDefault="00E64A93" w:rsidP="00E64A93">
      <w:pPr>
        <w:tabs>
          <w:tab w:val="left" w:pos="1985"/>
        </w:tabs>
        <w:autoSpaceDE w:val="0"/>
        <w:autoSpaceDN w:val="0"/>
        <w:adjustRightInd w:val="0"/>
        <w:spacing w:before="60"/>
        <w:ind w:left="1985" w:hanging="284"/>
        <w:jc w:val="both"/>
        <w:rPr>
          <w:rFonts w:eastAsia="Calibri"/>
          <w:lang w:val="de-DE"/>
        </w:rPr>
      </w:pPr>
    </w:p>
    <w:p w:rsidR="006B464B" w:rsidRDefault="006B464B" w:rsidP="009703C4">
      <w:pPr>
        <w:tabs>
          <w:tab w:val="left" w:pos="1701"/>
        </w:tabs>
        <w:autoSpaceDE w:val="0"/>
        <w:autoSpaceDN w:val="0"/>
        <w:adjustRightInd w:val="0"/>
        <w:ind w:left="1701" w:hanging="567"/>
        <w:jc w:val="both"/>
        <w:rPr>
          <w:rFonts w:eastAsia="Calibri"/>
          <w:lang w:val="de-DE"/>
        </w:rPr>
      </w:pPr>
      <w:r>
        <w:rPr>
          <w:rFonts w:eastAsia="Calibri"/>
          <w:lang w:val="de-DE"/>
        </w:rPr>
        <w:t>c)</w:t>
      </w:r>
      <w:r>
        <w:rPr>
          <w:rFonts w:eastAsia="Calibri"/>
          <w:lang w:val="de-DE"/>
        </w:rPr>
        <w:tab/>
        <w:t>In den Betriebsräumen unter Deck im Bereich der Ladung sind nur zugelassen (vergleichbar Zone 1):</w:t>
      </w:r>
    </w:p>
    <w:p w:rsidR="006B464B" w:rsidRDefault="006B464B" w:rsidP="009703C4">
      <w:pPr>
        <w:tabs>
          <w:tab w:val="left" w:pos="1985"/>
        </w:tabs>
        <w:autoSpaceDE w:val="0"/>
        <w:autoSpaceDN w:val="0"/>
        <w:adjustRightInd w:val="0"/>
        <w:spacing w:before="60"/>
        <w:ind w:left="1985" w:hanging="284"/>
        <w:jc w:val="both"/>
        <w:rPr>
          <w:rFonts w:eastAsia="Calibri"/>
          <w:lang w:val="de-DE"/>
        </w:rPr>
      </w:pPr>
      <w:r>
        <w:rPr>
          <w:rFonts w:eastAsia="Calibri"/>
          <w:lang w:val="de-DE"/>
        </w:rPr>
        <w:t>–</w:t>
      </w:r>
      <w:r>
        <w:rPr>
          <w:rFonts w:eastAsia="Calibri"/>
          <w:lang w:val="de-DE"/>
        </w:rPr>
        <w:tab/>
        <w:t>Mess-, Regel- und Alarmeinrichtungen vom Typ „bescheinigte Sicherheit“;</w:t>
      </w:r>
    </w:p>
    <w:p w:rsidR="006B464B" w:rsidRDefault="006B464B" w:rsidP="009703C4">
      <w:pPr>
        <w:tabs>
          <w:tab w:val="left" w:pos="1985"/>
        </w:tabs>
        <w:autoSpaceDE w:val="0"/>
        <w:autoSpaceDN w:val="0"/>
        <w:adjustRightInd w:val="0"/>
        <w:spacing w:before="60"/>
        <w:ind w:left="1985" w:hanging="284"/>
        <w:jc w:val="both"/>
        <w:rPr>
          <w:rFonts w:eastAsia="Calibri"/>
          <w:lang w:val="de-DE"/>
        </w:rPr>
      </w:pPr>
      <w:r>
        <w:rPr>
          <w:rFonts w:eastAsia="Calibri"/>
          <w:lang w:val="de-DE"/>
        </w:rPr>
        <w:t>–</w:t>
      </w:r>
      <w:r>
        <w:rPr>
          <w:rFonts w:eastAsia="Calibri"/>
          <w:lang w:val="de-DE"/>
        </w:rPr>
        <w:tab/>
        <w:t>Leuchten der Schutzart „druckfeste Kapselung“ oder „Überdruckkapselung“;</w:t>
      </w:r>
    </w:p>
    <w:p w:rsidR="006B464B" w:rsidRPr="009703C4" w:rsidRDefault="006B464B" w:rsidP="009703C4">
      <w:pPr>
        <w:tabs>
          <w:tab w:val="left" w:pos="1985"/>
        </w:tabs>
        <w:autoSpaceDE w:val="0"/>
        <w:autoSpaceDN w:val="0"/>
        <w:adjustRightInd w:val="0"/>
        <w:spacing w:before="60"/>
        <w:ind w:left="1985" w:hanging="284"/>
        <w:jc w:val="both"/>
        <w:rPr>
          <w:rFonts w:eastAsia="Calibri"/>
          <w:lang w:val="de-DE"/>
        </w:rPr>
      </w:pPr>
      <w:r>
        <w:rPr>
          <w:rFonts w:eastAsia="Calibri"/>
          <w:lang w:val="de-DE"/>
        </w:rPr>
        <w:t>–</w:t>
      </w:r>
      <w:r>
        <w:rPr>
          <w:rFonts w:eastAsia="Calibri"/>
          <w:lang w:val="de-DE"/>
        </w:rPr>
        <w:tab/>
        <w:t>Motoren für den Antrieb betriebsnotwendiger Einrichtungen wie z. B. von Ballastpumpen. Sie müssen dem Typ „bescheinigte Sicherheit“ entsprechen.</w:t>
      </w:r>
    </w:p>
    <w:p w:rsidR="009703C4" w:rsidRDefault="009703C4" w:rsidP="009703C4">
      <w:pPr>
        <w:tabs>
          <w:tab w:val="left" w:pos="1701"/>
        </w:tabs>
        <w:autoSpaceDE w:val="0"/>
        <w:autoSpaceDN w:val="0"/>
        <w:adjustRightInd w:val="0"/>
        <w:ind w:left="1701" w:hanging="567"/>
        <w:rPr>
          <w:rFonts w:eastAsia="Calibri"/>
          <w:lang w:val="de-DE"/>
        </w:rPr>
      </w:pPr>
    </w:p>
    <w:p w:rsidR="006B464B" w:rsidRDefault="006B464B" w:rsidP="009703C4">
      <w:pPr>
        <w:tabs>
          <w:tab w:val="left" w:pos="1701"/>
        </w:tabs>
        <w:autoSpaceDE w:val="0"/>
        <w:autoSpaceDN w:val="0"/>
        <w:adjustRightInd w:val="0"/>
        <w:ind w:left="1701" w:hanging="567"/>
        <w:rPr>
          <w:rFonts w:eastAsia="Calibri"/>
          <w:lang w:val="de-DE"/>
        </w:rPr>
      </w:pPr>
      <w:r>
        <w:rPr>
          <w:rFonts w:eastAsia="Calibri"/>
          <w:lang w:val="de-DE"/>
        </w:rPr>
        <w:t>d)</w:t>
      </w:r>
      <w:r>
        <w:rPr>
          <w:rFonts w:eastAsia="Calibri"/>
          <w:lang w:val="de-DE"/>
        </w:rPr>
        <w:tab/>
        <w:t>Die Schalt- und Schutzeinrichtungen zu den unter den Buchstaben a), b) und c) genannten Einrichtungen müssen außerhalb des Bereichs der Ladung liegen, wenn sie nicht eigensicher ausgeführt sind.</w:t>
      </w:r>
    </w:p>
    <w:p w:rsidR="009703C4" w:rsidRDefault="009703C4" w:rsidP="009703C4">
      <w:pPr>
        <w:tabs>
          <w:tab w:val="left" w:pos="1701"/>
        </w:tabs>
        <w:autoSpaceDE w:val="0"/>
        <w:autoSpaceDN w:val="0"/>
        <w:adjustRightInd w:val="0"/>
        <w:ind w:left="1701" w:hanging="567"/>
        <w:rPr>
          <w:rFonts w:eastAsia="Calibri"/>
          <w:lang w:val="de-DE"/>
        </w:rPr>
      </w:pPr>
    </w:p>
    <w:p w:rsidR="006B464B" w:rsidRDefault="006B464B" w:rsidP="009703C4">
      <w:pPr>
        <w:tabs>
          <w:tab w:val="left" w:pos="1701"/>
        </w:tabs>
        <w:autoSpaceDE w:val="0"/>
        <w:autoSpaceDN w:val="0"/>
        <w:adjustRightInd w:val="0"/>
        <w:ind w:left="1701" w:hanging="567"/>
        <w:rPr>
          <w:rFonts w:eastAsia="Calibri"/>
          <w:lang w:val="de-DE"/>
        </w:rPr>
      </w:pPr>
      <w:r>
        <w:rPr>
          <w:rFonts w:eastAsia="Calibri"/>
          <w:lang w:val="de-DE"/>
        </w:rPr>
        <w:t>e)</w:t>
      </w:r>
      <w:r>
        <w:rPr>
          <w:rFonts w:eastAsia="Calibri"/>
          <w:lang w:val="de-DE"/>
        </w:rPr>
        <w:tab/>
        <w:t>Auf Deck innerhalb des Bereichs der Ladung müssen die elektrischen Einrichtungen dem Typ „bescheinigte Sicherheit“ entsprechen (vergleichbar Zone 1).</w:t>
      </w:r>
      <w:r w:rsidR="00D44E0D">
        <w:rPr>
          <w:rFonts w:eastAsia="Calibri"/>
          <w:lang w:val="de-DE"/>
        </w:rPr>
        <w:t>“</w:t>
      </w:r>
    </w:p>
    <w:p w:rsidR="006B464B" w:rsidRPr="007964A5" w:rsidRDefault="004350C0" w:rsidP="00122E97">
      <w:pPr>
        <w:pStyle w:val="HChG"/>
        <w:tabs>
          <w:tab w:val="left" w:pos="1701"/>
        </w:tabs>
        <w:ind w:firstLine="0"/>
        <w:rPr>
          <w:snapToGrid w:val="0"/>
          <w:lang w:val="de-DE"/>
        </w:rPr>
      </w:pPr>
      <w:r w:rsidRPr="007964A5">
        <w:rPr>
          <w:snapToGrid w:val="0"/>
          <w:lang w:val="de-DE"/>
        </w:rPr>
        <w:t>Ergänzung</w:t>
      </w:r>
    </w:p>
    <w:p w:rsidR="006B464B" w:rsidRDefault="00D44E0D" w:rsidP="00122E97">
      <w:pPr>
        <w:tabs>
          <w:tab w:val="left" w:pos="567"/>
          <w:tab w:val="left" w:pos="1701"/>
          <w:tab w:val="left" w:pos="1985"/>
          <w:tab w:val="left" w:pos="2552"/>
          <w:tab w:val="left" w:pos="3119"/>
          <w:tab w:val="left" w:pos="3686"/>
        </w:tabs>
        <w:ind w:left="1134"/>
        <w:rPr>
          <w:rFonts w:eastAsia="Calibri"/>
          <w:lang w:val="de-DE"/>
        </w:rPr>
      </w:pPr>
      <w:r>
        <w:rPr>
          <w:rFonts w:eastAsia="Calibri"/>
          <w:lang w:val="de-DE"/>
        </w:rPr>
        <w:t>12</w:t>
      </w:r>
      <w:r w:rsidR="006B464B">
        <w:rPr>
          <w:rFonts w:eastAsia="Calibri"/>
          <w:lang w:val="de-DE"/>
        </w:rPr>
        <w:t xml:space="preserve">. </w:t>
      </w:r>
      <w:r w:rsidR="00C832DF">
        <w:rPr>
          <w:rFonts w:eastAsia="Calibri"/>
          <w:lang w:val="de-DE"/>
        </w:rPr>
        <w:tab/>
      </w:r>
      <w:r w:rsidR="006B464B">
        <w:rPr>
          <w:rFonts w:eastAsia="Calibri"/>
          <w:lang w:val="de-DE"/>
        </w:rPr>
        <w:t>Am Ende von 9.3.x.52.1 wird nach dem Buchstaben e) folgender Absatz angefügt:</w:t>
      </w:r>
    </w:p>
    <w:p w:rsidR="006B464B" w:rsidRDefault="00D44E0D" w:rsidP="00122E97">
      <w:pPr>
        <w:tabs>
          <w:tab w:val="left" w:pos="1701"/>
        </w:tabs>
        <w:autoSpaceDE w:val="0"/>
        <w:autoSpaceDN w:val="0"/>
        <w:adjustRightInd w:val="0"/>
        <w:spacing w:before="120"/>
        <w:ind w:left="1134"/>
        <w:jc w:val="both"/>
        <w:rPr>
          <w:bCs/>
          <w:lang w:val="de-DE" w:eastAsia="zh-CN"/>
        </w:rPr>
      </w:pPr>
      <w:r>
        <w:rPr>
          <w:bCs/>
          <w:lang w:val="de-DE"/>
        </w:rPr>
        <w:t>„</w:t>
      </w:r>
      <w:r w:rsidR="006B464B">
        <w:rPr>
          <w:bCs/>
          <w:lang w:val="de-DE"/>
        </w:rPr>
        <w:t>Wenn die Schiffsstoffliste nach 1.16.1.2.5 nur Stoffe enthält, für die nach Kapitel 3.Tabelle C Spalte</w:t>
      </w:r>
      <w:r w:rsidR="00F45C5E">
        <w:rPr>
          <w:bCs/>
          <w:lang w:val="de-DE"/>
        </w:rPr>
        <w:t xml:space="preserve"> </w:t>
      </w:r>
      <w:r w:rsidR="006B464B">
        <w:rPr>
          <w:bCs/>
          <w:lang w:val="de-DE"/>
        </w:rPr>
        <w:t>(17) kein Explosionsschutz erforderlich ist, müssen</w:t>
      </w:r>
      <w:r w:rsidR="006B464B">
        <w:rPr>
          <w:bCs/>
          <w:lang w:val="de-DE" w:eastAsia="zh-CN"/>
        </w:rPr>
        <w:t xml:space="preserve"> </w:t>
      </w:r>
      <w:r w:rsidR="006B464B">
        <w:rPr>
          <w:bCs/>
          <w:lang w:val="de-DE"/>
        </w:rPr>
        <w:t>elektrische Einrichtungen in den Bereichen, wie unter Buchstabe a), b), c)</w:t>
      </w:r>
      <w:r w:rsidR="00184B00">
        <w:rPr>
          <w:bCs/>
          <w:lang w:val="de-DE"/>
        </w:rPr>
        <w:t xml:space="preserve"> </w:t>
      </w:r>
      <w:r w:rsidR="006B464B">
        <w:rPr>
          <w:bCs/>
          <w:lang w:val="de-DE"/>
        </w:rPr>
        <w:t xml:space="preserve">und e) genannt, der Mindestschutzart vom Typ „begrenzte Explosionsgefahr“ </w:t>
      </w:r>
      <w:r w:rsidR="006B464B">
        <w:rPr>
          <w:rFonts w:eastAsia="Calibri"/>
          <w:lang w:val="de-DE"/>
        </w:rPr>
        <w:t>(vergleichbar Zone 2)</w:t>
      </w:r>
      <w:r w:rsidR="006B464B">
        <w:rPr>
          <w:b/>
          <w:bCs/>
          <w:lang w:val="de-DE"/>
        </w:rPr>
        <w:t xml:space="preserve"> </w:t>
      </w:r>
      <w:r w:rsidR="006B464B">
        <w:rPr>
          <w:bCs/>
          <w:lang w:val="de-DE"/>
        </w:rPr>
        <w:t>e</w:t>
      </w:r>
      <w:r w:rsidR="006B464B">
        <w:rPr>
          <w:rFonts w:eastAsia="Calibri"/>
          <w:lang w:val="de-DE"/>
        </w:rPr>
        <w:t xml:space="preserve">ntsprechen, wobei </w:t>
      </w:r>
      <w:r w:rsidR="006B464B">
        <w:rPr>
          <w:bCs/>
          <w:lang w:val="de-DE"/>
        </w:rPr>
        <w:t>eine maximale Oberflächentemperatur von 200 °C nicht überschritten werden darf.</w:t>
      </w:r>
      <w:r>
        <w:rPr>
          <w:bCs/>
          <w:lang w:val="de-DE"/>
        </w:rPr>
        <w:t>“</w:t>
      </w:r>
    </w:p>
    <w:p w:rsidR="006B464B" w:rsidRDefault="006B464B" w:rsidP="00122E97">
      <w:pPr>
        <w:tabs>
          <w:tab w:val="left" w:pos="1701"/>
        </w:tabs>
        <w:autoSpaceDE w:val="0"/>
        <w:autoSpaceDN w:val="0"/>
        <w:adjustRightInd w:val="0"/>
        <w:ind w:left="1134"/>
        <w:rPr>
          <w:b/>
          <w:bCs/>
          <w:sz w:val="24"/>
          <w:szCs w:val="24"/>
          <w:lang w:val="de-DE" w:eastAsia="en-US"/>
        </w:rPr>
      </w:pPr>
    </w:p>
    <w:p w:rsidR="00E64A93" w:rsidRDefault="00E64A93">
      <w:pPr>
        <w:suppressAutoHyphens w:val="0"/>
        <w:spacing w:line="240" w:lineRule="auto"/>
        <w:rPr>
          <w:b/>
          <w:bCs/>
          <w:sz w:val="28"/>
          <w:szCs w:val="28"/>
          <w:lang w:val="de-DE"/>
        </w:rPr>
      </w:pPr>
      <w:r>
        <w:rPr>
          <w:b/>
          <w:bCs/>
          <w:sz w:val="28"/>
          <w:szCs w:val="28"/>
          <w:lang w:val="de-DE"/>
        </w:rPr>
        <w:br w:type="page"/>
      </w:r>
    </w:p>
    <w:p w:rsidR="006B464B" w:rsidRPr="001E020A" w:rsidRDefault="00184B00" w:rsidP="00122E97">
      <w:pPr>
        <w:tabs>
          <w:tab w:val="left" w:pos="1701"/>
        </w:tabs>
        <w:autoSpaceDE w:val="0"/>
        <w:autoSpaceDN w:val="0"/>
        <w:adjustRightInd w:val="0"/>
        <w:ind w:left="1134"/>
        <w:rPr>
          <w:b/>
          <w:bCs/>
          <w:sz w:val="28"/>
          <w:szCs w:val="28"/>
          <w:lang w:val="de-DE"/>
        </w:rPr>
      </w:pPr>
      <w:r>
        <w:rPr>
          <w:b/>
          <w:bCs/>
          <w:sz w:val="28"/>
          <w:szCs w:val="28"/>
          <w:lang w:val="de-DE"/>
        </w:rPr>
        <w:lastRenderedPageBreak/>
        <w:t>Begründung</w:t>
      </w:r>
    </w:p>
    <w:p w:rsidR="004350C0" w:rsidRDefault="004350C0" w:rsidP="00122E97">
      <w:pPr>
        <w:tabs>
          <w:tab w:val="left" w:pos="567"/>
          <w:tab w:val="left" w:pos="1701"/>
          <w:tab w:val="left" w:pos="1985"/>
          <w:tab w:val="left" w:pos="2552"/>
          <w:tab w:val="left" w:pos="3119"/>
          <w:tab w:val="left" w:pos="3686"/>
        </w:tabs>
        <w:ind w:left="1134"/>
        <w:jc w:val="both"/>
        <w:rPr>
          <w:bCs/>
          <w:lang w:val="de-DE"/>
        </w:rPr>
      </w:pPr>
    </w:p>
    <w:p w:rsidR="006B464B" w:rsidRDefault="00D44E0D" w:rsidP="00122E97">
      <w:pPr>
        <w:tabs>
          <w:tab w:val="left" w:pos="567"/>
          <w:tab w:val="left" w:pos="1701"/>
          <w:tab w:val="left" w:pos="1985"/>
          <w:tab w:val="left" w:pos="2552"/>
          <w:tab w:val="left" w:pos="3119"/>
          <w:tab w:val="left" w:pos="3686"/>
        </w:tabs>
        <w:ind w:left="1134"/>
        <w:jc w:val="both"/>
        <w:rPr>
          <w:lang w:val="de-DE"/>
        </w:rPr>
      </w:pPr>
      <w:r>
        <w:rPr>
          <w:bCs/>
          <w:lang w:val="de-DE"/>
        </w:rPr>
        <w:t>13</w:t>
      </w:r>
      <w:r w:rsidR="006B464B">
        <w:rPr>
          <w:bCs/>
          <w:lang w:val="de-DE"/>
        </w:rPr>
        <w:t>.</w:t>
      </w:r>
      <w:r w:rsidR="006B464B">
        <w:rPr>
          <w:bCs/>
          <w:lang w:val="de-DE"/>
        </w:rPr>
        <w:tab/>
        <w:t>Die Ergänzung ist erforderlich, um eine Rechtssicherheit für die Auslegung der elektrischen Einrichtungen im Bereich der Ladung für Fahrzeuge zu erreichen, deren Schiffsstoffliste nach 1.16.1.2.5 nur Stoffe enthält, für die nach Kapitel 3</w:t>
      </w:r>
      <w:r w:rsidR="00184B00">
        <w:rPr>
          <w:bCs/>
          <w:lang w:val="de-DE"/>
        </w:rPr>
        <w:t xml:space="preserve"> </w:t>
      </w:r>
      <w:r w:rsidR="006B464B">
        <w:rPr>
          <w:bCs/>
          <w:lang w:val="de-DE"/>
        </w:rPr>
        <w:t>Tabelle C Spalte</w:t>
      </w:r>
      <w:r w:rsidR="00184B00">
        <w:rPr>
          <w:bCs/>
          <w:lang w:val="de-DE"/>
        </w:rPr>
        <w:t xml:space="preserve"> </w:t>
      </w:r>
      <w:r w:rsidR="006B464B">
        <w:rPr>
          <w:bCs/>
          <w:lang w:val="de-DE"/>
        </w:rPr>
        <w:t>(17) kein Explosionsschutz erforderlich ist.</w:t>
      </w:r>
      <w:r w:rsidR="006B464B">
        <w:rPr>
          <w:lang w:val="de-DE"/>
        </w:rPr>
        <w:t xml:space="preserve"> Solche Vorgaben würde man in den Spalten 15 und 16 von Tabelle C suchen. Dort finden sich aber für Stoffe, für die nach Spalte 17 kein Explosionsschutz erforderlich ist</w:t>
      </w:r>
      <w:r w:rsidR="004350C0">
        <w:rPr>
          <w:lang w:val="de-DE"/>
        </w:rPr>
        <w:t>, keine Vorschriften. Nach dem besteh</w:t>
      </w:r>
      <w:r w:rsidR="00D432E8">
        <w:rPr>
          <w:lang w:val="de-DE"/>
        </w:rPr>
        <w:t>en</w:t>
      </w:r>
      <w:r w:rsidR="004350C0">
        <w:rPr>
          <w:lang w:val="de-DE"/>
        </w:rPr>
        <w:t>den W</w:t>
      </w:r>
      <w:r w:rsidR="00D432E8">
        <w:rPr>
          <w:lang w:val="de-DE"/>
        </w:rPr>
        <w:t>o</w:t>
      </w:r>
      <w:r w:rsidR="004350C0">
        <w:rPr>
          <w:lang w:val="de-DE"/>
        </w:rPr>
        <w:t>rtlaut des ADN ist nicht geklärt, wie die elektrischen Einrichtungen auszulegen sind.</w:t>
      </w:r>
    </w:p>
    <w:p w:rsidR="006B464B" w:rsidRDefault="006B464B" w:rsidP="00122E97">
      <w:pPr>
        <w:tabs>
          <w:tab w:val="left" w:pos="1701"/>
        </w:tabs>
        <w:autoSpaceDE w:val="0"/>
        <w:autoSpaceDN w:val="0"/>
        <w:adjustRightInd w:val="0"/>
        <w:ind w:left="1134"/>
        <w:rPr>
          <w:bCs/>
          <w:lang w:val="de-DE"/>
        </w:rPr>
      </w:pPr>
    </w:p>
    <w:p w:rsidR="004350C0" w:rsidRPr="00FD473B" w:rsidRDefault="00D44E0D" w:rsidP="00122E97">
      <w:pPr>
        <w:tabs>
          <w:tab w:val="left" w:pos="1701"/>
        </w:tabs>
        <w:autoSpaceDE w:val="0"/>
        <w:autoSpaceDN w:val="0"/>
        <w:adjustRightInd w:val="0"/>
        <w:ind w:left="1134"/>
        <w:jc w:val="both"/>
        <w:rPr>
          <w:lang w:val="de-DE"/>
        </w:rPr>
      </w:pPr>
      <w:r>
        <w:rPr>
          <w:rFonts w:eastAsia="Calibri"/>
          <w:lang w:val="de-DE"/>
        </w:rPr>
        <w:t>14</w:t>
      </w:r>
      <w:r w:rsidR="006B464B">
        <w:rPr>
          <w:rFonts w:eastAsia="Calibri"/>
          <w:lang w:val="de-DE"/>
        </w:rPr>
        <w:t xml:space="preserve">. </w:t>
      </w:r>
      <w:r w:rsidR="006B464B">
        <w:rPr>
          <w:rFonts w:eastAsia="Calibri"/>
          <w:lang w:val="de-DE"/>
        </w:rPr>
        <w:tab/>
        <w:t xml:space="preserve">Die vorgeschlagene Ergänzung entspricht </w:t>
      </w:r>
      <w:r w:rsidR="004350C0">
        <w:rPr>
          <w:rFonts w:eastAsia="Calibri"/>
          <w:lang w:val="de-DE"/>
        </w:rPr>
        <w:t>voll und ganz den Beschlüssen des Sicherheitsausschusses und den Festlegungen der informellen Arbeitsgruppe „Explosionsschutz“, die in diesem Antrag zum besseren Verständnis bereits oben zitiert worden sind.</w:t>
      </w:r>
      <w:r w:rsidR="001E020A">
        <w:rPr>
          <w:rFonts w:eastAsia="Calibri"/>
          <w:lang w:val="de-DE"/>
        </w:rPr>
        <w:t xml:space="preserve"> Die Ergänzungstellt einen weiteren Schritt dar in Richtung auf eine stoffbezogen</w:t>
      </w:r>
      <w:r w:rsidR="00D432E8">
        <w:rPr>
          <w:rFonts w:eastAsia="Calibri"/>
          <w:lang w:val="de-DE"/>
        </w:rPr>
        <w:t>e</w:t>
      </w:r>
      <w:r w:rsidR="001E020A">
        <w:rPr>
          <w:rFonts w:eastAsia="Calibri"/>
          <w:lang w:val="de-DE"/>
        </w:rPr>
        <w:t xml:space="preserve"> Gestaltung der Vorschriften.</w:t>
      </w:r>
    </w:p>
    <w:p w:rsidR="005134C0" w:rsidRPr="00FD473B" w:rsidRDefault="005134C0" w:rsidP="00122E97">
      <w:pPr>
        <w:tabs>
          <w:tab w:val="left" w:pos="1701"/>
        </w:tabs>
        <w:ind w:left="1134"/>
        <w:rPr>
          <w:lang w:val="de-DE"/>
        </w:rPr>
      </w:pPr>
    </w:p>
    <w:p w:rsidR="005134C0" w:rsidRDefault="005134C0" w:rsidP="00122E97">
      <w:pPr>
        <w:tabs>
          <w:tab w:val="left" w:pos="1701"/>
        </w:tabs>
        <w:suppressAutoHyphens w:val="0"/>
        <w:ind w:left="1134"/>
        <w:jc w:val="center"/>
        <w:rPr>
          <w:rFonts w:ascii="Arial" w:eastAsia="Calibri" w:hAnsi="Arial" w:cs="Arial"/>
          <w:color w:val="000000"/>
          <w:lang w:val="de-DE" w:eastAsia="en-US"/>
        </w:rPr>
      </w:pPr>
    </w:p>
    <w:p w:rsidR="00C25CC0" w:rsidRPr="00C25CC0" w:rsidRDefault="00C25CC0" w:rsidP="00122E97">
      <w:pPr>
        <w:tabs>
          <w:tab w:val="left" w:pos="1701"/>
        </w:tabs>
        <w:suppressAutoHyphens w:val="0"/>
        <w:ind w:left="1134"/>
        <w:jc w:val="center"/>
        <w:rPr>
          <w:rFonts w:ascii="Arial" w:eastAsia="Calibri" w:hAnsi="Arial" w:cs="Arial"/>
          <w:color w:val="000000"/>
          <w:lang w:val="de-DE" w:eastAsia="en-US"/>
        </w:rPr>
      </w:pPr>
      <w:r w:rsidRPr="00C25CC0">
        <w:rPr>
          <w:rFonts w:ascii="Arial" w:eastAsia="Calibri" w:hAnsi="Arial" w:cs="Arial"/>
          <w:color w:val="000000"/>
          <w:lang w:val="de-DE" w:eastAsia="en-US"/>
        </w:rPr>
        <w:t>***</w:t>
      </w:r>
    </w:p>
    <w:sectPr w:rsidR="00C25CC0" w:rsidRPr="00C25CC0" w:rsidSect="00A47EC0">
      <w:headerReference w:type="even" r:id="rId10"/>
      <w:headerReference w:type="default" r:id="rId11"/>
      <w:footerReference w:type="even" r:id="rId12"/>
      <w:footerReference w:type="default" r:id="rId13"/>
      <w:endnotePr>
        <w:numFmt w:val="decimal"/>
      </w:endnotePr>
      <w:pgSz w:w="11907" w:h="16840" w:code="9"/>
      <w:pgMar w:top="1304" w:right="1418" w:bottom="1134" w:left="1418"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50" w:rsidRDefault="00A01E50">
      <w:pPr>
        <w:rPr>
          <w:szCs w:val="24"/>
        </w:rPr>
      </w:pPr>
    </w:p>
  </w:endnote>
  <w:endnote w:type="continuationSeparator" w:id="0">
    <w:p w:rsidR="00A01E50" w:rsidRDefault="00A01E50">
      <w:pPr>
        <w:rPr>
          <w:szCs w:val="24"/>
        </w:rPr>
      </w:pPr>
    </w:p>
  </w:endnote>
  <w:endnote w:type="continuationNotice" w:id="1">
    <w:p w:rsidR="00A01E50" w:rsidRDefault="00A01E50">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E8" w:rsidRPr="005E207B" w:rsidRDefault="00E44AAA" w:rsidP="00E44AAA">
    <w:pPr>
      <w:tabs>
        <w:tab w:val="center" w:pos="4536"/>
        <w:tab w:val="left" w:pos="7177"/>
        <w:tab w:val="right" w:pos="9070"/>
      </w:tabs>
      <w:suppressAutoHyphens w:val="0"/>
      <w:spacing w:line="240" w:lineRule="auto"/>
      <w:jc w:val="right"/>
      <w:rPr>
        <w:lang w:val="en-GB"/>
      </w:rPr>
    </w:pPr>
    <w:r w:rsidRPr="00E44AAA">
      <w:rPr>
        <w:rFonts w:ascii="Arial" w:hAnsi="Arial"/>
        <w:noProof/>
        <w:sz w:val="12"/>
        <w:szCs w:val="24"/>
        <w:lang w:val="en-US"/>
      </w:rPr>
      <w:t>mm/adn_wp15_ac2_2015_</w:t>
    </w:r>
    <w:r w:rsidR="00D44E0D">
      <w:rPr>
        <w:rFonts w:ascii="Arial" w:hAnsi="Arial"/>
        <w:noProof/>
        <w:sz w:val="12"/>
        <w:szCs w:val="24"/>
        <w:lang w:val="en-US"/>
      </w:rPr>
      <w:t>33</w:t>
    </w:r>
    <w:r w:rsidRPr="00E44AAA">
      <w:rPr>
        <w:rFonts w:ascii="Arial" w:hAnsi="Arial"/>
        <w:noProof/>
        <w:sz w:val="12"/>
        <w:szCs w:val="24"/>
        <w:lang w:val="en-US"/>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AA" w:rsidRPr="00E44AAA" w:rsidRDefault="00E44AAA" w:rsidP="00E44AAA">
    <w:pPr>
      <w:tabs>
        <w:tab w:val="center" w:pos="4536"/>
        <w:tab w:val="left" w:pos="7177"/>
        <w:tab w:val="right" w:pos="9070"/>
      </w:tabs>
      <w:suppressAutoHyphens w:val="0"/>
      <w:spacing w:line="240" w:lineRule="auto"/>
      <w:jc w:val="right"/>
      <w:rPr>
        <w:sz w:val="24"/>
        <w:szCs w:val="24"/>
        <w:lang w:val="en-US" w:eastAsia="de-DE"/>
      </w:rPr>
    </w:pPr>
    <w:r w:rsidRPr="00E44AAA">
      <w:rPr>
        <w:rFonts w:ascii="Arial" w:hAnsi="Arial"/>
        <w:noProof/>
        <w:sz w:val="12"/>
        <w:szCs w:val="24"/>
        <w:lang w:val="en-US"/>
      </w:rPr>
      <w:t>mm/adn_wp15_ac2_2015_</w:t>
    </w:r>
    <w:r w:rsidR="00D44E0D">
      <w:rPr>
        <w:rFonts w:ascii="Arial" w:hAnsi="Arial"/>
        <w:noProof/>
        <w:sz w:val="12"/>
        <w:szCs w:val="24"/>
        <w:lang w:val="en-US"/>
      </w:rPr>
      <w:t>33</w:t>
    </w:r>
    <w:r w:rsidRPr="00E44AAA">
      <w:rPr>
        <w:rFonts w:ascii="Arial" w:hAnsi="Arial"/>
        <w:noProof/>
        <w:sz w:val="12"/>
        <w:szCs w:val="24"/>
        <w:lang w:val="en-US"/>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50" w:rsidRDefault="00A01E50">
      <w:pPr>
        <w:tabs>
          <w:tab w:val="right" w:pos="2155"/>
        </w:tabs>
        <w:spacing w:after="80"/>
        <w:ind w:left="680"/>
        <w:rPr>
          <w:szCs w:val="24"/>
          <w:u w:val="single"/>
        </w:rPr>
      </w:pPr>
      <w:r>
        <w:rPr>
          <w:szCs w:val="24"/>
          <w:u w:val="single"/>
        </w:rPr>
        <w:tab/>
      </w:r>
    </w:p>
  </w:footnote>
  <w:footnote w:type="continuationSeparator" w:id="0">
    <w:p w:rsidR="00A01E50" w:rsidRDefault="00A01E50">
      <w:pPr>
        <w:tabs>
          <w:tab w:val="right" w:pos="2155"/>
        </w:tabs>
        <w:spacing w:after="80"/>
        <w:ind w:left="680"/>
        <w:rPr>
          <w:szCs w:val="24"/>
          <w:u w:val="single"/>
        </w:rPr>
      </w:pPr>
      <w:r>
        <w:rPr>
          <w:szCs w:val="24"/>
          <w:u w:val="single"/>
        </w:rPr>
        <w:tab/>
      </w:r>
    </w:p>
  </w:footnote>
  <w:footnote w:type="continuationNotice" w:id="1">
    <w:p w:rsidR="00A01E50" w:rsidRDefault="00A01E50">
      <w:pPr>
        <w:rPr>
          <w:szCs w:val="24"/>
        </w:rPr>
      </w:pPr>
    </w:p>
  </w:footnote>
  <w:footnote w:id="2">
    <w:p w:rsidR="0025142F" w:rsidRPr="006F296A" w:rsidRDefault="0025142F" w:rsidP="0025142F">
      <w:pPr>
        <w:pStyle w:val="FootnoteText"/>
        <w:tabs>
          <w:tab w:val="left" w:pos="284"/>
        </w:tabs>
        <w:ind w:left="284" w:hanging="284"/>
        <w:jc w:val="both"/>
        <w:rPr>
          <w:szCs w:val="24"/>
          <w:lang w:val="de-DE"/>
        </w:rPr>
      </w:pPr>
      <w:r w:rsidRPr="00B25753">
        <w:rPr>
          <w:rStyle w:val="FootnoteReference"/>
          <w:sz w:val="20"/>
        </w:rPr>
        <w:footnoteRef/>
      </w:r>
      <w:r w:rsidRPr="006F296A">
        <w:rPr>
          <w:szCs w:val="24"/>
          <w:lang w:val="de-DE"/>
        </w:rPr>
        <w:tab/>
      </w:r>
      <w:r w:rsidRPr="006F296A">
        <w:rPr>
          <w:noProof/>
          <w:sz w:val="16"/>
          <w:szCs w:val="24"/>
          <w:lang w:val="de-DE"/>
        </w:rPr>
        <w:t>Von der UN-ECE in Englisch, Französisch und Russisch unter dem Aktenzeichen ECE/TRANS/WP.15/AC.2/2015/</w:t>
      </w:r>
      <w:r w:rsidR="00D44E0D">
        <w:rPr>
          <w:noProof/>
          <w:sz w:val="16"/>
          <w:szCs w:val="24"/>
          <w:lang w:val="de-DE"/>
        </w:rPr>
        <w:t>33</w:t>
      </w:r>
      <w:r w:rsidRPr="006F296A">
        <w:rPr>
          <w:noProof/>
          <w:sz w:val="16"/>
          <w:szCs w:val="24"/>
          <w:lang w:val="de-DE"/>
        </w:rPr>
        <w:t xml:space="preserve"> verteilt.</w:t>
      </w:r>
    </w:p>
  </w:footnote>
  <w:footnote w:id="3">
    <w:p w:rsidR="007964A5" w:rsidRPr="007964A5" w:rsidRDefault="007964A5" w:rsidP="007964A5">
      <w:pPr>
        <w:pStyle w:val="FootnoteText"/>
        <w:tabs>
          <w:tab w:val="left" w:pos="284"/>
        </w:tabs>
        <w:rPr>
          <w:lang w:val="de-DE"/>
        </w:rPr>
      </w:pPr>
      <w:r>
        <w:rPr>
          <w:rStyle w:val="FootnoteReference"/>
        </w:rPr>
        <w:footnoteRef/>
      </w:r>
      <w:r w:rsidRPr="00C832DF">
        <w:rPr>
          <w:lang w:val="de-DE"/>
        </w:rPr>
        <w:t xml:space="preserve"> </w:t>
      </w:r>
      <w:r>
        <w:rPr>
          <w:lang w:val="de-DE"/>
        </w:rPr>
        <w:tab/>
      </w:r>
      <w:r>
        <w:rPr>
          <w:lang w:val="de-DE"/>
        </w:rPr>
        <w:tab/>
      </w:r>
      <w:r w:rsidRPr="007964A5">
        <w:rPr>
          <w:lang w:val="de-DE"/>
        </w:rPr>
        <w:t>Der Text zwischen Klammern betrifft 9.3.2.52.1 und 9.3.3.52.1, aber nicht 9.3.1.52.1</w:t>
      </w:r>
    </w:p>
    <w:p w:rsidR="007964A5" w:rsidRPr="00C832DF" w:rsidRDefault="007964A5">
      <w:pPr>
        <w:pStyle w:val="Footnote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E8" w:rsidRPr="003E5A1F" w:rsidRDefault="00D432E8" w:rsidP="00F91E88">
    <w:pPr>
      <w:pStyle w:val="Header"/>
      <w:pBdr>
        <w:bottom w:val="none" w:sz="0" w:space="0" w:color="auto"/>
      </w:pBdr>
      <w:rPr>
        <w:rFonts w:ascii="Arial" w:hAnsi="Arial"/>
        <w:b w:val="0"/>
        <w:sz w:val="16"/>
        <w:szCs w:val="16"/>
        <w:lang w:val="en-GB"/>
      </w:rPr>
    </w:pPr>
    <w:r w:rsidRPr="003E5A1F">
      <w:rPr>
        <w:rFonts w:ascii="Arial" w:hAnsi="Arial"/>
        <w:b w:val="0"/>
        <w:sz w:val="16"/>
        <w:szCs w:val="16"/>
        <w:lang w:val="en-GB"/>
      </w:rPr>
      <w:t>CCNR-ZKR/ADN/WP.15/AC.2/</w:t>
    </w:r>
    <w:r>
      <w:rPr>
        <w:rFonts w:ascii="Arial" w:hAnsi="Arial"/>
        <w:b w:val="0"/>
        <w:sz w:val="16"/>
        <w:szCs w:val="16"/>
        <w:lang w:val="en-GB"/>
      </w:rPr>
      <w:t>2015/</w:t>
    </w:r>
    <w:r w:rsidR="00D44E0D">
      <w:rPr>
        <w:rFonts w:ascii="Arial" w:hAnsi="Arial"/>
        <w:b w:val="0"/>
        <w:sz w:val="16"/>
        <w:szCs w:val="16"/>
        <w:lang w:val="en-GB"/>
      </w:rPr>
      <w:t>33</w:t>
    </w:r>
  </w:p>
  <w:p w:rsidR="00D432E8" w:rsidRPr="008402EB" w:rsidRDefault="00D432E8" w:rsidP="00F91E88">
    <w:pPr>
      <w:pStyle w:val="Header"/>
      <w:pBdr>
        <w:bottom w:val="none" w:sz="0" w:space="0" w:color="auto"/>
      </w:pBdr>
    </w:pPr>
    <w:r>
      <w:rPr>
        <w:rFonts w:ascii="Arial" w:hAnsi="Arial"/>
        <w:b w:val="0"/>
        <w:sz w:val="16"/>
        <w:szCs w:val="16"/>
      </w:rPr>
      <w:t>Seite</w:t>
    </w:r>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7F5B4B">
      <w:rPr>
        <w:rFonts w:ascii="Arial" w:hAnsi="Arial"/>
        <w:b w:val="0"/>
        <w:noProof/>
        <w:sz w:val="16"/>
        <w:szCs w:val="16"/>
      </w:rPr>
      <w:t>4</w:t>
    </w:r>
    <w:r w:rsidRPr="001B5B74">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E8" w:rsidRPr="003E5A1F" w:rsidRDefault="00D432E8" w:rsidP="008402EB">
    <w:pPr>
      <w:pStyle w:val="Header"/>
      <w:pBdr>
        <w:bottom w:val="none" w:sz="0" w:space="0" w:color="auto"/>
      </w:pBdr>
      <w:jc w:val="right"/>
      <w:rPr>
        <w:rFonts w:ascii="Arial" w:hAnsi="Arial"/>
        <w:b w:val="0"/>
        <w:sz w:val="16"/>
        <w:szCs w:val="16"/>
        <w:lang w:val="en-GB"/>
      </w:rPr>
    </w:pPr>
    <w:r w:rsidRPr="003E5A1F">
      <w:rPr>
        <w:rFonts w:ascii="Arial" w:hAnsi="Arial"/>
        <w:b w:val="0"/>
        <w:sz w:val="16"/>
        <w:szCs w:val="16"/>
        <w:lang w:val="en-GB"/>
      </w:rPr>
      <w:t>CCNR-ZKR/ADN/WP.15/AC.2/</w:t>
    </w:r>
    <w:r>
      <w:rPr>
        <w:rFonts w:ascii="Arial" w:hAnsi="Arial"/>
        <w:b w:val="0"/>
        <w:sz w:val="16"/>
        <w:szCs w:val="16"/>
        <w:lang w:val="en-GB"/>
      </w:rPr>
      <w:t>2015/</w:t>
    </w:r>
    <w:r w:rsidR="00D44E0D">
      <w:rPr>
        <w:rFonts w:ascii="Arial" w:hAnsi="Arial"/>
        <w:b w:val="0"/>
        <w:sz w:val="16"/>
        <w:szCs w:val="16"/>
        <w:lang w:val="en-GB"/>
      </w:rPr>
      <w:t>33</w:t>
    </w:r>
  </w:p>
  <w:p w:rsidR="00D432E8" w:rsidRDefault="00D432E8" w:rsidP="0073336F">
    <w:pPr>
      <w:pStyle w:val="Header"/>
      <w:pBdr>
        <w:bottom w:val="none" w:sz="0" w:space="0" w:color="auto"/>
      </w:pBdr>
      <w:jc w:val="right"/>
      <w:rPr>
        <w:rFonts w:ascii="Arial" w:hAnsi="Arial"/>
        <w:b w:val="0"/>
        <w:sz w:val="16"/>
        <w:szCs w:val="16"/>
      </w:rPr>
    </w:pPr>
    <w:r>
      <w:rPr>
        <w:rFonts w:ascii="Arial" w:hAnsi="Arial"/>
        <w:b w:val="0"/>
        <w:sz w:val="16"/>
        <w:szCs w:val="16"/>
      </w:rPr>
      <w:t>Seite</w:t>
    </w:r>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7F5B4B">
      <w:rPr>
        <w:rFonts w:ascii="Arial" w:hAnsi="Arial"/>
        <w:b w:val="0"/>
        <w:noProof/>
        <w:sz w:val="16"/>
        <w:szCs w:val="16"/>
      </w:rPr>
      <w:t>3</w:t>
    </w:r>
    <w:r w:rsidRPr="001B5B74">
      <w:rPr>
        <w:rFonts w:ascii="Arial" w:hAnsi="Arial"/>
        <w:b w:val="0"/>
        <w:sz w:val="16"/>
        <w:szCs w:val="16"/>
      </w:rPr>
      <w:fldChar w:fldCharType="end"/>
    </w:r>
  </w:p>
  <w:p w:rsidR="00D432E8" w:rsidRPr="00FD09D9" w:rsidRDefault="00D432E8" w:rsidP="00FD09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913AF8"/>
    <w:multiLevelType w:val="hybridMultilevel"/>
    <w:tmpl w:val="BE262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441910"/>
    <w:multiLevelType w:val="hybridMultilevel"/>
    <w:tmpl w:val="732E1BC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2E233239"/>
    <w:multiLevelType w:val="hybridMultilevel"/>
    <w:tmpl w:val="005E805E"/>
    <w:lvl w:ilvl="0" w:tplc="AAA4EA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2736CA"/>
    <w:multiLevelType w:val="multilevel"/>
    <w:tmpl w:val="319CB272"/>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2"/>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08808B5"/>
    <w:multiLevelType w:val="hybridMultilevel"/>
    <w:tmpl w:val="6BC832A8"/>
    <w:lvl w:ilvl="0" w:tplc="8E2E1702">
      <w:start w:val="1"/>
      <w:numFmt w:val="decimal"/>
      <w:lvlText w:val="%1"/>
      <w:lvlJc w:val="left"/>
      <w:pPr>
        <w:tabs>
          <w:tab w:val="num" w:pos="833"/>
        </w:tabs>
        <w:ind w:left="833"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7">
    <w:nsid w:val="47375C23"/>
    <w:multiLevelType w:val="hybridMultilevel"/>
    <w:tmpl w:val="06DC7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F0141D"/>
    <w:multiLevelType w:val="hybridMultilevel"/>
    <w:tmpl w:val="61DE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3731A8"/>
    <w:multiLevelType w:val="hybridMultilevel"/>
    <w:tmpl w:val="6BEA9032"/>
    <w:lvl w:ilvl="0" w:tplc="359631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40195D"/>
    <w:multiLevelType w:val="multilevel"/>
    <w:tmpl w:val="775432F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12">
    <w:nsid w:val="6B305D58"/>
    <w:multiLevelType w:val="hybridMultilevel"/>
    <w:tmpl w:val="AD22823E"/>
    <w:lvl w:ilvl="0" w:tplc="238AD1CA">
      <w:start w:val="1"/>
      <w:numFmt w:val="decimal"/>
      <w:lvlText w:val="%1"/>
      <w:lvlJc w:val="left"/>
      <w:pPr>
        <w:tabs>
          <w:tab w:val="num" w:pos="833"/>
        </w:tabs>
        <w:ind w:left="833" w:hanging="360"/>
      </w:pPr>
      <w:rPr>
        <w:rFonts w:ascii="Times New Roman" w:hAnsi="Times New Roman" w:cs="Times New Roman"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0"/>
  </w:num>
  <w:num w:numId="4">
    <w:abstractNumId w:val="4"/>
  </w:num>
  <w:num w:numId="5">
    <w:abstractNumId w:val="5"/>
  </w:num>
  <w:num w:numId="6">
    <w:abstractNumId w:val="12"/>
  </w:num>
  <w:num w:numId="7">
    <w:abstractNumId w:val="8"/>
  </w:num>
  <w:num w:numId="8">
    <w:abstractNumId w:val="9"/>
  </w:num>
  <w:num w:numId="9">
    <w:abstractNumId w:val="1"/>
  </w:num>
  <w:num w:numId="10">
    <w:abstractNumId w:val="3"/>
  </w:num>
  <w:num w:numId="11">
    <w:abstractNumId w:val="7"/>
  </w:num>
  <w:num w:numId="12">
    <w:abstractNumId w:val="0"/>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1"/>
    <w:rsid w:val="00001F3F"/>
    <w:rsid w:val="000103EC"/>
    <w:rsid w:val="0001429B"/>
    <w:rsid w:val="000228C7"/>
    <w:rsid w:val="00053580"/>
    <w:rsid w:val="00054AF7"/>
    <w:rsid w:val="00054F75"/>
    <w:rsid w:val="00056EFE"/>
    <w:rsid w:val="00070DA1"/>
    <w:rsid w:val="0007687E"/>
    <w:rsid w:val="00080DD9"/>
    <w:rsid w:val="00081210"/>
    <w:rsid w:val="000815D1"/>
    <w:rsid w:val="000A53C6"/>
    <w:rsid w:val="000C4394"/>
    <w:rsid w:val="000D5E6C"/>
    <w:rsid w:val="000E3D37"/>
    <w:rsid w:val="000E412C"/>
    <w:rsid w:val="000E481F"/>
    <w:rsid w:val="000E618C"/>
    <w:rsid w:val="000F097A"/>
    <w:rsid w:val="000F1118"/>
    <w:rsid w:val="000F1C41"/>
    <w:rsid w:val="00101638"/>
    <w:rsid w:val="00104A28"/>
    <w:rsid w:val="00105DDE"/>
    <w:rsid w:val="00107A03"/>
    <w:rsid w:val="001152BA"/>
    <w:rsid w:val="00122E97"/>
    <w:rsid w:val="001248B2"/>
    <w:rsid w:val="00124FBF"/>
    <w:rsid w:val="001274DF"/>
    <w:rsid w:val="00131AEE"/>
    <w:rsid w:val="00131E05"/>
    <w:rsid w:val="0013516F"/>
    <w:rsid w:val="00136F18"/>
    <w:rsid w:val="001440C8"/>
    <w:rsid w:val="001451D2"/>
    <w:rsid w:val="00147689"/>
    <w:rsid w:val="00150266"/>
    <w:rsid w:val="001522F0"/>
    <w:rsid w:val="00153C46"/>
    <w:rsid w:val="00160F49"/>
    <w:rsid w:val="0016225C"/>
    <w:rsid w:val="0016352A"/>
    <w:rsid w:val="0016368A"/>
    <w:rsid w:val="00163D44"/>
    <w:rsid w:val="00163E6C"/>
    <w:rsid w:val="00164C66"/>
    <w:rsid w:val="00165942"/>
    <w:rsid w:val="001704F9"/>
    <w:rsid w:val="00180DE3"/>
    <w:rsid w:val="00184B00"/>
    <w:rsid w:val="00194002"/>
    <w:rsid w:val="001A79A0"/>
    <w:rsid w:val="001B6354"/>
    <w:rsid w:val="001B6F14"/>
    <w:rsid w:val="001B7545"/>
    <w:rsid w:val="001C5296"/>
    <w:rsid w:val="001C5EB6"/>
    <w:rsid w:val="001D0AC2"/>
    <w:rsid w:val="001D224A"/>
    <w:rsid w:val="001D23FD"/>
    <w:rsid w:val="001E020A"/>
    <w:rsid w:val="001F4467"/>
    <w:rsid w:val="001F5FB8"/>
    <w:rsid w:val="001F7434"/>
    <w:rsid w:val="00200B5B"/>
    <w:rsid w:val="002024F0"/>
    <w:rsid w:val="00204190"/>
    <w:rsid w:val="00206D8B"/>
    <w:rsid w:val="00214233"/>
    <w:rsid w:val="00215979"/>
    <w:rsid w:val="0023259F"/>
    <w:rsid w:val="00234A41"/>
    <w:rsid w:val="00236CBA"/>
    <w:rsid w:val="00237644"/>
    <w:rsid w:val="002376D2"/>
    <w:rsid w:val="00237F15"/>
    <w:rsid w:val="00240D91"/>
    <w:rsid w:val="002471FC"/>
    <w:rsid w:val="00250ED4"/>
    <w:rsid w:val="00251289"/>
    <w:rsid w:val="0025142F"/>
    <w:rsid w:val="00252F0A"/>
    <w:rsid w:val="002700C0"/>
    <w:rsid w:val="00274776"/>
    <w:rsid w:val="002859C3"/>
    <w:rsid w:val="00286DBB"/>
    <w:rsid w:val="00293167"/>
    <w:rsid w:val="0029719A"/>
    <w:rsid w:val="002C6C1B"/>
    <w:rsid w:val="002C7E7C"/>
    <w:rsid w:val="002D6806"/>
    <w:rsid w:val="002E218C"/>
    <w:rsid w:val="002E4E64"/>
    <w:rsid w:val="003121E3"/>
    <w:rsid w:val="003130BB"/>
    <w:rsid w:val="00314C95"/>
    <w:rsid w:val="00315786"/>
    <w:rsid w:val="00316AFF"/>
    <w:rsid w:val="00324350"/>
    <w:rsid w:val="0034020D"/>
    <w:rsid w:val="00343872"/>
    <w:rsid w:val="00345251"/>
    <w:rsid w:val="00352AD4"/>
    <w:rsid w:val="00353447"/>
    <w:rsid w:val="00356FB6"/>
    <w:rsid w:val="0035766E"/>
    <w:rsid w:val="00360D9E"/>
    <w:rsid w:val="00361B7A"/>
    <w:rsid w:val="00367203"/>
    <w:rsid w:val="0037224C"/>
    <w:rsid w:val="00372B3B"/>
    <w:rsid w:val="0037775C"/>
    <w:rsid w:val="00380174"/>
    <w:rsid w:val="003808D1"/>
    <w:rsid w:val="003A24DB"/>
    <w:rsid w:val="003A4583"/>
    <w:rsid w:val="003B0D29"/>
    <w:rsid w:val="003B1E73"/>
    <w:rsid w:val="003D695C"/>
    <w:rsid w:val="003E5A1F"/>
    <w:rsid w:val="003F4F51"/>
    <w:rsid w:val="004006AA"/>
    <w:rsid w:val="00412C2C"/>
    <w:rsid w:val="004151E1"/>
    <w:rsid w:val="0042258B"/>
    <w:rsid w:val="004300B3"/>
    <w:rsid w:val="00431D3C"/>
    <w:rsid w:val="00432FAE"/>
    <w:rsid w:val="00434BB2"/>
    <w:rsid w:val="004350C0"/>
    <w:rsid w:val="00441257"/>
    <w:rsid w:val="004418E6"/>
    <w:rsid w:val="00450834"/>
    <w:rsid w:val="00455426"/>
    <w:rsid w:val="00461D52"/>
    <w:rsid w:val="00473848"/>
    <w:rsid w:val="004806A5"/>
    <w:rsid w:val="00482AC2"/>
    <w:rsid w:val="00482ADF"/>
    <w:rsid w:val="004844D7"/>
    <w:rsid w:val="00487392"/>
    <w:rsid w:val="00493040"/>
    <w:rsid w:val="0049408A"/>
    <w:rsid w:val="00494151"/>
    <w:rsid w:val="004979A7"/>
    <w:rsid w:val="004A3E28"/>
    <w:rsid w:val="004B4D86"/>
    <w:rsid w:val="004C06EF"/>
    <w:rsid w:val="004C0F46"/>
    <w:rsid w:val="004C180C"/>
    <w:rsid w:val="004C216B"/>
    <w:rsid w:val="004C50B4"/>
    <w:rsid w:val="004C5438"/>
    <w:rsid w:val="004D491C"/>
    <w:rsid w:val="004D4B62"/>
    <w:rsid w:val="004E0F7A"/>
    <w:rsid w:val="004E36E7"/>
    <w:rsid w:val="004E60C7"/>
    <w:rsid w:val="004E6F99"/>
    <w:rsid w:val="004F5537"/>
    <w:rsid w:val="00500A46"/>
    <w:rsid w:val="0050572E"/>
    <w:rsid w:val="005069CA"/>
    <w:rsid w:val="005134C0"/>
    <w:rsid w:val="0053079D"/>
    <w:rsid w:val="00532C09"/>
    <w:rsid w:val="00534D68"/>
    <w:rsid w:val="0053616E"/>
    <w:rsid w:val="00540A1B"/>
    <w:rsid w:val="005414A3"/>
    <w:rsid w:val="0054592B"/>
    <w:rsid w:val="00550909"/>
    <w:rsid w:val="00552804"/>
    <w:rsid w:val="00552DEB"/>
    <w:rsid w:val="00556278"/>
    <w:rsid w:val="00560B24"/>
    <w:rsid w:val="0056149C"/>
    <w:rsid w:val="0056425F"/>
    <w:rsid w:val="00564608"/>
    <w:rsid w:val="00570F04"/>
    <w:rsid w:val="00581E79"/>
    <w:rsid w:val="00582591"/>
    <w:rsid w:val="005855CD"/>
    <w:rsid w:val="005864AE"/>
    <w:rsid w:val="0059254F"/>
    <w:rsid w:val="005959E5"/>
    <w:rsid w:val="005A6292"/>
    <w:rsid w:val="005B1D88"/>
    <w:rsid w:val="005C549C"/>
    <w:rsid w:val="005C662B"/>
    <w:rsid w:val="005C798E"/>
    <w:rsid w:val="005D0F24"/>
    <w:rsid w:val="005D21FA"/>
    <w:rsid w:val="005E05DB"/>
    <w:rsid w:val="005E1656"/>
    <w:rsid w:val="005E207B"/>
    <w:rsid w:val="005E6613"/>
    <w:rsid w:val="005F387D"/>
    <w:rsid w:val="00601F0F"/>
    <w:rsid w:val="00613C9B"/>
    <w:rsid w:val="0061643E"/>
    <w:rsid w:val="00624AF2"/>
    <w:rsid w:val="00624FF1"/>
    <w:rsid w:val="0062571A"/>
    <w:rsid w:val="00633268"/>
    <w:rsid w:val="0063611D"/>
    <w:rsid w:val="00645614"/>
    <w:rsid w:val="006464FF"/>
    <w:rsid w:val="0064707B"/>
    <w:rsid w:val="006542F9"/>
    <w:rsid w:val="006548B3"/>
    <w:rsid w:val="00660975"/>
    <w:rsid w:val="00661120"/>
    <w:rsid w:val="00662A67"/>
    <w:rsid w:val="00663E6E"/>
    <w:rsid w:val="00665E68"/>
    <w:rsid w:val="00671B10"/>
    <w:rsid w:val="006723DF"/>
    <w:rsid w:val="00674479"/>
    <w:rsid w:val="00675C0F"/>
    <w:rsid w:val="0067602B"/>
    <w:rsid w:val="00677C5F"/>
    <w:rsid w:val="00677D51"/>
    <w:rsid w:val="006813DC"/>
    <w:rsid w:val="006910E7"/>
    <w:rsid w:val="00691DA9"/>
    <w:rsid w:val="006A2C39"/>
    <w:rsid w:val="006B09E4"/>
    <w:rsid w:val="006B11E8"/>
    <w:rsid w:val="006B464B"/>
    <w:rsid w:val="006C5591"/>
    <w:rsid w:val="006D5335"/>
    <w:rsid w:val="006E45FC"/>
    <w:rsid w:val="006E60EF"/>
    <w:rsid w:val="006F0CC6"/>
    <w:rsid w:val="006F4C04"/>
    <w:rsid w:val="006F63E9"/>
    <w:rsid w:val="00705236"/>
    <w:rsid w:val="00725F74"/>
    <w:rsid w:val="0073336F"/>
    <w:rsid w:val="00740C69"/>
    <w:rsid w:val="00744788"/>
    <w:rsid w:val="007452A1"/>
    <w:rsid w:val="0074576D"/>
    <w:rsid w:val="00745949"/>
    <w:rsid w:val="00750A9F"/>
    <w:rsid w:val="0075247B"/>
    <w:rsid w:val="00757AB8"/>
    <w:rsid w:val="00762070"/>
    <w:rsid w:val="00763AEB"/>
    <w:rsid w:val="00773EAF"/>
    <w:rsid w:val="007839E1"/>
    <w:rsid w:val="00793CBA"/>
    <w:rsid w:val="00794631"/>
    <w:rsid w:val="007964A5"/>
    <w:rsid w:val="007A0AE8"/>
    <w:rsid w:val="007A3CAA"/>
    <w:rsid w:val="007B01F1"/>
    <w:rsid w:val="007C7E3C"/>
    <w:rsid w:val="007D3EDB"/>
    <w:rsid w:val="007D48DE"/>
    <w:rsid w:val="007D5B5B"/>
    <w:rsid w:val="007E5388"/>
    <w:rsid w:val="007F42EC"/>
    <w:rsid w:val="007F5B4B"/>
    <w:rsid w:val="0080196D"/>
    <w:rsid w:val="00806382"/>
    <w:rsid w:val="008072FF"/>
    <w:rsid w:val="00816710"/>
    <w:rsid w:val="00820EAC"/>
    <w:rsid w:val="0082739F"/>
    <w:rsid w:val="00831470"/>
    <w:rsid w:val="008402EB"/>
    <w:rsid w:val="00844F2E"/>
    <w:rsid w:val="008502B0"/>
    <w:rsid w:val="008502B5"/>
    <w:rsid w:val="00852600"/>
    <w:rsid w:val="00852CB5"/>
    <w:rsid w:val="00853A8A"/>
    <w:rsid w:val="00863468"/>
    <w:rsid w:val="00865A0D"/>
    <w:rsid w:val="00866A3C"/>
    <w:rsid w:val="00872E53"/>
    <w:rsid w:val="00885E52"/>
    <w:rsid w:val="0088629B"/>
    <w:rsid w:val="008865B6"/>
    <w:rsid w:val="008A3557"/>
    <w:rsid w:val="008B511D"/>
    <w:rsid w:val="008B69D4"/>
    <w:rsid w:val="008B7AFE"/>
    <w:rsid w:val="008C4007"/>
    <w:rsid w:val="008C57C4"/>
    <w:rsid w:val="008E1316"/>
    <w:rsid w:val="008F2DA9"/>
    <w:rsid w:val="008F4695"/>
    <w:rsid w:val="008F503D"/>
    <w:rsid w:val="008F543F"/>
    <w:rsid w:val="00904B83"/>
    <w:rsid w:val="00913AE9"/>
    <w:rsid w:val="009168DF"/>
    <w:rsid w:val="0093242E"/>
    <w:rsid w:val="009340E7"/>
    <w:rsid w:val="00935398"/>
    <w:rsid w:val="00935F30"/>
    <w:rsid w:val="0094114C"/>
    <w:rsid w:val="00947575"/>
    <w:rsid w:val="00962900"/>
    <w:rsid w:val="009703C4"/>
    <w:rsid w:val="00971946"/>
    <w:rsid w:val="00971F02"/>
    <w:rsid w:val="00972432"/>
    <w:rsid w:val="009770E6"/>
    <w:rsid w:val="00987C12"/>
    <w:rsid w:val="0099252F"/>
    <w:rsid w:val="009948C5"/>
    <w:rsid w:val="009A6A4A"/>
    <w:rsid w:val="009A7950"/>
    <w:rsid w:val="009B49A5"/>
    <w:rsid w:val="009C0719"/>
    <w:rsid w:val="009C5B9F"/>
    <w:rsid w:val="009D1C18"/>
    <w:rsid w:val="009D7738"/>
    <w:rsid w:val="009E08A1"/>
    <w:rsid w:val="009E112C"/>
    <w:rsid w:val="009E7819"/>
    <w:rsid w:val="009F3EA5"/>
    <w:rsid w:val="00A00EF6"/>
    <w:rsid w:val="00A015A3"/>
    <w:rsid w:val="00A01E50"/>
    <w:rsid w:val="00A02770"/>
    <w:rsid w:val="00A10A46"/>
    <w:rsid w:val="00A12784"/>
    <w:rsid w:val="00A15193"/>
    <w:rsid w:val="00A15707"/>
    <w:rsid w:val="00A318F1"/>
    <w:rsid w:val="00A34AE3"/>
    <w:rsid w:val="00A371AC"/>
    <w:rsid w:val="00A42878"/>
    <w:rsid w:val="00A47EC0"/>
    <w:rsid w:val="00A50BB8"/>
    <w:rsid w:val="00A57E41"/>
    <w:rsid w:val="00A65DBA"/>
    <w:rsid w:val="00A713D9"/>
    <w:rsid w:val="00A73A5F"/>
    <w:rsid w:val="00A8403D"/>
    <w:rsid w:val="00A87989"/>
    <w:rsid w:val="00A92E79"/>
    <w:rsid w:val="00A93F90"/>
    <w:rsid w:val="00AA470E"/>
    <w:rsid w:val="00AA6017"/>
    <w:rsid w:val="00AB117C"/>
    <w:rsid w:val="00AB7DB6"/>
    <w:rsid w:val="00AC0354"/>
    <w:rsid w:val="00AD057C"/>
    <w:rsid w:val="00AD2D0B"/>
    <w:rsid w:val="00AE551B"/>
    <w:rsid w:val="00AE70A8"/>
    <w:rsid w:val="00AF042F"/>
    <w:rsid w:val="00AF2252"/>
    <w:rsid w:val="00AF3740"/>
    <w:rsid w:val="00AF544D"/>
    <w:rsid w:val="00AF7CE8"/>
    <w:rsid w:val="00B0158E"/>
    <w:rsid w:val="00B016B2"/>
    <w:rsid w:val="00B0171B"/>
    <w:rsid w:val="00B0414F"/>
    <w:rsid w:val="00B20164"/>
    <w:rsid w:val="00B27ACE"/>
    <w:rsid w:val="00B31A69"/>
    <w:rsid w:val="00B32CF8"/>
    <w:rsid w:val="00B375DC"/>
    <w:rsid w:val="00B402AA"/>
    <w:rsid w:val="00B40C89"/>
    <w:rsid w:val="00B40E63"/>
    <w:rsid w:val="00B50A0B"/>
    <w:rsid w:val="00B54DB0"/>
    <w:rsid w:val="00B606C3"/>
    <w:rsid w:val="00B645DB"/>
    <w:rsid w:val="00B72BD6"/>
    <w:rsid w:val="00B7561A"/>
    <w:rsid w:val="00B771B5"/>
    <w:rsid w:val="00B83486"/>
    <w:rsid w:val="00B90763"/>
    <w:rsid w:val="00B9112B"/>
    <w:rsid w:val="00B96DD1"/>
    <w:rsid w:val="00B9759F"/>
    <w:rsid w:val="00BA09AD"/>
    <w:rsid w:val="00BA4D9E"/>
    <w:rsid w:val="00BA5DB2"/>
    <w:rsid w:val="00BA7299"/>
    <w:rsid w:val="00BB4A0C"/>
    <w:rsid w:val="00BB650E"/>
    <w:rsid w:val="00BB6A7B"/>
    <w:rsid w:val="00BC42DE"/>
    <w:rsid w:val="00BD017F"/>
    <w:rsid w:val="00BD2B7B"/>
    <w:rsid w:val="00BD4067"/>
    <w:rsid w:val="00BE0885"/>
    <w:rsid w:val="00BE1108"/>
    <w:rsid w:val="00BE25E8"/>
    <w:rsid w:val="00BE42BB"/>
    <w:rsid w:val="00BE4721"/>
    <w:rsid w:val="00BE503A"/>
    <w:rsid w:val="00BE623D"/>
    <w:rsid w:val="00BF3EEC"/>
    <w:rsid w:val="00BF4EF8"/>
    <w:rsid w:val="00C00CFD"/>
    <w:rsid w:val="00C02785"/>
    <w:rsid w:val="00C10E69"/>
    <w:rsid w:val="00C17BB3"/>
    <w:rsid w:val="00C25CC0"/>
    <w:rsid w:val="00C263B1"/>
    <w:rsid w:val="00C274F9"/>
    <w:rsid w:val="00C316B7"/>
    <w:rsid w:val="00C3474C"/>
    <w:rsid w:val="00C34DDC"/>
    <w:rsid w:val="00C4363E"/>
    <w:rsid w:val="00C44C27"/>
    <w:rsid w:val="00C47C99"/>
    <w:rsid w:val="00C5309A"/>
    <w:rsid w:val="00C63D7F"/>
    <w:rsid w:val="00C73288"/>
    <w:rsid w:val="00C75775"/>
    <w:rsid w:val="00C77A56"/>
    <w:rsid w:val="00C830CF"/>
    <w:rsid w:val="00C832DF"/>
    <w:rsid w:val="00C83990"/>
    <w:rsid w:val="00C84539"/>
    <w:rsid w:val="00C91754"/>
    <w:rsid w:val="00C919D8"/>
    <w:rsid w:val="00C939E3"/>
    <w:rsid w:val="00C94E02"/>
    <w:rsid w:val="00C96B63"/>
    <w:rsid w:val="00C97F63"/>
    <w:rsid w:val="00CA37C4"/>
    <w:rsid w:val="00CB09AE"/>
    <w:rsid w:val="00CC08B6"/>
    <w:rsid w:val="00CC3E21"/>
    <w:rsid w:val="00CC6C3B"/>
    <w:rsid w:val="00CD5059"/>
    <w:rsid w:val="00CD6D1B"/>
    <w:rsid w:val="00CE0D94"/>
    <w:rsid w:val="00CE16A8"/>
    <w:rsid w:val="00CE1EB2"/>
    <w:rsid w:val="00CE4C7D"/>
    <w:rsid w:val="00CE7D43"/>
    <w:rsid w:val="00CF1961"/>
    <w:rsid w:val="00CF24A3"/>
    <w:rsid w:val="00CF3899"/>
    <w:rsid w:val="00CF3DC8"/>
    <w:rsid w:val="00CF4E96"/>
    <w:rsid w:val="00CF509E"/>
    <w:rsid w:val="00D02522"/>
    <w:rsid w:val="00D05E9B"/>
    <w:rsid w:val="00D11DB3"/>
    <w:rsid w:val="00D141F4"/>
    <w:rsid w:val="00D22C1D"/>
    <w:rsid w:val="00D256DC"/>
    <w:rsid w:val="00D26751"/>
    <w:rsid w:val="00D32F05"/>
    <w:rsid w:val="00D424AF"/>
    <w:rsid w:val="00D432E8"/>
    <w:rsid w:val="00D44E0D"/>
    <w:rsid w:val="00D4632B"/>
    <w:rsid w:val="00D47947"/>
    <w:rsid w:val="00D47BE8"/>
    <w:rsid w:val="00D60390"/>
    <w:rsid w:val="00D62095"/>
    <w:rsid w:val="00D62D1B"/>
    <w:rsid w:val="00D719C8"/>
    <w:rsid w:val="00D72A63"/>
    <w:rsid w:val="00D81FFC"/>
    <w:rsid w:val="00D835CB"/>
    <w:rsid w:val="00D92618"/>
    <w:rsid w:val="00D95DB6"/>
    <w:rsid w:val="00D972C8"/>
    <w:rsid w:val="00DA02CD"/>
    <w:rsid w:val="00DA1B04"/>
    <w:rsid w:val="00DA2318"/>
    <w:rsid w:val="00DA39EF"/>
    <w:rsid w:val="00DA3F60"/>
    <w:rsid w:val="00DB6DFB"/>
    <w:rsid w:val="00DC1920"/>
    <w:rsid w:val="00DC73BC"/>
    <w:rsid w:val="00DD30E0"/>
    <w:rsid w:val="00DD3820"/>
    <w:rsid w:val="00DD7DA0"/>
    <w:rsid w:val="00DE2408"/>
    <w:rsid w:val="00DF3153"/>
    <w:rsid w:val="00DF7132"/>
    <w:rsid w:val="00E13657"/>
    <w:rsid w:val="00E2227C"/>
    <w:rsid w:val="00E272CA"/>
    <w:rsid w:val="00E310AF"/>
    <w:rsid w:val="00E32D87"/>
    <w:rsid w:val="00E33932"/>
    <w:rsid w:val="00E35843"/>
    <w:rsid w:val="00E374BE"/>
    <w:rsid w:val="00E40821"/>
    <w:rsid w:val="00E42B23"/>
    <w:rsid w:val="00E44AAA"/>
    <w:rsid w:val="00E52D84"/>
    <w:rsid w:val="00E57AB2"/>
    <w:rsid w:val="00E60370"/>
    <w:rsid w:val="00E60B25"/>
    <w:rsid w:val="00E60D9D"/>
    <w:rsid w:val="00E64A93"/>
    <w:rsid w:val="00E71FBE"/>
    <w:rsid w:val="00E73198"/>
    <w:rsid w:val="00E7371E"/>
    <w:rsid w:val="00E74E27"/>
    <w:rsid w:val="00E80240"/>
    <w:rsid w:val="00E82122"/>
    <w:rsid w:val="00E83C68"/>
    <w:rsid w:val="00E85BA2"/>
    <w:rsid w:val="00E90C20"/>
    <w:rsid w:val="00E922C3"/>
    <w:rsid w:val="00EA03A7"/>
    <w:rsid w:val="00EA5270"/>
    <w:rsid w:val="00EA5409"/>
    <w:rsid w:val="00EB3D6E"/>
    <w:rsid w:val="00EC4137"/>
    <w:rsid w:val="00EC74AA"/>
    <w:rsid w:val="00ED76D9"/>
    <w:rsid w:val="00EF08F1"/>
    <w:rsid w:val="00EF2ACA"/>
    <w:rsid w:val="00F026F2"/>
    <w:rsid w:val="00F037DF"/>
    <w:rsid w:val="00F07EC5"/>
    <w:rsid w:val="00F1565A"/>
    <w:rsid w:val="00F27BC2"/>
    <w:rsid w:val="00F27DDF"/>
    <w:rsid w:val="00F31A69"/>
    <w:rsid w:val="00F32A4F"/>
    <w:rsid w:val="00F34A02"/>
    <w:rsid w:val="00F36145"/>
    <w:rsid w:val="00F434F7"/>
    <w:rsid w:val="00F45C5E"/>
    <w:rsid w:val="00F5179B"/>
    <w:rsid w:val="00F54331"/>
    <w:rsid w:val="00F55472"/>
    <w:rsid w:val="00F56D87"/>
    <w:rsid w:val="00F83FD9"/>
    <w:rsid w:val="00F85597"/>
    <w:rsid w:val="00F86A15"/>
    <w:rsid w:val="00F91966"/>
    <w:rsid w:val="00F91E88"/>
    <w:rsid w:val="00FA07C2"/>
    <w:rsid w:val="00FA49B9"/>
    <w:rsid w:val="00FA5B4D"/>
    <w:rsid w:val="00FA71FE"/>
    <w:rsid w:val="00FA7A9E"/>
    <w:rsid w:val="00FB07B8"/>
    <w:rsid w:val="00FB33C1"/>
    <w:rsid w:val="00FB6EED"/>
    <w:rsid w:val="00FC75E5"/>
    <w:rsid w:val="00FD09D9"/>
    <w:rsid w:val="00FD2049"/>
    <w:rsid w:val="00FE1F6F"/>
    <w:rsid w:val="00FE5F6A"/>
    <w:rsid w:val="00FE7FCE"/>
    <w:rsid w:val="00FF5AB6"/>
    <w:rsid w:val="00FF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E4"/>
    <w:pPr>
      <w:suppressAutoHyphens/>
      <w:spacing w:line="240" w:lineRule="atLeast"/>
    </w:pPr>
    <w:rPr>
      <w:lang w:val="fr-CH"/>
    </w:rPr>
  </w:style>
  <w:style w:type="paragraph" w:styleId="Heading1">
    <w:name w:val="heading 1"/>
    <w:aliases w:val="Table_G"/>
    <w:basedOn w:val="SingleTxtG"/>
    <w:next w:val="SingleTxtG"/>
    <w:qFormat/>
    <w:rsid w:val="006B09E4"/>
    <w:pPr>
      <w:keepNext/>
      <w:keepLines/>
      <w:spacing w:after="0" w:line="240" w:lineRule="auto"/>
      <w:ind w:right="0"/>
      <w:jc w:val="left"/>
      <w:outlineLvl w:val="0"/>
    </w:pPr>
  </w:style>
  <w:style w:type="paragraph" w:styleId="Heading2">
    <w:name w:val="heading 2"/>
    <w:basedOn w:val="Normal"/>
    <w:next w:val="Normal"/>
    <w:qFormat/>
    <w:rsid w:val="006B09E4"/>
    <w:pPr>
      <w:outlineLvl w:val="1"/>
    </w:pPr>
  </w:style>
  <w:style w:type="paragraph" w:styleId="Heading3">
    <w:name w:val="heading 3"/>
    <w:basedOn w:val="Normal"/>
    <w:next w:val="Normal"/>
    <w:qFormat/>
    <w:rsid w:val="006B09E4"/>
    <w:pPr>
      <w:outlineLvl w:val="2"/>
    </w:pPr>
  </w:style>
  <w:style w:type="paragraph" w:styleId="Heading4">
    <w:name w:val="heading 4"/>
    <w:basedOn w:val="Normal"/>
    <w:next w:val="Normal"/>
    <w:qFormat/>
    <w:rsid w:val="006B09E4"/>
    <w:pPr>
      <w:outlineLvl w:val="3"/>
    </w:pPr>
  </w:style>
  <w:style w:type="paragraph" w:styleId="Heading5">
    <w:name w:val="heading 5"/>
    <w:basedOn w:val="Normal"/>
    <w:next w:val="Normal"/>
    <w:qFormat/>
    <w:rsid w:val="006B09E4"/>
    <w:pPr>
      <w:outlineLvl w:val="4"/>
    </w:pPr>
  </w:style>
  <w:style w:type="paragraph" w:styleId="Heading6">
    <w:name w:val="heading 6"/>
    <w:basedOn w:val="Normal"/>
    <w:next w:val="Normal"/>
    <w:qFormat/>
    <w:rsid w:val="006B09E4"/>
    <w:pPr>
      <w:outlineLvl w:val="5"/>
    </w:pPr>
  </w:style>
  <w:style w:type="paragraph" w:styleId="Heading7">
    <w:name w:val="heading 7"/>
    <w:basedOn w:val="Normal"/>
    <w:next w:val="Normal"/>
    <w:qFormat/>
    <w:rsid w:val="006B09E4"/>
    <w:pPr>
      <w:outlineLvl w:val="6"/>
    </w:pPr>
  </w:style>
  <w:style w:type="paragraph" w:styleId="Heading8">
    <w:name w:val="heading 8"/>
    <w:basedOn w:val="Normal"/>
    <w:next w:val="Normal"/>
    <w:qFormat/>
    <w:rsid w:val="006B09E4"/>
    <w:pPr>
      <w:outlineLvl w:val="7"/>
    </w:pPr>
  </w:style>
  <w:style w:type="paragraph" w:styleId="Heading9">
    <w:name w:val="heading 9"/>
    <w:basedOn w:val="Normal"/>
    <w:next w:val="Normal"/>
    <w:qFormat/>
    <w:rsid w:val="006B09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FootnoteReference">
    <w:name w:val="footnote reference"/>
    <w:aliases w:val="4_G"/>
    <w:semiHidden/>
    <w:rsid w:val="006B09E4"/>
    <w:rPr>
      <w:rFonts w:ascii="Times New Roman" w:hAnsi="Times New Roman"/>
      <w:sz w:val="18"/>
      <w:vertAlign w:val="superscript"/>
      <w:lang w:val="fr-CH"/>
    </w:rPr>
  </w:style>
  <w:style w:type="character" w:styleId="EndnoteReference">
    <w:name w:val="endnote reference"/>
    <w:aliases w:val="1_G"/>
    <w:semiHidden/>
    <w:rsid w:val="006B09E4"/>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6B09E4"/>
    <w:pPr>
      <w:pBdr>
        <w:bottom w:val="single" w:sz="4" w:space="4" w:color="auto"/>
      </w:pBdr>
      <w:spacing w:line="240" w:lineRule="auto"/>
    </w:pPr>
    <w:rPr>
      <w:b/>
      <w:sz w:val="18"/>
      <w:lang w:eastAsia="x-none"/>
    </w:rPr>
  </w:style>
  <w:style w:type="paragraph" w:styleId="FootnoteText">
    <w:name w:val="footnote text"/>
    <w:aliases w:val="5_G"/>
    <w:basedOn w:val="Normal"/>
    <w:link w:val="FootnoteTextChar"/>
    <w:semiHidden/>
    <w:rsid w:val="006B09E4"/>
    <w:pPr>
      <w:tabs>
        <w:tab w:val="right" w:pos="1021"/>
      </w:tabs>
      <w:spacing w:line="220" w:lineRule="exact"/>
      <w:ind w:left="1134" w:right="1134" w:hanging="1134"/>
    </w:pPr>
    <w:rPr>
      <w:sz w:val="18"/>
      <w:lang w:eastAsia="x-none"/>
    </w:rPr>
  </w:style>
  <w:style w:type="paragraph" w:styleId="EndnoteText">
    <w:name w:val="endnote text"/>
    <w:aliases w:val="2_G"/>
    <w:basedOn w:val="FootnoteText"/>
    <w:semiHidden/>
    <w:rsid w:val="006B09E4"/>
  </w:style>
  <w:style w:type="character" w:styleId="PageNumber">
    <w:name w:val="page number"/>
    <w:aliases w:val="7_G"/>
    <w:rsid w:val="006B09E4"/>
    <w:rPr>
      <w:rFonts w:ascii="Times New Roman" w:hAnsi="Times New Roman"/>
      <w:b/>
      <w:sz w:val="18"/>
      <w:lang w:val="fr-CH"/>
    </w:rPr>
  </w:style>
  <w:style w:type="paragraph" w:styleId="Footer">
    <w:name w:val="footer"/>
    <w:aliases w:val="3_G"/>
    <w:basedOn w:val="Normal"/>
    <w:next w:val="Normal"/>
    <w:rsid w:val="006B09E4"/>
    <w:pPr>
      <w:spacing w:line="240" w:lineRule="auto"/>
    </w:pPr>
    <w:rPr>
      <w:sz w:val="16"/>
    </w:rPr>
  </w:style>
  <w:style w:type="character" w:styleId="Hyperlink">
    <w:name w:val="Hyperlink"/>
    <w:rsid w:val="006B09E4"/>
    <w:rPr>
      <w:color w:val="auto"/>
      <w:u w:val="none"/>
    </w:rPr>
  </w:style>
  <w:style w:type="character" w:styleId="FollowedHyperlink">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TableGrid">
    <w:name w:val="Table Grid"/>
    <w:basedOn w:val="TableNormal"/>
    <w:rsid w:val="006B09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CommentReference">
    <w:name w:val="annotation reference"/>
    <w:semiHidden/>
    <w:rsid w:val="006B09E4"/>
    <w:rPr>
      <w:sz w:val="16"/>
    </w:rPr>
  </w:style>
  <w:style w:type="paragraph" w:styleId="CommentText">
    <w:name w:val="annotation text"/>
    <w:basedOn w:val="Normal"/>
    <w:uiPriority w:val="99"/>
    <w:semiHidden/>
    <w:rsid w:val="006B09E4"/>
  </w:style>
  <w:style w:type="paragraph" w:styleId="CommentSubject">
    <w:name w:val="annotation subject"/>
    <w:basedOn w:val="CommentText"/>
    <w:next w:val="CommentText"/>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PlainTex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HeaderChar">
    <w:name w:val="Header Char"/>
    <w:aliases w:val="6_G Char"/>
    <w:link w:val="Header"/>
    <w:uiPriority w:val="99"/>
    <w:rsid w:val="008402EB"/>
    <w:rPr>
      <w:b/>
      <w:sz w:val="18"/>
      <w:lang w:val="fr-CH"/>
    </w:rPr>
  </w:style>
  <w:style w:type="character" w:customStyle="1" w:styleId="FootnoteTextChar">
    <w:name w:val="Footnote Text Char"/>
    <w:aliases w:val="5_G Char"/>
    <w:link w:val="FootnoteText"/>
    <w:semiHidden/>
    <w:rsid w:val="00C75775"/>
    <w:rPr>
      <w:sz w:val="18"/>
      <w:lang w:val="fr-CH"/>
    </w:rPr>
  </w:style>
  <w:style w:type="paragraph" w:styleId="ListParagraph">
    <w:name w:val="List Paragraph"/>
    <w:basedOn w:val="Normal"/>
    <w:uiPriority w:val="34"/>
    <w:qFormat/>
    <w:rsid w:val="00ED7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E4"/>
    <w:pPr>
      <w:suppressAutoHyphens/>
      <w:spacing w:line="240" w:lineRule="atLeast"/>
    </w:pPr>
    <w:rPr>
      <w:lang w:val="fr-CH"/>
    </w:rPr>
  </w:style>
  <w:style w:type="paragraph" w:styleId="Heading1">
    <w:name w:val="heading 1"/>
    <w:aliases w:val="Table_G"/>
    <w:basedOn w:val="SingleTxtG"/>
    <w:next w:val="SingleTxtG"/>
    <w:qFormat/>
    <w:rsid w:val="006B09E4"/>
    <w:pPr>
      <w:keepNext/>
      <w:keepLines/>
      <w:spacing w:after="0" w:line="240" w:lineRule="auto"/>
      <w:ind w:right="0"/>
      <w:jc w:val="left"/>
      <w:outlineLvl w:val="0"/>
    </w:pPr>
  </w:style>
  <w:style w:type="paragraph" w:styleId="Heading2">
    <w:name w:val="heading 2"/>
    <w:basedOn w:val="Normal"/>
    <w:next w:val="Normal"/>
    <w:qFormat/>
    <w:rsid w:val="006B09E4"/>
    <w:pPr>
      <w:outlineLvl w:val="1"/>
    </w:pPr>
  </w:style>
  <w:style w:type="paragraph" w:styleId="Heading3">
    <w:name w:val="heading 3"/>
    <w:basedOn w:val="Normal"/>
    <w:next w:val="Normal"/>
    <w:qFormat/>
    <w:rsid w:val="006B09E4"/>
    <w:pPr>
      <w:outlineLvl w:val="2"/>
    </w:pPr>
  </w:style>
  <w:style w:type="paragraph" w:styleId="Heading4">
    <w:name w:val="heading 4"/>
    <w:basedOn w:val="Normal"/>
    <w:next w:val="Normal"/>
    <w:qFormat/>
    <w:rsid w:val="006B09E4"/>
    <w:pPr>
      <w:outlineLvl w:val="3"/>
    </w:pPr>
  </w:style>
  <w:style w:type="paragraph" w:styleId="Heading5">
    <w:name w:val="heading 5"/>
    <w:basedOn w:val="Normal"/>
    <w:next w:val="Normal"/>
    <w:qFormat/>
    <w:rsid w:val="006B09E4"/>
    <w:pPr>
      <w:outlineLvl w:val="4"/>
    </w:pPr>
  </w:style>
  <w:style w:type="paragraph" w:styleId="Heading6">
    <w:name w:val="heading 6"/>
    <w:basedOn w:val="Normal"/>
    <w:next w:val="Normal"/>
    <w:qFormat/>
    <w:rsid w:val="006B09E4"/>
    <w:pPr>
      <w:outlineLvl w:val="5"/>
    </w:pPr>
  </w:style>
  <w:style w:type="paragraph" w:styleId="Heading7">
    <w:name w:val="heading 7"/>
    <w:basedOn w:val="Normal"/>
    <w:next w:val="Normal"/>
    <w:qFormat/>
    <w:rsid w:val="006B09E4"/>
    <w:pPr>
      <w:outlineLvl w:val="6"/>
    </w:pPr>
  </w:style>
  <w:style w:type="paragraph" w:styleId="Heading8">
    <w:name w:val="heading 8"/>
    <w:basedOn w:val="Normal"/>
    <w:next w:val="Normal"/>
    <w:qFormat/>
    <w:rsid w:val="006B09E4"/>
    <w:pPr>
      <w:outlineLvl w:val="7"/>
    </w:pPr>
  </w:style>
  <w:style w:type="paragraph" w:styleId="Heading9">
    <w:name w:val="heading 9"/>
    <w:basedOn w:val="Normal"/>
    <w:next w:val="Normal"/>
    <w:qFormat/>
    <w:rsid w:val="006B09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FootnoteReference">
    <w:name w:val="footnote reference"/>
    <w:aliases w:val="4_G"/>
    <w:semiHidden/>
    <w:rsid w:val="006B09E4"/>
    <w:rPr>
      <w:rFonts w:ascii="Times New Roman" w:hAnsi="Times New Roman"/>
      <w:sz w:val="18"/>
      <w:vertAlign w:val="superscript"/>
      <w:lang w:val="fr-CH"/>
    </w:rPr>
  </w:style>
  <w:style w:type="character" w:styleId="EndnoteReference">
    <w:name w:val="endnote reference"/>
    <w:aliases w:val="1_G"/>
    <w:semiHidden/>
    <w:rsid w:val="006B09E4"/>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6B09E4"/>
    <w:pPr>
      <w:pBdr>
        <w:bottom w:val="single" w:sz="4" w:space="4" w:color="auto"/>
      </w:pBdr>
      <w:spacing w:line="240" w:lineRule="auto"/>
    </w:pPr>
    <w:rPr>
      <w:b/>
      <w:sz w:val="18"/>
      <w:lang w:eastAsia="x-none"/>
    </w:rPr>
  </w:style>
  <w:style w:type="paragraph" w:styleId="FootnoteText">
    <w:name w:val="footnote text"/>
    <w:aliases w:val="5_G"/>
    <w:basedOn w:val="Normal"/>
    <w:link w:val="FootnoteTextChar"/>
    <w:semiHidden/>
    <w:rsid w:val="006B09E4"/>
    <w:pPr>
      <w:tabs>
        <w:tab w:val="right" w:pos="1021"/>
      </w:tabs>
      <w:spacing w:line="220" w:lineRule="exact"/>
      <w:ind w:left="1134" w:right="1134" w:hanging="1134"/>
    </w:pPr>
    <w:rPr>
      <w:sz w:val="18"/>
      <w:lang w:eastAsia="x-none"/>
    </w:rPr>
  </w:style>
  <w:style w:type="paragraph" w:styleId="EndnoteText">
    <w:name w:val="endnote text"/>
    <w:aliases w:val="2_G"/>
    <w:basedOn w:val="FootnoteText"/>
    <w:semiHidden/>
    <w:rsid w:val="006B09E4"/>
  </w:style>
  <w:style w:type="character" w:styleId="PageNumber">
    <w:name w:val="page number"/>
    <w:aliases w:val="7_G"/>
    <w:rsid w:val="006B09E4"/>
    <w:rPr>
      <w:rFonts w:ascii="Times New Roman" w:hAnsi="Times New Roman"/>
      <w:b/>
      <w:sz w:val="18"/>
      <w:lang w:val="fr-CH"/>
    </w:rPr>
  </w:style>
  <w:style w:type="paragraph" w:styleId="Footer">
    <w:name w:val="footer"/>
    <w:aliases w:val="3_G"/>
    <w:basedOn w:val="Normal"/>
    <w:next w:val="Normal"/>
    <w:rsid w:val="006B09E4"/>
    <w:pPr>
      <w:spacing w:line="240" w:lineRule="auto"/>
    </w:pPr>
    <w:rPr>
      <w:sz w:val="16"/>
    </w:rPr>
  </w:style>
  <w:style w:type="character" w:styleId="Hyperlink">
    <w:name w:val="Hyperlink"/>
    <w:rsid w:val="006B09E4"/>
    <w:rPr>
      <w:color w:val="auto"/>
      <w:u w:val="none"/>
    </w:rPr>
  </w:style>
  <w:style w:type="character" w:styleId="FollowedHyperlink">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TableGrid">
    <w:name w:val="Table Grid"/>
    <w:basedOn w:val="TableNormal"/>
    <w:rsid w:val="006B09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CommentReference">
    <w:name w:val="annotation reference"/>
    <w:semiHidden/>
    <w:rsid w:val="006B09E4"/>
    <w:rPr>
      <w:sz w:val="16"/>
    </w:rPr>
  </w:style>
  <w:style w:type="paragraph" w:styleId="CommentText">
    <w:name w:val="annotation text"/>
    <w:basedOn w:val="Normal"/>
    <w:uiPriority w:val="99"/>
    <w:semiHidden/>
    <w:rsid w:val="006B09E4"/>
  </w:style>
  <w:style w:type="paragraph" w:styleId="CommentSubject">
    <w:name w:val="annotation subject"/>
    <w:basedOn w:val="CommentText"/>
    <w:next w:val="CommentText"/>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PlainTex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HeaderChar">
    <w:name w:val="Header Char"/>
    <w:aliases w:val="6_G Char"/>
    <w:link w:val="Header"/>
    <w:uiPriority w:val="99"/>
    <w:rsid w:val="008402EB"/>
    <w:rPr>
      <w:b/>
      <w:sz w:val="18"/>
      <w:lang w:val="fr-CH"/>
    </w:rPr>
  </w:style>
  <w:style w:type="character" w:customStyle="1" w:styleId="FootnoteTextChar">
    <w:name w:val="Footnote Text Char"/>
    <w:aliases w:val="5_G Char"/>
    <w:link w:val="FootnoteText"/>
    <w:semiHidden/>
    <w:rsid w:val="00C75775"/>
    <w:rPr>
      <w:sz w:val="18"/>
      <w:lang w:val="fr-CH"/>
    </w:rPr>
  </w:style>
  <w:style w:type="paragraph" w:styleId="ListParagraph">
    <w:name w:val="List Paragraph"/>
    <w:basedOn w:val="Normal"/>
    <w:uiPriority w:val="34"/>
    <w:qFormat/>
    <w:rsid w:val="00ED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37518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0151">
          <w:marLeft w:val="0"/>
          <w:marRight w:val="0"/>
          <w:marTop w:val="0"/>
          <w:marBottom w:val="0"/>
          <w:divBdr>
            <w:top w:val="none" w:sz="0" w:space="0" w:color="auto"/>
            <w:left w:val="none" w:sz="0" w:space="0" w:color="auto"/>
            <w:bottom w:val="none" w:sz="0" w:space="0" w:color="auto"/>
            <w:right w:val="none" w:sz="0" w:space="0" w:color="auto"/>
          </w:divBdr>
          <w:divsChild>
            <w:div w:id="2048676669">
              <w:marLeft w:val="0"/>
              <w:marRight w:val="0"/>
              <w:marTop w:val="0"/>
              <w:marBottom w:val="0"/>
              <w:divBdr>
                <w:top w:val="none" w:sz="0" w:space="0" w:color="auto"/>
                <w:left w:val="none" w:sz="0" w:space="0" w:color="auto"/>
                <w:bottom w:val="none" w:sz="0" w:space="0" w:color="auto"/>
                <w:right w:val="none" w:sz="0" w:space="0" w:color="auto"/>
              </w:divBdr>
              <w:divsChild>
                <w:div w:id="164514751">
                  <w:marLeft w:val="0"/>
                  <w:marRight w:val="0"/>
                  <w:marTop w:val="0"/>
                  <w:marBottom w:val="0"/>
                  <w:divBdr>
                    <w:top w:val="none" w:sz="0" w:space="0" w:color="auto"/>
                    <w:left w:val="none" w:sz="0" w:space="0" w:color="auto"/>
                    <w:bottom w:val="none" w:sz="0" w:space="0" w:color="auto"/>
                    <w:right w:val="none" w:sz="0" w:space="0" w:color="auto"/>
                  </w:divBdr>
                  <w:divsChild>
                    <w:div w:id="1598515394">
                      <w:marLeft w:val="0"/>
                      <w:marRight w:val="0"/>
                      <w:marTop w:val="0"/>
                      <w:marBottom w:val="0"/>
                      <w:divBdr>
                        <w:top w:val="none" w:sz="0" w:space="0" w:color="auto"/>
                        <w:left w:val="none" w:sz="0" w:space="0" w:color="auto"/>
                        <w:bottom w:val="none" w:sz="0" w:space="0" w:color="auto"/>
                        <w:right w:val="none" w:sz="0" w:space="0" w:color="auto"/>
                      </w:divBdr>
                      <w:divsChild>
                        <w:div w:id="1234926233">
                          <w:marLeft w:val="0"/>
                          <w:marRight w:val="0"/>
                          <w:marTop w:val="0"/>
                          <w:marBottom w:val="0"/>
                          <w:divBdr>
                            <w:top w:val="none" w:sz="0" w:space="0" w:color="auto"/>
                            <w:left w:val="none" w:sz="0" w:space="0" w:color="auto"/>
                            <w:bottom w:val="none" w:sz="0" w:space="0" w:color="auto"/>
                            <w:right w:val="none" w:sz="0" w:space="0" w:color="auto"/>
                          </w:divBdr>
                          <w:divsChild>
                            <w:div w:id="992876871">
                              <w:marLeft w:val="0"/>
                              <w:marRight w:val="0"/>
                              <w:marTop w:val="0"/>
                              <w:marBottom w:val="0"/>
                              <w:divBdr>
                                <w:top w:val="none" w:sz="0" w:space="0" w:color="auto"/>
                                <w:left w:val="none" w:sz="0" w:space="0" w:color="auto"/>
                                <w:bottom w:val="none" w:sz="0" w:space="0" w:color="auto"/>
                                <w:right w:val="none" w:sz="0" w:space="0" w:color="auto"/>
                              </w:divBdr>
                              <w:divsChild>
                                <w:div w:id="1501432434">
                                  <w:marLeft w:val="0"/>
                                  <w:marRight w:val="0"/>
                                  <w:marTop w:val="0"/>
                                  <w:marBottom w:val="0"/>
                                  <w:divBdr>
                                    <w:top w:val="none" w:sz="0" w:space="0" w:color="auto"/>
                                    <w:left w:val="none" w:sz="0" w:space="0" w:color="auto"/>
                                    <w:bottom w:val="none" w:sz="0" w:space="0" w:color="auto"/>
                                    <w:right w:val="none" w:sz="0" w:space="0" w:color="auto"/>
                                  </w:divBdr>
                                  <w:divsChild>
                                    <w:div w:id="1246383058">
                                      <w:marLeft w:val="54"/>
                                      <w:marRight w:val="0"/>
                                      <w:marTop w:val="0"/>
                                      <w:marBottom w:val="0"/>
                                      <w:divBdr>
                                        <w:top w:val="none" w:sz="0" w:space="0" w:color="auto"/>
                                        <w:left w:val="none" w:sz="0" w:space="0" w:color="auto"/>
                                        <w:bottom w:val="none" w:sz="0" w:space="0" w:color="auto"/>
                                        <w:right w:val="none" w:sz="0" w:space="0" w:color="auto"/>
                                      </w:divBdr>
                                      <w:divsChild>
                                        <w:div w:id="552228885">
                                          <w:marLeft w:val="0"/>
                                          <w:marRight w:val="0"/>
                                          <w:marTop w:val="0"/>
                                          <w:marBottom w:val="0"/>
                                          <w:divBdr>
                                            <w:top w:val="none" w:sz="0" w:space="0" w:color="auto"/>
                                            <w:left w:val="none" w:sz="0" w:space="0" w:color="auto"/>
                                            <w:bottom w:val="none" w:sz="0" w:space="0" w:color="auto"/>
                                            <w:right w:val="none" w:sz="0" w:space="0" w:color="auto"/>
                                          </w:divBdr>
                                          <w:divsChild>
                                            <w:div w:id="495532821">
                                              <w:marLeft w:val="0"/>
                                              <w:marRight w:val="0"/>
                                              <w:marTop w:val="0"/>
                                              <w:marBottom w:val="109"/>
                                              <w:divBdr>
                                                <w:top w:val="single" w:sz="6" w:space="0" w:color="F5F5F5"/>
                                                <w:left w:val="single" w:sz="6" w:space="0" w:color="F5F5F5"/>
                                                <w:bottom w:val="single" w:sz="6" w:space="0" w:color="F5F5F5"/>
                                                <w:right w:val="single" w:sz="6" w:space="0" w:color="F5F5F5"/>
                                              </w:divBdr>
                                              <w:divsChild>
                                                <w:div w:id="1214921983">
                                                  <w:marLeft w:val="0"/>
                                                  <w:marRight w:val="0"/>
                                                  <w:marTop w:val="0"/>
                                                  <w:marBottom w:val="0"/>
                                                  <w:divBdr>
                                                    <w:top w:val="none" w:sz="0" w:space="0" w:color="auto"/>
                                                    <w:left w:val="none" w:sz="0" w:space="0" w:color="auto"/>
                                                    <w:bottom w:val="none" w:sz="0" w:space="0" w:color="auto"/>
                                                    <w:right w:val="none" w:sz="0" w:space="0" w:color="auto"/>
                                                  </w:divBdr>
                                                  <w:divsChild>
                                                    <w:div w:id="717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507812">
      <w:bodyDiv w:val="1"/>
      <w:marLeft w:val="0"/>
      <w:marRight w:val="0"/>
      <w:marTop w:val="0"/>
      <w:marBottom w:val="0"/>
      <w:divBdr>
        <w:top w:val="none" w:sz="0" w:space="0" w:color="auto"/>
        <w:left w:val="none" w:sz="0" w:space="0" w:color="auto"/>
        <w:bottom w:val="none" w:sz="0" w:space="0" w:color="auto"/>
        <w:right w:val="none" w:sz="0" w:space="0" w:color="auto"/>
      </w:divBdr>
    </w:div>
    <w:div w:id="615451871">
      <w:bodyDiv w:val="1"/>
      <w:marLeft w:val="0"/>
      <w:marRight w:val="0"/>
      <w:marTop w:val="0"/>
      <w:marBottom w:val="0"/>
      <w:divBdr>
        <w:top w:val="none" w:sz="0" w:space="0" w:color="auto"/>
        <w:left w:val="none" w:sz="0" w:space="0" w:color="auto"/>
        <w:bottom w:val="none" w:sz="0" w:space="0" w:color="auto"/>
        <w:right w:val="none" w:sz="0" w:space="0" w:color="auto"/>
      </w:divBdr>
    </w:div>
    <w:div w:id="633022143">
      <w:bodyDiv w:val="1"/>
      <w:marLeft w:val="0"/>
      <w:marRight w:val="0"/>
      <w:marTop w:val="0"/>
      <w:marBottom w:val="0"/>
      <w:divBdr>
        <w:top w:val="none" w:sz="0" w:space="0" w:color="auto"/>
        <w:left w:val="none" w:sz="0" w:space="0" w:color="auto"/>
        <w:bottom w:val="none" w:sz="0" w:space="0" w:color="auto"/>
        <w:right w:val="none" w:sz="0" w:space="0" w:color="auto"/>
      </w:divBdr>
    </w:div>
    <w:div w:id="642658437">
      <w:bodyDiv w:val="1"/>
      <w:marLeft w:val="0"/>
      <w:marRight w:val="0"/>
      <w:marTop w:val="0"/>
      <w:marBottom w:val="0"/>
      <w:divBdr>
        <w:top w:val="none" w:sz="0" w:space="0" w:color="auto"/>
        <w:left w:val="none" w:sz="0" w:space="0" w:color="auto"/>
        <w:bottom w:val="none" w:sz="0" w:space="0" w:color="auto"/>
        <w:right w:val="none" w:sz="0" w:space="0" w:color="auto"/>
      </w:divBdr>
    </w:div>
    <w:div w:id="1029572163">
      <w:bodyDiv w:val="1"/>
      <w:marLeft w:val="0"/>
      <w:marRight w:val="0"/>
      <w:marTop w:val="0"/>
      <w:marBottom w:val="0"/>
      <w:divBdr>
        <w:top w:val="none" w:sz="0" w:space="0" w:color="auto"/>
        <w:left w:val="none" w:sz="0" w:space="0" w:color="auto"/>
        <w:bottom w:val="none" w:sz="0" w:space="0" w:color="auto"/>
        <w:right w:val="none" w:sz="0" w:space="0" w:color="auto"/>
      </w:divBdr>
    </w:div>
    <w:div w:id="1203178236">
      <w:bodyDiv w:val="1"/>
      <w:marLeft w:val="0"/>
      <w:marRight w:val="0"/>
      <w:marTop w:val="0"/>
      <w:marBottom w:val="0"/>
      <w:divBdr>
        <w:top w:val="none" w:sz="0" w:space="0" w:color="auto"/>
        <w:left w:val="none" w:sz="0" w:space="0" w:color="auto"/>
        <w:bottom w:val="none" w:sz="0" w:space="0" w:color="auto"/>
        <w:right w:val="none" w:sz="0" w:space="0" w:color="auto"/>
      </w:divBdr>
    </w:div>
    <w:div w:id="1266840201">
      <w:bodyDiv w:val="1"/>
      <w:marLeft w:val="0"/>
      <w:marRight w:val="0"/>
      <w:marTop w:val="0"/>
      <w:marBottom w:val="0"/>
      <w:divBdr>
        <w:top w:val="none" w:sz="0" w:space="0" w:color="auto"/>
        <w:left w:val="none" w:sz="0" w:space="0" w:color="auto"/>
        <w:bottom w:val="none" w:sz="0" w:space="0" w:color="auto"/>
        <w:right w:val="none" w:sz="0" w:space="0" w:color="auto"/>
      </w:divBdr>
    </w:div>
    <w:div w:id="1371876991">
      <w:bodyDiv w:val="1"/>
      <w:marLeft w:val="0"/>
      <w:marRight w:val="0"/>
      <w:marTop w:val="0"/>
      <w:marBottom w:val="0"/>
      <w:divBdr>
        <w:top w:val="none" w:sz="0" w:space="0" w:color="auto"/>
        <w:left w:val="none" w:sz="0" w:space="0" w:color="auto"/>
        <w:bottom w:val="none" w:sz="0" w:space="0" w:color="auto"/>
        <w:right w:val="none" w:sz="0" w:space="0" w:color="auto"/>
      </w:divBdr>
    </w:div>
    <w:div w:id="1470395762">
      <w:bodyDiv w:val="1"/>
      <w:marLeft w:val="0"/>
      <w:marRight w:val="0"/>
      <w:marTop w:val="0"/>
      <w:marBottom w:val="0"/>
      <w:divBdr>
        <w:top w:val="none" w:sz="0" w:space="0" w:color="auto"/>
        <w:left w:val="none" w:sz="0" w:space="0" w:color="auto"/>
        <w:bottom w:val="none" w:sz="0" w:space="0" w:color="auto"/>
        <w:right w:val="none" w:sz="0" w:space="0" w:color="auto"/>
      </w:divBdr>
    </w:div>
    <w:div w:id="1530799381">
      <w:bodyDiv w:val="1"/>
      <w:marLeft w:val="0"/>
      <w:marRight w:val="0"/>
      <w:marTop w:val="0"/>
      <w:marBottom w:val="0"/>
      <w:divBdr>
        <w:top w:val="none" w:sz="0" w:space="0" w:color="auto"/>
        <w:left w:val="none" w:sz="0" w:space="0" w:color="auto"/>
        <w:bottom w:val="none" w:sz="0" w:space="0" w:color="auto"/>
        <w:right w:val="none" w:sz="0" w:space="0" w:color="auto"/>
      </w:divBdr>
    </w:div>
    <w:div w:id="1963533831">
      <w:bodyDiv w:val="1"/>
      <w:marLeft w:val="0"/>
      <w:marRight w:val="0"/>
      <w:marTop w:val="0"/>
      <w:marBottom w:val="0"/>
      <w:divBdr>
        <w:top w:val="none" w:sz="0" w:space="0" w:color="auto"/>
        <w:left w:val="none" w:sz="0" w:space="0" w:color="auto"/>
        <w:bottom w:val="none" w:sz="0" w:space="0" w:color="auto"/>
        <w:right w:val="none" w:sz="0" w:space="0" w:color="auto"/>
      </w:divBdr>
    </w:div>
    <w:div w:id="19655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F50D-CA9E-4BBB-BD58-27C94915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6253</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ECE/TRANS/WP.15/AC.2/2013/X</vt:lpstr>
      <vt:lpstr>ECE/TRANS/WP.15/AC.2/2013/X</vt:lpstr>
      <vt:lpstr>ECE/TRANS/WP.15/AC.2/2013/X</vt:lpstr>
    </vt:vector>
  </TitlesOfParts>
  <Company>ZSUK</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ECE/TRANS/WP.15/AC.2/2013/X</dc:title>
  <dc:creator>Weiner, UI 33</dc:creator>
  <cp:lastModifiedBy>Luciolle</cp:lastModifiedBy>
  <cp:revision>2</cp:revision>
  <cp:lastPrinted>2015-06-08T08:26:00Z</cp:lastPrinted>
  <dcterms:created xsi:type="dcterms:W3CDTF">2015-06-08T14:12:00Z</dcterms:created>
  <dcterms:modified xsi:type="dcterms:W3CDTF">2015-06-08T14:12:00Z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