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B510F"/>
        </w:tc>
        <w:tc>
          <w:tcPr>
            <w:tcW w:w="2268" w:type="dxa"/>
            <w:tcBorders>
              <w:bottom w:val="single" w:sz="4" w:space="0" w:color="auto"/>
            </w:tcBorders>
            <w:vAlign w:val="bottom"/>
          </w:tcPr>
          <w:p w:rsidR="00F35BAF" w:rsidRPr="00DB58B5" w:rsidRDefault="00F35BAF" w:rsidP="005D6F2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B510F" w:rsidP="001F050C">
            <w:pPr>
              <w:jc w:val="right"/>
            </w:pPr>
            <w:r w:rsidRPr="00EB510F">
              <w:rPr>
                <w:sz w:val="40"/>
              </w:rPr>
              <w:t>ECE</w:t>
            </w:r>
            <w:r>
              <w:t>/TRANS/WP.15/AC.1/2015</w:t>
            </w:r>
            <w:r w:rsidR="001F050C">
              <w:t>/43</w:t>
            </w:r>
          </w:p>
        </w:tc>
      </w:tr>
      <w:tr w:rsidR="00F35BAF" w:rsidRPr="00DB58B5" w:rsidTr="005D6F2D">
        <w:trPr>
          <w:trHeight w:hRule="exact" w:val="2835"/>
        </w:trPr>
        <w:tc>
          <w:tcPr>
            <w:tcW w:w="1276" w:type="dxa"/>
            <w:tcBorders>
              <w:top w:val="single" w:sz="4" w:space="0" w:color="auto"/>
              <w:bottom w:val="single" w:sz="12" w:space="0" w:color="auto"/>
            </w:tcBorders>
          </w:tcPr>
          <w:p w:rsidR="00F35BAF" w:rsidRPr="00DB58B5" w:rsidRDefault="002E7139" w:rsidP="005D6F2D">
            <w:pPr>
              <w:spacing w:before="120"/>
              <w:jc w:val="center"/>
            </w:pPr>
            <w:r>
              <w:rPr>
                <w:noProof/>
                <w:lang w:val="en-GB" w:eastAsia="en-GB"/>
              </w:rPr>
              <w:drawing>
                <wp:inline distT="0" distB="0" distL="0" distR="0">
                  <wp:extent cx="716280" cy="586740"/>
                  <wp:effectExtent l="0" t="0" r="7620" b="381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160B4" w:rsidRDefault="00F35BAF" w:rsidP="005D6F2D">
            <w:pPr>
              <w:spacing w:before="120" w:line="420" w:lineRule="exact"/>
              <w:rPr>
                <w:b/>
                <w:sz w:val="40"/>
                <w:szCs w:val="40"/>
              </w:rPr>
            </w:pPr>
            <w:r w:rsidRPr="004160B4">
              <w:rPr>
                <w:b/>
                <w:sz w:val="40"/>
                <w:szCs w:val="40"/>
              </w:rPr>
              <w:t>Conseil économique et social</w:t>
            </w:r>
          </w:p>
        </w:tc>
        <w:tc>
          <w:tcPr>
            <w:tcW w:w="2835" w:type="dxa"/>
            <w:tcBorders>
              <w:top w:val="single" w:sz="4" w:space="0" w:color="auto"/>
              <w:bottom w:val="single" w:sz="12" w:space="0" w:color="auto"/>
            </w:tcBorders>
          </w:tcPr>
          <w:p w:rsidR="00F35BAF" w:rsidRPr="004160B4" w:rsidRDefault="00EB510F" w:rsidP="005D6F2D">
            <w:pPr>
              <w:spacing w:before="240"/>
            </w:pPr>
            <w:proofErr w:type="spellStart"/>
            <w:r w:rsidRPr="004160B4">
              <w:t>Distr</w:t>
            </w:r>
            <w:proofErr w:type="spellEnd"/>
            <w:r w:rsidRPr="004160B4">
              <w:t>. générale</w:t>
            </w:r>
          </w:p>
          <w:p w:rsidR="00FF06EB" w:rsidRPr="004160B4" w:rsidRDefault="00064DFE" w:rsidP="00EB510F">
            <w:pPr>
              <w:spacing w:line="240" w:lineRule="exact"/>
            </w:pPr>
            <w:r>
              <w:t xml:space="preserve">29 </w:t>
            </w:r>
            <w:r w:rsidR="004160B4" w:rsidRPr="004160B4">
              <w:t xml:space="preserve">juin </w:t>
            </w:r>
            <w:r w:rsidR="009253C2" w:rsidRPr="004160B4">
              <w:t>2015</w:t>
            </w:r>
          </w:p>
          <w:p w:rsidR="009253C2" w:rsidRPr="004160B4" w:rsidRDefault="009253C2" w:rsidP="00EB510F">
            <w:pPr>
              <w:spacing w:line="240" w:lineRule="exact"/>
            </w:pPr>
          </w:p>
          <w:p w:rsidR="009253C2" w:rsidRPr="004160B4" w:rsidRDefault="009253C2" w:rsidP="00EB510F">
            <w:pPr>
              <w:spacing w:line="240" w:lineRule="exact"/>
            </w:pPr>
            <w:r w:rsidRPr="004160B4">
              <w:t>Original : français</w:t>
            </w:r>
          </w:p>
          <w:p w:rsidR="00EB510F" w:rsidRPr="004160B4" w:rsidRDefault="00EB510F" w:rsidP="00EB510F">
            <w:pPr>
              <w:spacing w:line="240" w:lineRule="exact"/>
            </w:pPr>
          </w:p>
        </w:tc>
      </w:tr>
    </w:tbl>
    <w:p w:rsidR="007F20FA" w:rsidRPr="000312C0" w:rsidRDefault="007F20FA" w:rsidP="007F20FA">
      <w:pPr>
        <w:spacing w:before="120"/>
        <w:rPr>
          <w:b/>
          <w:sz w:val="28"/>
          <w:szCs w:val="28"/>
        </w:rPr>
      </w:pPr>
      <w:r w:rsidRPr="000312C0">
        <w:rPr>
          <w:b/>
          <w:sz w:val="28"/>
          <w:szCs w:val="28"/>
        </w:rPr>
        <w:t>Commission économique pour l</w:t>
      </w:r>
      <w:r w:rsidR="006F4F3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B510F" w:rsidRPr="00EB510F" w:rsidRDefault="00EB510F" w:rsidP="00EB510F">
      <w:pPr>
        <w:spacing w:before="120"/>
        <w:rPr>
          <w:b/>
          <w:sz w:val="24"/>
          <w:szCs w:val="24"/>
        </w:rPr>
      </w:pPr>
      <w:r w:rsidRPr="00EB510F">
        <w:rPr>
          <w:b/>
          <w:sz w:val="24"/>
          <w:szCs w:val="24"/>
        </w:rPr>
        <w:t>Groupe de travail des transports de marchandises dangereuses</w:t>
      </w:r>
    </w:p>
    <w:p w:rsidR="00EB510F" w:rsidRPr="00926E87" w:rsidRDefault="00EB510F" w:rsidP="00EB510F">
      <w:pPr>
        <w:spacing w:before="120"/>
        <w:rPr>
          <w:b/>
        </w:rPr>
      </w:pPr>
      <w:r w:rsidRPr="00926E87">
        <w:rPr>
          <w:b/>
        </w:rPr>
        <w:t>Réunion commune de la Commission d</w:t>
      </w:r>
      <w:r w:rsidR="006F4F36">
        <w:rPr>
          <w:b/>
        </w:rPr>
        <w:t>’</w:t>
      </w:r>
      <w:r w:rsidRPr="00926E87">
        <w:rPr>
          <w:b/>
        </w:rPr>
        <w:t>experts</w:t>
      </w:r>
      <w:r>
        <w:rPr>
          <w:b/>
        </w:rPr>
        <w:t xml:space="preserve"> </w:t>
      </w:r>
      <w:r w:rsidRPr="00926E87">
        <w:rPr>
          <w:b/>
        </w:rPr>
        <w:t>du RID</w:t>
      </w:r>
      <w:r>
        <w:rPr>
          <w:b/>
        </w:rPr>
        <w:t xml:space="preserve"> </w:t>
      </w:r>
      <w:r w:rsidRPr="00926E87">
        <w:rPr>
          <w:b/>
        </w:rPr>
        <w:t>et</w:t>
      </w:r>
      <w:r>
        <w:rPr>
          <w:b/>
        </w:rPr>
        <w:br/>
      </w:r>
      <w:r w:rsidRPr="00926E87">
        <w:rPr>
          <w:b/>
        </w:rPr>
        <w:t>du Groupe de travail</w:t>
      </w:r>
      <w:r>
        <w:rPr>
          <w:b/>
        </w:rPr>
        <w:t xml:space="preserve"> </w:t>
      </w:r>
      <w:r w:rsidRPr="00926E87">
        <w:rPr>
          <w:b/>
        </w:rPr>
        <w:t>des transports</w:t>
      </w:r>
      <w:r>
        <w:rPr>
          <w:b/>
        </w:rPr>
        <w:t xml:space="preserve"> </w:t>
      </w:r>
      <w:r w:rsidRPr="00926E87">
        <w:rPr>
          <w:b/>
        </w:rPr>
        <w:t>de marchandises dangereuses</w:t>
      </w:r>
    </w:p>
    <w:p w:rsidR="004160B4" w:rsidRDefault="004160B4" w:rsidP="004160B4">
      <w:pPr>
        <w:suppressAutoHyphens w:val="0"/>
        <w:kinsoku/>
        <w:overflowPunct/>
        <w:snapToGrid/>
        <w:spacing w:line="240" w:lineRule="auto"/>
        <w:rPr>
          <w:lang w:eastAsia="fr-CH"/>
        </w:rPr>
      </w:pPr>
      <w:r>
        <w:rPr>
          <w:lang w:eastAsia="fr-CH"/>
        </w:rPr>
        <w:t>Genève, 15–25 septembre 2015</w:t>
      </w:r>
    </w:p>
    <w:p w:rsidR="004160B4" w:rsidRDefault="004160B4" w:rsidP="004160B4">
      <w:pPr>
        <w:rPr>
          <w:lang w:eastAsia="fr-CH"/>
        </w:rPr>
      </w:pPr>
      <w:r>
        <w:rPr>
          <w:lang w:eastAsia="fr-CH"/>
        </w:rPr>
        <w:t>Point 3 b) de l'ordre du jour provisoire</w:t>
      </w:r>
    </w:p>
    <w:p w:rsidR="00EB510F" w:rsidRPr="004160B4" w:rsidRDefault="004160B4" w:rsidP="004160B4">
      <w:pPr>
        <w:rPr>
          <w:b/>
        </w:rPr>
      </w:pPr>
      <w:r w:rsidRPr="004160B4">
        <w:rPr>
          <w:b/>
          <w:lang w:eastAsia="fr-CH"/>
        </w:rPr>
        <w:t>Propositions diverses d’amendements au RID/ADR/ADN</w:t>
      </w:r>
      <w:r w:rsidR="00EB510F" w:rsidRPr="004160B4">
        <w:rPr>
          <w:b/>
        </w:rPr>
        <w:t>:</w:t>
      </w:r>
    </w:p>
    <w:p w:rsidR="00EB510F" w:rsidRPr="004160B4" w:rsidRDefault="00C50DE8" w:rsidP="00EB510F">
      <w:pPr>
        <w:rPr>
          <w:b/>
        </w:rPr>
      </w:pPr>
      <w:proofErr w:type="gramStart"/>
      <w:r>
        <w:rPr>
          <w:b/>
        </w:rPr>
        <w:t>n</w:t>
      </w:r>
      <w:r w:rsidR="00C57351" w:rsidRPr="004160B4">
        <w:rPr>
          <w:b/>
        </w:rPr>
        <w:t>ouvelles</w:t>
      </w:r>
      <w:proofErr w:type="gramEnd"/>
      <w:r w:rsidR="00C57351" w:rsidRPr="004160B4">
        <w:rPr>
          <w:b/>
        </w:rPr>
        <w:t xml:space="preserve"> propositions</w:t>
      </w:r>
    </w:p>
    <w:p w:rsidR="00F02BF0" w:rsidRDefault="00F02BF0" w:rsidP="00F02BF0">
      <w:pPr>
        <w:pStyle w:val="HChG"/>
        <w:rPr>
          <w:lang w:val="fr-FR"/>
        </w:rPr>
      </w:pPr>
      <w:r>
        <w:tab/>
      </w:r>
      <w:r>
        <w:tab/>
      </w:r>
      <w:r w:rsidR="009253C2">
        <w:rPr>
          <w:lang w:val="fr-FR"/>
        </w:rPr>
        <w:t>É</w:t>
      </w:r>
      <w:r>
        <w:rPr>
          <w:lang w:val="fr-FR"/>
        </w:rPr>
        <w:t>tiquettes</w:t>
      </w:r>
      <w:r w:rsidR="003D150C">
        <w:rPr>
          <w:lang w:val="fr-FR"/>
        </w:rPr>
        <w:t xml:space="preserve"> </w:t>
      </w:r>
      <w:r>
        <w:rPr>
          <w:lang w:val="fr-FR"/>
        </w:rPr>
        <w:t>et marq</w:t>
      </w:r>
      <w:r w:rsidR="003D150C">
        <w:rPr>
          <w:lang w:val="fr-FR"/>
        </w:rPr>
        <w:t>ues</w:t>
      </w:r>
    </w:p>
    <w:p w:rsidR="001F050C" w:rsidRDefault="00F02BF0" w:rsidP="001F050C">
      <w:pPr>
        <w:pStyle w:val="H1G"/>
        <w:rPr>
          <w:vertAlign w:val="superscript"/>
          <w:lang w:val="fr-FR"/>
        </w:rPr>
      </w:pPr>
      <w:r>
        <w:rPr>
          <w:lang w:val="fr-FR"/>
        </w:rPr>
        <w:tab/>
      </w:r>
      <w:r>
        <w:rPr>
          <w:lang w:val="fr-FR"/>
        </w:rPr>
        <w:tab/>
        <w:t>Communication du Gouvernement de la Suisse</w:t>
      </w:r>
      <w:r w:rsidR="001F050C" w:rsidRPr="008021DB">
        <w:rPr>
          <w:rStyle w:val="FootnoteReference"/>
          <w:b w:val="0"/>
        </w:rPr>
        <w:footnoteReference w:id="2"/>
      </w:r>
      <w:r w:rsidR="001F050C" w:rsidRPr="00624C7F">
        <w:rPr>
          <w:b w:val="0"/>
          <w:sz w:val="18"/>
          <w:szCs w:val="18"/>
          <w:vertAlign w:val="superscript"/>
        </w:rPr>
        <w:t xml:space="preserve">, </w:t>
      </w:r>
      <w:r w:rsidR="001F050C"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02BF0" w:rsidRPr="00DB7F34" w:rsidTr="000E463E">
        <w:trPr>
          <w:jc w:val="center"/>
        </w:trPr>
        <w:tc>
          <w:tcPr>
            <w:tcW w:w="9637" w:type="dxa"/>
            <w:shd w:val="clear" w:color="auto" w:fill="auto"/>
          </w:tcPr>
          <w:p w:rsidR="00F02BF0" w:rsidRPr="00DB7F34" w:rsidRDefault="00F02BF0" w:rsidP="000E463E">
            <w:pPr>
              <w:spacing w:before="240" w:after="120"/>
              <w:ind w:left="255"/>
              <w:rPr>
                <w:i/>
                <w:sz w:val="24"/>
              </w:rPr>
            </w:pPr>
            <w:r>
              <w:rPr>
                <w:i/>
                <w:sz w:val="24"/>
              </w:rPr>
              <w:t>Résumé</w:t>
            </w:r>
          </w:p>
        </w:tc>
      </w:tr>
      <w:tr w:rsidR="00F02BF0" w:rsidRPr="008A4EF8" w:rsidTr="000E463E">
        <w:trPr>
          <w:jc w:val="center"/>
        </w:trPr>
        <w:tc>
          <w:tcPr>
            <w:tcW w:w="9637" w:type="dxa"/>
            <w:tcBorders>
              <w:bottom w:val="nil"/>
            </w:tcBorders>
            <w:shd w:val="clear" w:color="auto" w:fill="auto"/>
          </w:tcPr>
          <w:p w:rsidR="00F02BF0" w:rsidRPr="008A4EF8" w:rsidRDefault="00F02BF0" w:rsidP="00A27129">
            <w:pPr>
              <w:pStyle w:val="SingleTxtG"/>
              <w:ind w:left="3402" w:hanging="2268"/>
            </w:pPr>
            <w:r>
              <w:rPr>
                <w:b/>
              </w:rPr>
              <w:t>Résumé analytique</w:t>
            </w:r>
            <w:r w:rsidRPr="008A4EF8">
              <w:t>:</w:t>
            </w:r>
            <w:r w:rsidRPr="008A4EF8">
              <w:tab/>
            </w:r>
            <w:r w:rsidR="00660726">
              <w:t xml:space="preserve">Les plaques-étiquettes et la signalisation orange qui ne se rapportent pas aux marchandises dangereuses transportées doivent être enlevées des </w:t>
            </w:r>
            <w:r w:rsidR="00A27129">
              <w:t>engins</w:t>
            </w:r>
            <w:r w:rsidR="00660726">
              <w:t xml:space="preserve"> de transport. Il convient d’introduire une disposition similaire pour </w:t>
            </w:r>
            <w:r w:rsidR="00A27129">
              <w:t>les étiquettes et les marques apposées sur les</w:t>
            </w:r>
            <w:r w:rsidR="00660726">
              <w:t xml:space="preserve"> colis.</w:t>
            </w:r>
          </w:p>
        </w:tc>
      </w:tr>
      <w:tr w:rsidR="00F02BF0" w:rsidRPr="008A4EF8" w:rsidTr="000E463E">
        <w:trPr>
          <w:jc w:val="center"/>
        </w:trPr>
        <w:tc>
          <w:tcPr>
            <w:tcW w:w="9637" w:type="dxa"/>
            <w:tcBorders>
              <w:top w:val="nil"/>
              <w:bottom w:val="nil"/>
            </w:tcBorders>
            <w:shd w:val="clear" w:color="auto" w:fill="auto"/>
          </w:tcPr>
          <w:p w:rsidR="00F02BF0" w:rsidRPr="008A4EF8" w:rsidRDefault="00F02BF0" w:rsidP="00A97FAE">
            <w:pPr>
              <w:ind w:left="3402" w:right="1133" w:hanging="2269"/>
            </w:pPr>
            <w:r>
              <w:rPr>
                <w:b/>
              </w:rPr>
              <w:t>Décision à prendre</w:t>
            </w:r>
            <w:r w:rsidRPr="008A4EF8">
              <w:t>:</w:t>
            </w:r>
            <w:r w:rsidRPr="008A4EF8">
              <w:tab/>
            </w:r>
            <w:r w:rsidR="008544CB">
              <w:t xml:space="preserve">Insérer </w:t>
            </w:r>
            <w:r w:rsidR="00A97FAE">
              <w:t>une</w:t>
            </w:r>
            <w:r w:rsidR="00634F47">
              <w:t xml:space="preserve"> nouvelle disposition aux chapitres 3.4, 3.5 et 5.2.</w:t>
            </w:r>
          </w:p>
        </w:tc>
      </w:tr>
      <w:tr w:rsidR="00F02BF0" w:rsidRPr="008A4EF8" w:rsidTr="000E463E">
        <w:tblPrEx>
          <w:jc w:val="left"/>
          <w:tblBorders>
            <w:insideH w:val="single" w:sz="4" w:space="0" w:color="auto"/>
          </w:tblBorders>
          <w:tblLook w:val="04A0" w:firstRow="1" w:lastRow="0" w:firstColumn="1" w:lastColumn="0" w:noHBand="0" w:noVBand="1"/>
        </w:tblPrEx>
        <w:tc>
          <w:tcPr>
            <w:tcW w:w="9637" w:type="dxa"/>
            <w:tcBorders>
              <w:top w:val="nil"/>
            </w:tcBorders>
            <w:shd w:val="clear" w:color="auto" w:fill="auto"/>
          </w:tcPr>
          <w:p w:rsidR="00F02BF0" w:rsidRDefault="00F02BF0" w:rsidP="000E463E">
            <w:pPr>
              <w:suppressAutoHyphens w:val="0"/>
              <w:spacing w:before="120" w:after="120"/>
              <w:ind w:left="3407" w:right="1127" w:hanging="2268"/>
              <w:rPr>
                <w:b/>
              </w:rPr>
            </w:pPr>
          </w:p>
        </w:tc>
      </w:tr>
    </w:tbl>
    <w:p w:rsidR="00F02BF0" w:rsidRDefault="008544CB" w:rsidP="00064DFE">
      <w:pPr>
        <w:pStyle w:val="HChG"/>
        <w:tabs>
          <w:tab w:val="clear" w:pos="851"/>
        </w:tabs>
        <w:ind w:hanging="567"/>
      </w:pPr>
      <w:r>
        <w:rPr>
          <w:lang w:val="fr-FR"/>
        </w:rPr>
        <w:t>I.</w:t>
      </w:r>
      <w:r>
        <w:rPr>
          <w:lang w:val="fr-FR"/>
        </w:rPr>
        <w:tab/>
      </w:r>
      <w:r w:rsidR="00F02BF0">
        <w:t>Introduction</w:t>
      </w:r>
    </w:p>
    <w:p w:rsidR="00903B0E" w:rsidRDefault="00F02BF0" w:rsidP="003D150C">
      <w:pPr>
        <w:pStyle w:val="SingleTxtG"/>
      </w:pPr>
      <w:r>
        <w:t>1.</w:t>
      </w:r>
      <w:r>
        <w:tab/>
        <w:t>Le</w:t>
      </w:r>
      <w:r w:rsidR="00BC5B71">
        <w:t>s</w:t>
      </w:r>
      <w:r>
        <w:t xml:space="preserve"> paragraphe</w:t>
      </w:r>
      <w:r w:rsidR="00BC5B71">
        <w:t>s</w:t>
      </w:r>
      <w:r>
        <w:t xml:space="preserve"> 5.3.1.1.5</w:t>
      </w:r>
      <w:r w:rsidR="00BC5B71">
        <w:t xml:space="preserve"> et 5.3.2.1.8</w:t>
      </w:r>
      <w:r w:rsidR="00322304">
        <w:t xml:space="preserve"> </w:t>
      </w:r>
      <w:r w:rsidR="00BC5B71">
        <w:t>exigent</w:t>
      </w:r>
      <w:r>
        <w:t xml:space="preserve"> d’</w:t>
      </w:r>
      <w:r w:rsidR="00141F8A">
        <w:t>enlever</w:t>
      </w:r>
      <w:r>
        <w:t xml:space="preserve"> les plaques-étiquettes </w:t>
      </w:r>
      <w:r w:rsidR="00BC5B71">
        <w:t xml:space="preserve">et la signalisation orange </w:t>
      </w:r>
      <w:r>
        <w:t>qui ne se rapportent pas aux marchandises dangereuses transportées ou aux restes de celles-ci. Ce</w:t>
      </w:r>
      <w:r w:rsidR="003D150C">
        <w:t>s</w:t>
      </w:r>
      <w:r>
        <w:t xml:space="preserve"> disposition</w:t>
      </w:r>
      <w:r w:rsidR="003D150C">
        <w:t>s</w:t>
      </w:r>
      <w:r>
        <w:t xml:space="preserve"> </w:t>
      </w:r>
      <w:r w:rsidR="00031526">
        <w:t xml:space="preserve">permettent </w:t>
      </w:r>
      <w:r w:rsidR="004A3BB2">
        <w:t xml:space="preserve">en cas d’incident </w:t>
      </w:r>
      <w:r>
        <w:t>d’éviter des mesures d’intervention superflues</w:t>
      </w:r>
      <w:r w:rsidR="003A5602">
        <w:t xml:space="preserve"> ou inadéquates</w:t>
      </w:r>
      <w:r w:rsidR="00274F76">
        <w:t>,</w:t>
      </w:r>
      <w:r w:rsidR="004A3BB2">
        <w:t xml:space="preserve"> </w:t>
      </w:r>
      <w:r w:rsidR="003A5602">
        <w:t>pouvant faire perdre un temps précieux</w:t>
      </w:r>
      <w:r w:rsidR="00274F76">
        <w:t>,</w:t>
      </w:r>
      <w:r w:rsidR="003A5602" w:rsidDel="004A3BB2">
        <w:t xml:space="preserve"> </w:t>
      </w:r>
      <w:r w:rsidR="003A5602">
        <w:t xml:space="preserve">et </w:t>
      </w:r>
      <w:r>
        <w:lastRenderedPageBreak/>
        <w:t>coûteuses</w:t>
      </w:r>
      <w:r w:rsidR="004A3BB2">
        <w:t xml:space="preserve">. Elles permettent d’optimiser la chaîne de transport en évitant des mesures opérationnelles </w:t>
      </w:r>
      <w:r w:rsidR="00C14B92">
        <w:t xml:space="preserve">inutiles comme par exemple l’insertion d’une distance de protection selon la section 7.5.3 </w:t>
      </w:r>
      <w:r w:rsidR="00064DFE">
        <w:t>(</w:t>
      </w:r>
      <w:r w:rsidR="00C14B92">
        <w:t>RID</w:t>
      </w:r>
      <w:r w:rsidR="00064DFE">
        <w:t>)</w:t>
      </w:r>
      <w:bookmarkStart w:id="0" w:name="_GoBack"/>
      <w:bookmarkEnd w:id="0"/>
      <w:r w:rsidR="00C14B92">
        <w:t xml:space="preserve"> et </w:t>
      </w:r>
      <w:r w:rsidR="003A5602">
        <w:t>évitent</w:t>
      </w:r>
      <w:r w:rsidR="00C14B92">
        <w:t xml:space="preserve"> des retards lors </w:t>
      </w:r>
      <w:r>
        <w:t>de contrôles.</w:t>
      </w:r>
    </w:p>
    <w:p w:rsidR="00F02BF0" w:rsidRDefault="003D150C" w:rsidP="00F02BF0">
      <w:pPr>
        <w:pStyle w:val="SingleTxtG"/>
      </w:pPr>
      <w:r>
        <w:t>2.</w:t>
      </w:r>
      <w:r>
        <w:tab/>
      </w:r>
      <w:r w:rsidR="00F02BF0">
        <w:t>Aucune disposition semblable n’existe pour ce qui est des étiquettes et marqu</w:t>
      </w:r>
      <w:r>
        <w:t>es</w:t>
      </w:r>
      <w:r w:rsidR="00F02BF0">
        <w:t xml:space="preserve"> </w:t>
      </w:r>
      <w:r>
        <w:t xml:space="preserve">sur les </w:t>
      </w:r>
      <w:r w:rsidR="00F02BF0">
        <w:t xml:space="preserve">colis. Pourtant les conséquences pour les intervenants sont </w:t>
      </w:r>
      <w:r w:rsidR="00C14B92">
        <w:t>similaires</w:t>
      </w:r>
      <w:r w:rsidR="00F02BF0">
        <w:t xml:space="preserve">. En cas </w:t>
      </w:r>
      <w:r w:rsidR="00C14B92">
        <w:t>d’incident</w:t>
      </w:r>
      <w:r w:rsidR="00F02BF0">
        <w:t xml:space="preserve">, la présence d’étiquettes </w:t>
      </w:r>
      <w:r w:rsidR="00302087">
        <w:t xml:space="preserve">de danger </w:t>
      </w:r>
      <w:r w:rsidR="00F02BF0">
        <w:t xml:space="preserve">et </w:t>
      </w:r>
      <w:r w:rsidR="00302087">
        <w:t xml:space="preserve">de </w:t>
      </w:r>
      <w:r w:rsidR="00F02BF0">
        <w:t>marqu</w:t>
      </w:r>
      <w:r w:rsidR="00302087">
        <w:t>es</w:t>
      </w:r>
      <w:r w:rsidR="00F02BF0">
        <w:t xml:space="preserve"> </w:t>
      </w:r>
      <w:r w:rsidR="00826B28">
        <w:t xml:space="preserve">non requises </w:t>
      </w:r>
      <w:r w:rsidR="00F02BF0">
        <w:t xml:space="preserve">sur les colis </w:t>
      </w:r>
      <w:r w:rsidR="00C820A5">
        <w:t>peut conduire</w:t>
      </w:r>
      <w:r w:rsidR="00F02BF0">
        <w:t xml:space="preserve"> à de</w:t>
      </w:r>
      <w:r w:rsidR="00C820A5">
        <w:t>s</w:t>
      </w:r>
      <w:r w:rsidR="00F02BF0">
        <w:t xml:space="preserve"> interventions disproportionnées</w:t>
      </w:r>
      <w:r w:rsidR="003A5602">
        <w:t xml:space="preserve"> ou inadéquates</w:t>
      </w:r>
      <w:r w:rsidR="00F02BF0">
        <w:t xml:space="preserve"> </w:t>
      </w:r>
      <w:r w:rsidR="00AE499B">
        <w:t>par rapport</w:t>
      </w:r>
      <w:r w:rsidR="00F02BF0">
        <w:t xml:space="preserve"> au risque présent </w:t>
      </w:r>
      <w:r w:rsidR="00302087">
        <w:t>et</w:t>
      </w:r>
      <w:r w:rsidR="00F02BF0">
        <w:t xml:space="preserve"> engendre</w:t>
      </w:r>
      <w:r w:rsidR="002C41E0">
        <w:t>r</w:t>
      </w:r>
      <w:r w:rsidR="00F02BF0">
        <w:t xml:space="preserve"> des coûts supplémentaires. </w:t>
      </w:r>
      <w:r w:rsidR="00C14B92">
        <w:t xml:space="preserve">En cas de contrôles, </w:t>
      </w:r>
      <w:r w:rsidR="00BC6757">
        <w:t>les</w:t>
      </w:r>
      <w:r w:rsidR="00C14B92">
        <w:t xml:space="preserve"> recherches nécessaires à la détermination du contenu des colis et à l’examen de la documentation y relative </w:t>
      </w:r>
      <w:r w:rsidR="00BC6757">
        <w:t>engendrent des retards se répercutant sur toute la chaîne de transport</w:t>
      </w:r>
      <w:r w:rsidR="00C14B92">
        <w:t>.</w:t>
      </w:r>
      <w:r w:rsidR="00BC6757">
        <w:t xml:space="preserve"> Des opérations inutiles doivent être effectuées comme le </w:t>
      </w:r>
      <w:r w:rsidR="00274F76">
        <w:t xml:space="preserve">placardage </w:t>
      </w:r>
      <w:r w:rsidR="00BC6757">
        <w:t xml:space="preserve">des </w:t>
      </w:r>
      <w:r w:rsidR="00274F76">
        <w:t xml:space="preserve">engins </w:t>
      </w:r>
      <w:r w:rsidR="00BC6757">
        <w:t>de transport, le respect des prescriptions de chargement en commun, etc.</w:t>
      </w:r>
      <w:r w:rsidR="00C14B92">
        <w:t xml:space="preserve"> </w:t>
      </w:r>
    </w:p>
    <w:p w:rsidR="00521873" w:rsidRDefault="00F02BF0" w:rsidP="001F73DF">
      <w:pPr>
        <w:pStyle w:val="SingleTxtG"/>
      </w:pPr>
      <w:r>
        <w:t>3.</w:t>
      </w:r>
      <w:r>
        <w:tab/>
        <w:t xml:space="preserve">Pour ces motifs nous </w:t>
      </w:r>
      <w:r w:rsidR="003D150C">
        <w:t xml:space="preserve">estimons nécessaire </w:t>
      </w:r>
      <w:r>
        <w:t xml:space="preserve">d’introduire </w:t>
      </w:r>
      <w:r w:rsidR="00467D1A">
        <w:t xml:space="preserve">aux chapitres 3.4, 3.5 et 5.2 </w:t>
      </w:r>
      <w:r>
        <w:t xml:space="preserve">une disposition </w:t>
      </w:r>
      <w:r w:rsidR="00BB3EA0">
        <w:t>concernant</w:t>
      </w:r>
      <w:r w:rsidR="00467D1A">
        <w:t xml:space="preserve"> l’étiquetage et le marquage des colis </w:t>
      </w:r>
      <w:r>
        <w:t>similaire à celle existant au</w:t>
      </w:r>
      <w:r w:rsidR="003D150C">
        <w:t>x</w:t>
      </w:r>
      <w:r>
        <w:t xml:space="preserve"> 5.3.1.1.5</w:t>
      </w:r>
      <w:r w:rsidR="003D150C">
        <w:t xml:space="preserve"> et 5.3.2.1.8</w:t>
      </w:r>
      <w:r w:rsidR="00A87CDA">
        <w:t>.</w:t>
      </w:r>
      <w:r w:rsidR="00A6779A">
        <w:t xml:space="preserve"> </w:t>
      </w:r>
      <w:r w:rsidR="001612C4">
        <w:t>Nous pensons également que, dans le cas des marchandises dangereuses emballées en quantités limitées, cette nouvelle disposition doit non seulement s’appliquer au cas des colis mais aussi à celui des engins de transport couvert par les dispositions des paragraphes 3.4.13 à 3.4.15.</w:t>
      </w:r>
    </w:p>
    <w:p w:rsidR="00C969C0" w:rsidRDefault="004D55FA" w:rsidP="00F02BF0">
      <w:pPr>
        <w:pStyle w:val="SingleTxtG"/>
      </w:pPr>
      <w:r>
        <w:t>4.</w:t>
      </w:r>
      <w:r>
        <w:tab/>
      </w:r>
      <w:r w:rsidR="00C969C0">
        <w:t xml:space="preserve">La proposition ci-après traite uniquement des colis contenant des marchandises dangereuses. Le cas des colis ne contenant plus de marchandises dangereuses mais dont les étiquettes de danger et les marques n’auraient pas été enlevées ou recouvertes n’est pas traité ici, bien qu’il puisse également poser problème. </w:t>
      </w:r>
      <w:r w:rsidR="00275B2B">
        <w:t>Il ne nous semble toutefois pas possible de le résoudre dans le cadre du RID/ADR/ADN.</w:t>
      </w:r>
      <w:r w:rsidR="00C969C0">
        <w:t xml:space="preserve"> </w:t>
      </w:r>
      <w:r w:rsidR="00275B2B">
        <w:t>Si le</w:t>
      </w:r>
      <w:r w:rsidR="00C969C0">
        <w:t xml:space="preserve"> 1.4.3.7.1 f) RID/ADR exige que le déchargeur veille à ce </w:t>
      </w:r>
      <w:r w:rsidR="00C969C0" w:rsidRPr="00141C27">
        <w:t>que les wagons et les conteneurs, une fois entièrement déchargés, nettoyés, dégazés et décontaminés, ne portent plus les plaques-étiquettes et la signalisation orange</w:t>
      </w:r>
      <w:r w:rsidR="00275B2B">
        <w:t>, les activités de déballage sortent quant à elles du champ d’action du RID/ADR/ADN.</w:t>
      </w:r>
    </w:p>
    <w:p w:rsidR="00F02BF0" w:rsidRDefault="008544CB" w:rsidP="00064DFE">
      <w:pPr>
        <w:pStyle w:val="HChG"/>
        <w:tabs>
          <w:tab w:val="clear" w:pos="851"/>
        </w:tabs>
        <w:ind w:hanging="567"/>
      </w:pPr>
      <w:r w:rsidRPr="00064DFE">
        <w:rPr>
          <w:lang w:val="fr-FR"/>
        </w:rPr>
        <w:t>II</w:t>
      </w:r>
      <w:r>
        <w:t>.</w:t>
      </w:r>
      <w:r>
        <w:tab/>
      </w:r>
      <w:r w:rsidR="00F02BF0">
        <w:t>Proposition</w:t>
      </w:r>
    </w:p>
    <w:p w:rsidR="003C06A7" w:rsidRDefault="004D55FA" w:rsidP="00E164B0">
      <w:pPr>
        <w:pStyle w:val="SingleTxtG"/>
      </w:pPr>
      <w:r>
        <w:t>5</w:t>
      </w:r>
      <w:r w:rsidR="00E164B0">
        <w:t>.</w:t>
      </w:r>
      <w:r w:rsidR="00E164B0">
        <w:tab/>
      </w:r>
      <w:r w:rsidR="001612C4">
        <w:t>a)</w:t>
      </w:r>
      <w:r w:rsidR="001612C4">
        <w:tab/>
      </w:r>
      <w:r w:rsidR="003C06A7">
        <w:t>Ajouter un nouve</w:t>
      </w:r>
      <w:r w:rsidR="00C50DE8">
        <w:t>au paragraphe 3.4.16 comme suit</w:t>
      </w:r>
      <w:r w:rsidR="003C06A7">
        <w:t>:</w:t>
      </w:r>
    </w:p>
    <w:p w:rsidR="003C06A7" w:rsidRDefault="00C50DE8" w:rsidP="000F30AA">
      <w:pPr>
        <w:pStyle w:val="SingleTxtG"/>
        <w:ind w:left="2835" w:hanging="1134"/>
      </w:pPr>
      <w:r>
        <w:t>«</w:t>
      </w:r>
      <w:r w:rsidR="001612C4">
        <w:t>3.4.16</w:t>
      </w:r>
      <w:r w:rsidR="001612C4">
        <w:tab/>
      </w:r>
      <w:r w:rsidR="003C06A7">
        <w:t>Les marques</w:t>
      </w:r>
      <w:r w:rsidR="00276C0A">
        <w:t>,</w:t>
      </w:r>
      <w:r w:rsidR="003C06A7">
        <w:t xml:space="preserve"> étiquettes</w:t>
      </w:r>
      <w:r w:rsidR="00276C0A">
        <w:t xml:space="preserve">, plaques-étiquettes et </w:t>
      </w:r>
      <w:r w:rsidR="00154358">
        <w:t xml:space="preserve">la </w:t>
      </w:r>
      <w:r w:rsidR="00276C0A">
        <w:t>signalisation orange</w:t>
      </w:r>
      <w:r w:rsidR="003C06A7">
        <w:t xml:space="preserve"> qui ne se rapportent pas aux marchandises dangereuses transportées, ou aux restes de ces marchandises, doivent être ôté</w:t>
      </w:r>
      <w:r w:rsidR="00322304">
        <w:t>e</w:t>
      </w:r>
      <w:r w:rsidR="003C06A7">
        <w:t>s o</w:t>
      </w:r>
      <w:r w:rsidR="009253C2">
        <w:t>u</w:t>
      </w:r>
      <w:r w:rsidR="003C06A7">
        <w:t xml:space="preserve"> recouvert</w:t>
      </w:r>
      <w:r w:rsidR="00322304">
        <w:t>e</w:t>
      </w:r>
      <w:r>
        <w:t>s.</w:t>
      </w:r>
      <w:r w:rsidR="003C06A7">
        <w:t>».</w:t>
      </w:r>
    </w:p>
    <w:p w:rsidR="003C06A7" w:rsidRDefault="001612C4" w:rsidP="001612C4">
      <w:pPr>
        <w:pStyle w:val="SingleTxtG"/>
        <w:ind w:left="1701"/>
      </w:pPr>
      <w:r>
        <w:t>b)</w:t>
      </w:r>
      <w:r>
        <w:tab/>
      </w:r>
      <w:r w:rsidR="003C06A7">
        <w:t>Ajouter un nouveau paragraphe 3.5.4.</w:t>
      </w:r>
      <w:r w:rsidR="0060675B">
        <w:t>4</w:t>
      </w:r>
      <w:r w:rsidR="00C50DE8">
        <w:t xml:space="preserve"> comme suit</w:t>
      </w:r>
      <w:r w:rsidR="003C06A7">
        <w:t>:</w:t>
      </w:r>
    </w:p>
    <w:p w:rsidR="003C06A7" w:rsidRDefault="00C50DE8" w:rsidP="000F30AA">
      <w:pPr>
        <w:pStyle w:val="SingleTxtG"/>
        <w:ind w:left="2835" w:hanging="1134"/>
      </w:pPr>
      <w:r>
        <w:t>«</w:t>
      </w:r>
      <w:r w:rsidR="00FB5F7A">
        <w:t>3.5.4.</w:t>
      </w:r>
      <w:r w:rsidR="0060675B">
        <w:t>4</w:t>
      </w:r>
      <w:r w:rsidR="001612C4">
        <w:tab/>
      </w:r>
      <w:r w:rsidR="00FB5F7A">
        <w:t xml:space="preserve">Les marques et étiquettes qui ne se rapportent pas aux marchandises </w:t>
      </w:r>
      <w:proofErr w:type="gramStart"/>
      <w:r w:rsidR="00FB5F7A">
        <w:t>dangereuses</w:t>
      </w:r>
      <w:proofErr w:type="gramEnd"/>
      <w:r w:rsidR="00FB5F7A">
        <w:t xml:space="preserve"> transportées, ou aux restes de ces marchandises, doivent être ôté</w:t>
      </w:r>
      <w:r w:rsidR="00322304">
        <w:t>e</w:t>
      </w:r>
      <w:r w:rsidR="00FB5F7A">
        <w:t>s o</w:t>
      </w:r>
      <w:r w:rsidR="00322304">
        <w:t>u</w:t>
      </w:r>
      <w:r w:rsidR="00FB5F7A">
        <w:t xml:space="preserve"> recouvert</w:t>
      </w:r>
      <w:r w:rsidR="00322304">
        <w:t>e</w:t>
      </w:r>
      <w:r>
        <w:t>s.</w:t>
      </w:r>
      <w:r w:rsidR="00FB5F7A">
        <w:t>».</w:t>
      </w:r>
    </w:p>
    <w:p w:rsidR="00E164B0" w:rsidRDefault="001612C4" w:rsidP="001612C4">
      <w:pPr>
        <w:pStyle w:val="SingleTxtG"/>
        <w:ind w:left="1701"/>
      </w:pPr>
      <w:r>
        <w:t>c)</w:t>
      </w:r>
      <w:r>
        <w:tab/>
      </w:r>
      <w:r w:rsidR="00E164B0">
        <w:t>Au 5.2.1.2, ajou</w:t>
      </w:r>
      <w:r w:rsidR="00C50DE8">
        <w:t>ter la phrase suivante à la fin</w:t>
      </w:r>
      <w:r w:rsidR="00E164B0">
        <w:t>:</w:t>
      </w:r>
    </w:p>
    <w:p w:rsidR="00E164B0" w:rsidRDefault="00E164B0" w:rsidP="001612C4">
      <w:pPr>
        <w:pStyle w:val="SingleTxtG"/>
        <w:ind w:left="1701"/>
      </w:pPr>
      <w:r>
        <w:t>«Les marques qui ne se rapportent pas aux marchandises dangereuses transportées, ou aux restes de ces marchandises, doi</w:t>
      </w:r>
      <w:r w:rsidR="000F30AA">
        <w:t>vent être ôtées ou recouvertes.</w:t>
      </w:r>
      <w:r>
        <w:t>».</w:t>
      </w:r>
    </w:p>
    <w:p w:rsidR="00E164B0" w:rsidRDefault="001612C4" w:rsidP="001612C4">
      <w:pPr>
        <w:pStyle w:val="SingleTxtG"/>
        <w:ind w:left="1701"/>
      </w:pPr>
      <w:r>
        <w:t>d)</w:t>
      </w:r>
      <w:r>
        <w:tab/>
      </w:r>
      <w:r w:rsidR="001250E6">
        <w:t>Ajouter un nouveau paragraphe 5.2.2.1.3 comme suit :</w:t>
      </w:r>
    </w:p>
    <w:p w:rsidR="00753A00" w:rsidRDefault="00C50DE8" w:rsidP="000F30AA">
      <w:pPr>
        <w:pStyle w:val="SingleTxtG"/>
        <w:ind w:left="2835" w:hanging="1134"/>
      </w:pPr>
      <w:r>
        <w:t>«</w:t>
      </w:r>
      <w:r w:rsidR="001612C4">
        <w:t>5.2.2.1.3</w:t>
      </w:r>
      <w:r w:rsidR="001612C4">
        <w:tab/>
      </w:r>
      <w:r w:rsidR="00E164B0">
        <w:t>Les étiquettes qui ne se rapportent pas aux marchandises dangereuses transportées, ou aux restes de ces marchandises, doi</w:t>
      </w:r>
      <w:r>
        <w:t>vent être ôtées ou recouvertes.</w:t>
      </w:r>
      <w:r w:rsidR="00E164B0">
        <w:t>».</w:t>
      </w:r>
    </w:p>
    <w:p w:rsidR="00EB510F" w:rsidRPr="00EB510F" w:rsidRDefault="00EB510F" w:rsidP="00EB510F">
      <w:pPr>
        <w:pStyle w:val="SingleTxtG"/>
        <w:spacing w:before="240" w:after="0"/>
        <w:jc w:val="center"/>
        <w:rPr>
          <w:u w:val="single"/>
        </w:rPr>
      </w:pPr>
      <w:r>
        <w:rPr>
          <w:u w:val="single"/>
        </w:rPr>
        <w:tab/>
      </w:r>
      <w:r>
        <w:rPr>
          <w:u w:val="single"/>
        </w:rPr>
        <w:tab/>
      </w:r>
      <w:r>
        <w:rPr>
          <w:u w:val="single"/>
        </w:rPr>
        <w:tab/>
      </w:r>
    </w:p>
    <w:sectPr w:rsidR="00EB510F" w:rsidRPr="00EB510F" w:rsidSect="00EB510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A1" w:rsidRDefault="00983CA1" w:rsidP="00F95C08">
      <w:pPr>
        <w:spacing w:line="240" w:lineRule="auto"/>
      </w:pPr>
    </w:p>
  </w:endnote>
  <w:endnote w:type="continuationSeparator" w:id="0">
    <w:p w:rsidR="00983CA1" w:rsidRPr="00AC3823" w:rsidRDefault="00983CA1" w:rsidP="00AC3823">
      <w:pPr>
        <w:pStyle w:val="Footer"/>
      </w:pPr>
    </w:p>
  </w:endnote>
  <w:endnote w:type="continuationNotice" w:id="1">
    <w:p w:rsidR="00983CA1" w:rsidRDefault="00983C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0F" w:rsidRPr="00EB510F" w:rsidRDefault="00EB510F" w:rsidP="00EB510F">
    <w:pPr>
      <w:pStyle w:val="Footer"/>
      <w:tabs>
        <w:tab w:val="right" w:pos="9638"/>
      </w:tabs>
    </w:pPr>
    <w:r w:rsidRPr="00EB510F">
      <w:rPr>
        <w:b/>
        <w:sz w:val="18"/>
      </w:rPr>
      <w:fldChar w:fldCharType="begin"/>
    </w:r>
    <w:r w:rsidRPr="00EB510F">
      <w:rPr>
        <w:b/>
        <w:sz w:val="18"/>
      </w:rPr>
      <w:instrText xml:space="preserve"> PAGE  \* MERGEFORMAT </w:instrText>
    </w:r>
    <w:r w:rsidRPr="00EB510F">
      <w:rPr>
        <w:b/>
        <w:sz w:val="18"/>
      </w:rPr>
      <w:fldChar w:fldCharType="separate"/>
    </w:r>
    <w:r w:rsidR="00BD186D">
      <w:rPr>
        <w:b/>
        <w:noProof/>
        <w:sz w:val="18"/>
      </w:rPr>
      <w:t>2</w:t>
    </w:r>
    <w:r w:rsidRPr="00EB510F">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0F" w:rsidRPr="00EB510F" w:rsidRDefault="00EB510F" w:rsidP="00EB510F">
    <w:pPr>
      <w:pStyle w:val="Footer"/>
      <w:tabs>
        <w:tab w:val="right" w:pos="9638"/>
      </w:tabs>
      <w:rPr>
        <w:b/>
        <w:sz w:val="18"/>
      </w:rPr>
    </w:pPr>
    <w:r>
      <w:tab/>
    </w:r>
    <w:r w:rsidRPr="00EB510F">
      <w:rPr>
        <w:b/>
        <w:sz w:val="18"/>
      </w:rPr>
      <w:fldChar w:fldCharType="begin"/>
    </w:r>
    <w:r w:rsidRPr="00EB510F">
      <w:rPr>
        <w:b/>
        <w:sz w:val="18"/>
      </w:rPr>
      <w:instrText xml:space="preserve"> PAGE  \* MERGEFORMAT </w:instrText>
    </w:r>
    <w:r w:rsidRPr="00EB510F">
      <w:rPr>
        <w:b/>
        <w:sz w:val="18"/>
      </w:rPr>
      <w:fldChar w:fldCharType="separate"/>
    </w:r>
    <w:r w:rsidR="00C50DE8">
      <w:rPr>
        <w:b/>
        <w:noProof/>
        <w:sz w:val="18"/>
      </w:rPr>
      <w:t>3</w:t>
    </w:r>
    <w:r w:rsidRPr="00EB51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B510F" w:rsidRDefault="00EB510F" w:rsidP="00EB510F">
    <w:pPr>
      <w:pStyle w:val="Footer"/>
      <w:spacing w:before="120"/>
      <w:rPr>
        <w:sz w:val="20"/>
      </w:rPr>
    </w:pPr>
    <w:r>
      <w:rPr>
        <w:sz w:val="20"/>
      </w:rPr>
      <w:t>GE.</w:t>
    </w:r>
    <w:r w:rsidR="002E7139">
      <w:rPr>
        <w:noProof/>
        <w:lang w:val="en-GB" w:eastAsia="en-GB"/>
      </w:rPr>
      <w:drawing>
        <wp:anchor distT="0" distB="0" distL="114300" distR="114300" simplePos="0" relativeHeight="251657728" behindDoc="0" locked="0" layoutInCell="1" allowOverlap="0">
          <wp:simplePos x="0" y="0"/>
          <wp:positionH relativeFrom="margin">
            <wp:posOffset>4319905</wp:posOffset>
          </wp:positionH>
          <wp:positionV relativeFrom="margin">
            <wp:posOffset>8279765</wp:posOffset>
          </wp:positionV>
          <wp:extent cx="1104900" cy="234315"/>
          <wp:effectExtent l="0" t="0" r="0" b="0"/>
          <wp:wrapNone/>
          <wp:docPr id="3"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51">
      <w:rPr>
        <w:sz w:val="20"/>
      </w:rPr>
      <w:t>15</w:t>
    </w:r>
    <w:r>
      <w:rPr>
        <w:sz w:val="20"/>
      </w:rPr>
      <w:t>-</w:t>
    </w:r>
    <w:r>
      <w:rPr>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A1" w:rsidRPr="00AC3823" w:rsidRDefault="00983CA1" w:rsidP="00AC3823">
      <w:pPr>
        <w:pStyle w:val="Footer"/>
        <w:tabs>
          <w:tab w:val="right" w:pos="2155"/>
        </w:tabs>
        <w:spacing w:after="80" w:line="240" w:lineRule="atLeast"/>
        <w:ind w:left="680"/>
        <w:rPr>
          <w:u w:val="single"/>
        </w:rPr>
      </w:pPr>
      <w:r>
        <w:rPr>
          <w:u w:val="single"/>
        </w:rPr>
        <w:tab/>
      </w:r>
    </w:p>
  </w:footnote>
  <w:footnote w:type="continuationSeparator" w:id="0">
    <w:p w:rsidR="00983CA1" w:rsidRPr="00AC3823" w:rsidRDefault="00983CA1" w:rsidP="00AC3823">
      <w:pPr>
        <w:pStyle w:val="Footer"/>
        <w:tabs>
          <w:tab w:val="right" w:pos="2155"/>
        </w:tabs>
        <w:spacing w:after="80" w:line="240" w:lineRule="atLeast"/>
        <w:ind w:left="680"/>
        <w:rPr>
          <w:u w:val="single"/>
        </w:rPr>
      </w:pPr>
      <w:r>
        <w:rPr>
          <w:u w:val="single"/>
        </w:rPr>
        <w:tab/>
      </w:r>
    </w:p>
  </w:footnote>
  <w:footnote w:type="continuationNotice" w:id="1">
    <w:p w:rsidR="00983CA1" w:rsidRPr="00AC3823" w:rsidRDefault="00983CA1">
      <w:pPr>
        <w:spacing w:line="240" w:lineRule="auto"/>
        <w:rPr>
          <w:sz w:val="2"/>
          <w:szCs w:val="2"/>
        </w:rPr>
      </w:pPr>
    </w:p>
  </w:footnote>
  <w:footnote w:id="2">
    <w:p w:rsidR="001F050C" w:rsidRDefault="001F050C" w:rsidP="001F050C">
      <w:pPr>
        <w:pStyle w:val="FootnoteText"/>
        <w:widowControl w:val="0"/>
        <w:tabs>
          <w:tab w:val="clear" w:pos="1021"/>
          <w:tab w:val="right" w:pos="1020"/>
        </w:tabs>
      </w:pPr>
      <w:r>
        <w:tab/>
      </w:r>
      <w:r>
        <w:rPr>
          <w:rStyle w:val="FootnoteReference"/>
        </w:rPr>
        <w:footnoteRef/>
      </w:r>
      <w:r>
        <w:tab/>
      </w:r>
      <w:r w:rsidRPr="00131629">
        <w:rPr>
          <w:lang w:val="fr-FR"/>
        </w:rPr>
        <w:t>Conformément au programme de travail du Comité des transports intérieurs pour la période</w:t>
      </w:r>
      <w:r>
        <w:rPr>
          <w:lang w:val="fr-FR"/>
        </w:rPr>
        <w:t xml:space="preserve"> 2014</w:t>
      </w:r>
      <w:r>
        <w:rPr>
          <w:lang w:val="fr-FR"/>
        </w:rPr>
        <w:noBreakHyphen/>
        <w:t>2015 (ECE/TRANS/240, par. </w:t>
      </w:r>
      <w:r w:rsidRPr="00131629">
        <w:rPr>
          <w:lang w:val="fr-FR"/>
        </w:rPr>
        <w:t>100; EC</w:t>
      </w:r>
      <w:r>
        <w:rPr>
          <w:lang w:val="fr-FR"/>
        </w:rPr>
        <w:t>E/TRANS/2014/23, module 9, par. </w:t>
      </w:r>
      <w:r w:rsidRPr="00131629">
        <w:rPr>
          <w:lang w:val="fr-FR"/>
        </w:rPr>
        <w:t>9.2).</w:t>
      </w:r>
    </w:p>
  </w:footnote>
  <w:footnote w:id="3">
    <w:p w:rsidR="001F050C" w:rsidRDefault="001F050C" w:rsidP="001F050C">
      <w:pPr>
        <w:pStyle w:val="FootnoteText"/>
        <w:widowControl w:val="0"/>
        <w:tabs>
          <w:tab w:val="clear" w:pos="1021"/>
          <w:tab w:val="right" w:pos="1020"/>
        </w:tabs>
      </w:pPr>
      <w:r>
        <w:tab/>
      </w:r>
      <w:r>
        <w:rPr>
          <w:rStyle w:val="FootnoteReference"/>
        </w:rPr>
        <w:footnoteRef/>
      </w:r>
      <w:r>
        <w:tab/>
      </w:r>
      <w:r w:rsidRPr="00131629">
        <w:rPr>
          <w:lang w:val="fr-FR"/>
        </w:rPr>
        <w:t xml:space="preserve">Diffusée par l’Organisation intergouvernementale pour les transports internationaux ferroviaires (OTIF) sous la cote </w:t>
      </w:r>
      <w:r>
        <w:t>OTIF/RID/RC/2015/43</w:t>
      </w:r>
      <w:r w:rsidRPr="0013162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0F" w:rsidRPr="00EB510F" w:rsidRDefault="00FF06EB">
    <w:pPr>
      <w:pStyle w:val="Header"/>
    </w:pPr>
    <w:r>
      <w:t>ECE/TRANS/WP.15/AC.1/2015/</w:t>
    </w:r>
    <w:r w:rsidR="001F050C">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0F" w:rsidRPr="00EB510F" w:rsidRDefault="00EB510F" w:rsidP="00EB510F">
    <w:pPr>
      <w:pStyle w:val="Header"/>
      <w:jc w:val="right"/>
    </w:pPr>
    <w:r>
      <w:t>ECE/TRANS/WP.15/AC.1/2015/</w:t>
    </w:r>
    <w:r w:rsidR="00C50DE8">
      <w:t>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C35085D"/>
    <w:multiLevelType w:val="hybridMultilevel"/>
    <w:tmpl w:val="F0A20DF4"/>
    <w:lvl w:ilvl="0" w:tplc="E8965E44">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3"/>
  </w:num>
  <w:num w:numId="16">
    <w:abstractNumId w:val="13"/>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F8"/>
    <w:rsid w:val="00017F94"/>
    <w:rsid w:val="00023842"/>
    <w:rsid w:val="00031526"/>
    <w:rsid w:val="000334F9"/>
    <w:rsid w:val="0005190F"/>
    <w:rsid w:val="000644D3"/>
    <w:rsid w:val="00064DFE"/>
    <w:rsid w:val="00065972"/>
    <w:rsid w:val="00072D27"/>
    <w:rsid w:val="0007796D"/>
    <w:rsid w:val="000B5779"/>
    <w:rsid w:val="000B7790"/>
    <w:rsid w:val="000C45AD"/>
    <w:rsid w:val="000E463E"/>
    <w:rsid w:val="000F30AA"/>
    <w:rsid w:val="00111F2F"/>
    <w:rsid w:val="001250E6"/>
    <w:rsid w:val="00141F8A"/>
    <w:rsid w:val="0014365E"/>
    <w:rsid w:val="00143C66"/>
    <w:rsid w:val="00154358"/>
    <w:rsid w:val="001612C4"/>
    <w:rsid w:val="00173646"/>
    <w:rsid w:val="00176178"/>
    <w:rsid w:val="00197BE8"/>
    <w:rsid w:val="001F050C"/>
    <w:rsid w:val="001F525A"/>
    <w:rsid w:val="001F73DF"/>
    <w:rsid w:val="00223272"/>
    <w:rsid w:val="0024779E"/>
    <w:rsid w:val="00257168"/>
    <w:rsid w:val="002744B8"/>
    <w:rsid w:val="00274F76"/>
    <w:rsid w:val="00275B2B"/>
    <w:rsid w:val="00276C0A"/>
    <w:rsid w:val="002832AC"/>
    <w:rsid w:val="002943D5"/>
    <w:rsid w:val="002C4068"/>
    <w:rsid w:val="002C41E0"/>
    <w:rsid w:val="002D7C93"/>
    <w:rsid w:val="002E7139"/>
    <w:rsid w:val="00302087"/>
    <w:rsid w:val="00305801"/>
    <w:rsid w:val="00315E7B"/>
    <w:rsid w:val="00322304"/>
    <w:rsid w:val="0035235F"/>
    <w:rsid w:val="003916DE"/>
    <w:rsid w:val="003A5602"/>
    <w:rsid w:val="003C06A7"/>
    <w:rsid w:val="003D150C"/>
    <w:rsid w:val="003E1DF0"/>
    <w:rsid w:val="004037B6"/>
    <w:rsid w:val="004160B4"/>
    <w:rsid w:val="00441C3B"/>
    <w:rsid w:val="00446FE5"/>
    <w:rsid w:val="00452396"/>
    <w:rsid w:val="00457149"/>
    <w:rsid w:val="00467D1A"/>
    <w:rsid w:val="004837D8"/>
    <w:rsid w:val="004A3BB2"/>
    <w:rsid w:val="004B2065"/>
    <w:rsid w:val="004D55FA"/>
    <w:rsid w:val="004E468C"/>
    <w:rsid w:val="00521873"/>
    <w:rsid w:val="005505B7"/>
    <w:rsid w:val="00573BE5"/>
    <w:rsid w:val="00581765"/>
    <w:rsid w:val="00586ED3"/>
    <w:rsid w:val="00596AA9"/>
    <w:rsid w:val="005D5427"/>
    <w:rsid w:val="005D6F2D"/>
    <w:rsid w:val="0060675B"/>
    <w:rsid w:val="00623CF8"/>
    <w:rsid w:val="00634F47"/>
    <w:rsid w:val="00660726"/>
    <w:rsid w:val="006674E1"/>
    <w:rsid w:val="006914B7"/>
    <w:rsid w:val="006F4F36"/>
    <w:rsid w:val="0071601D"/>
    <w:rsid w:val="007244A2"/>
    <w:rsid w:val="00753A00"/>
    <w:rsid w:val="007A62E6"/>
    <w:rsid w:val="007F20FA"/>
    <w:rsid w:val="0080684C"/>
    <w:rsid w:val="00826B28"/>
    <w:rsid w:val="00844B4C"/>
    <w:rsid w:val="008544CB"/>
    <w:rsid w:val="00865F03"/>
    <w:rsid w:val="00871C75"/>
    <w:rsid w:val="008776DC"/>
    <w:rsid w:val="00892860"/>
    <w:rsid w:val="0089307B"/>
    <w:rsid w:val="008C11AF"/>
    <w:rsid w:val="008D39EB"/>
    <w:rsid w:val="00903B0E"/>
    <w:rsid w:val="009253C2"/>
    <w:rsid w:val="00946BF8"/>
    <w:rsid w:val="009705C8"/>
    <w:rsid w:val="00983CA1"/>
    <w:rsid w:val="009C1CF4"/>
    <w:rsid w:val="009F6B74"/>
    <w:rsid w:val="00A27129"/>
    <w:rsid w:val="00A30353"/>
    <w:rsid w:val="00A6779A"/>
    <w:rsid w:val="00A853F3"/>
    <w:rsid w:val="00A87CDA"/>
    <w:rsid w:val="00A97FAE"/>
    <w:rsid w:val="00AC3823"/>
    <w:rsid w:val="00AE323C"/>
    <w:rsid w:val="00AE499B"/>
    <w:rsid w:val="00AF0CB5"/>
    <w:rsid w:val="00B00181"/>
    <w:rsid w:val="00B00B0D"/>
    <w:rsid w:val="00B20061"/>
    <w:rsid w:val="00B625CF"/>
    <w:rsid w:val="00B765F7"/>
    <w:rsid w:val="00BA0CA9"/>
    <w:rsid w:val="00BB3EA0"/>
    <w:rsid w:val="00BB4BB8"/>
    <w:rsid w:val="00BC5B71"/>
    <w:rsid w:val="00BC6757"/>
    <w:rsid w:val="00BD186D"/>
    <w:rsid w:val="00BE7EF3"/>
    <w:rsid w:val="00C00344"/>
    <w:rsid w:val="00C02897"/>
    <w:rsid w:val="00C14B92"/>
    <w:rsid w:val="00C32449"/>
    <w:rsid w:val="00C3556D"/>
    <w:rsid w:val="00C50DE8"/>
    <w:rsid w:val="00C57351"/>
    <w:rsid w:val="00C820A5"/>
    <w:rsid w:val="00C969C0"/>
    <w:rsid w:val="00CF0DAF"/>
    <w:rsid w:val="00D036BA"/>
    <w:rsid w:val="00D22B19"/>
    <w:rsid w:val="00D2395E"/>
    <w:rsid w:val="00D3439C"/>
    <w:rsid w:val="00D43D03"/>
    <w:rsid w:val="00D76A65"/>
    <w:rsid w:val="00DA4A49"/>
    <w:rsid w:val="00DB1831"/>
    <w:rsid w:val="00DB6DE0"/>
    <w:rsid w:val="00DD3BFD"/>
    <w:rsid w:val="00DF12DA"/>
    <w:rsid w:val="00DF6678"/>
    <w:rsid w:val="00E164B0"/>
    <w:rsid w:val="00E47EFE"/>
    <w:rsid w:val="00E5782C"/>
    <w:rsid w:val="00E85890"/>
    <w:rsid w:val="00E85C74"/>
    <w:rsid w:val="00EA6547"/>
    <w:rsid w:val="00EB510F"/>
    <w:rsid w:val="00EC17F3"/>
    <w:rsid w:val="00EE15EA"/>
    <w:rsid w:val="00EF2E22"/>
    <w:rsid w:val="00F02BF0"/>
    <w:rsid w:val="00F24557"/>
    <w:rsid w:val="00F35BAF"/>
    <w:rsid w:val="00F660DF"/>
    <w:rsid w:val="00F94664"/>
    <w:rsid w:val="00F9573C"/>
    <w:rsid w:val="00F95C08"/>
    <w:rsid w:val="00FB5F7A"/>
    <w:rsid w:val="00FF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H1GChar">
    <w:name w:val="_ H_1_G Char"/>
    <w:link w:val="H1G"/>
    <w:rsid w:val="00EB510F"/>
    <w:rPr>
      <w:rFonts w:ascii="Times New Roman" w:hAnsi="Times New Roman" w:cs="Times New Roman"/>
      <w:b/>
      <w:sz w:val="24"/>
      <w:szCs w:val="20"/>
      <w:lang w:eastAsia="en-US"/>
    </w:rPr>
  </w:style>
  <w:style w:type="character" w:customStyle="1" w:styleId="HChGChar">
    <w:name w:val="_ H _Ch_G Char"/>
    <w:link w:val="HChG"/>
    <w:rsid w:val="00EB510F"/>
    <w:rPr>
      <w:rFonts w:ascii="Times New Roman" w:hAnsi="Times New Roman" w:cs="Times New Roman"/>
      <w:b/>
      <w:sz w:val="28"/>
      <w:szCs w:val="20"/>
      <w:lang w:eastAsia="en-US"/>
    </w:rPr>
  </w:style>
  <w:style w:type="character" w:customStyle="1" w:styleId="SingleTxtGChar">
    <w:name w:val="_ Single Txt_G Char"/>
    <w:link w:val="SingleTxtG"/>
    <w:rsid w:val="00EB510F"/>
    <w:rPr>
      <w:rFonts w:ascii="Times New Roman" w:hAnsi="Times New Roman" w:cs="Times New Roman"/>
      <w:sz w:val="20"/>
      <w:szCs w:val="20"/>
      <w:lang w:eastAsia="en-US"/>
    </w:rPr>
  </w:style>
  <w:style w:type="character" w:styleId="CommentReference">
    <w:name w:val="annotation reference"/>
    <w:uiPriority w:val="99"/>
    <w:semiHidden/>
    <w:unhideWhenUsed/>
    <w:rsid w:val="00302087"/>
    <w:rPr>
      <w:sz w:val="16"/>
      <w:szCs w:val="16"/>
    </w:rPr>
  </w:style>
  <w:style w:type="paragraph" w:styleId="CommentText">
    <w:name w:val="annotation text"/>
    <w:basedOn w:val="Normal"/>
    <w:link w:val="CommentTextChar"/>
    <w:uiPriority w:val="99"/>
    <w:semiHidden/>
    <w:unhideWhenUsed/>
    <w:rsid w:val="00302087"/>
  </w:style>
  <w:style w:type="character" w:customStyle="1" w:styleId="CommentTextChar">
    <w:name w:val="Comment Text Char"/>
    <w:link w:val="CommentText"/>
    <w:uiPriority w:val="99"/>
    <w:semiHidden/>
    <w:rsid w:val="00302087"/>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302087"/>
    <w:rPr>
      <w:b/>
      <w:bCs/>
    </w:rPr>
  </w:style>
  <w:style w:type="character" w:customStyle="1" w:styleId="CommentSubjectChar">
    <w:name w:val="Comment Subject Char"/>
    <w:link w:val="CommentSubject"/>
    <w:uiPriority w:val="99"/>
    <w:semiHidden/>
    <w:rsid w:val="00302087"/>
    <w:rPr>
      <w:rFonts w:ascii="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H1GChar">
    <w:name w:val="_ H_1_G Char"/>
    <w:link w:val="H1G"/>
    <w:rsid w:val="00EB510F"/>
    <w:rPr>
      <w:rFonts w:ascii="Times New Roman" w:hAnsi="Times New Roman" w:cs="Times New Roman"/>
      <w:b/>
      <w:sz w:val="24"/>
      <w:szCs w:val="20"/>
      <w:lang w:eastAsia="en-US"/>
    </w:rPr>
  </w:style>
  <w:style w:type="character" w:customStyle="1" w:styleId="HChGChar">
    <w:name w:val="_ H _Ch_G Char"/>
    <w:link w:val="HChG"/>
    <w:rsid w:val="00EB510F"/>
    <w:rPr>
      <w:rFonts w:ascii="Times New Roman" w:hAnsi="Times New Roman" w:cs="Times New Roman"/>
      <w:b/>
      <w:sz w:val="28"/>
      <w:szCs w:val="20"/>
      <w:lang w:eastAsia="en-US"/>
    </w:rPr>
  </w:style>
  <w:style w:type="character" w:customStyle="1" w:styleId="SingleTxtGChar">
    <w:name w:val="_ Single Txt_G Char"/>
    <w:link w:val="SingleTxtG"/>
    <w:rsid w:val="00EB510F"/>
    <w:rPr>
      <w:rFonts w:ascii="Times New Roman" w:hAnsi="Times New Roman" w:cs="Times New Roman"/>
      <w:sz w:val="20"/>
      <w:szCs w:val="20"/>
      <w:lang w:eastAsia="en-US"/>
    </w:rPr>
  </w:style>
  <w:style w:type="character" w:styleId="CommentReference">
    <w:name w:val="annotation reference"/>
    <w:uiPriority w:val="99"/>
    <w:semiHidden/>
    <w:unhideWhenUsed/>
    <w:rsid w:val="00302087"/>
    <w:rPr>
      <w:sz w:val="16"/>
      <w:szCs w:val="16"/>
    </w:rPr>
  </w:style>
  <w:style w:type="paragraph" w:styleId="CommentText">
    <w:name w:val="annotation text"/>
    <w:basedOn w:val="Normal"/>
    <w:link w:val="CommentTextChar"/>
    <w:uiPriority w:val="99"/>
    <w:semiHidden/>
    <w:unhideWhenUsed/>
    <w:rsid w:val="00302087"/>
  </w:style>
  <w:style w:type="character" w:customStyle="1" w:styleId="CommentTextChar">
    <w:name w:val="Comment Text Char"/>
    <w:link w:val="CommentText"/>
    <w:uiPriority w:val="99"/>
    <w:semiHidden/>
    <w:rsid w:val="00302087"/>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302087"/>
    <w:rPr>
      <w:b/>
      <w:bCs/>
    </w:rPr>
  </w:style>
  <w:style w:type="character" w:customStyle="1" w:styleId="CommentSubjectChar">
    <w:name w:val="Comment Subject Char"/>
    <w:link w:val="CommentSubject"/>
    <w:uiPriority w:val="99"/>
    <w:semiHidden/>
    <w:rsid w:val="00302087"/>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3851</Characters>
  <Application>Microsoft Office Word</Application>
  <DocSecurity>0</DocSecurity>
  <Lines>78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ECE/TRANS/WP.15/AC.1/2015/9</vt:lpstr>
      <vt:lpstr>ECE/TRANS/WP.15/AC.1/2015/9</vt:lpstr>
    </vt:vector>
  </TitlesOfParts>
  <Company>DCM</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ECE/TRANS/WP.15/AC.1/2015/9</dc:title>
  <dc:subject>final</dc:subject>
  <dc:creator>Granet C.</dc:creator>
  <cp:lastModifiedBy>barrio-champeau</cp:lastModifiedBy>
  <cp:revision>4</cp:revision>
  <cp:lastPrinted>2015-06-29T14:24:00Z</cp:lastPrinted>
  <dcterms:created xsi:type="dcterms:W3CDTF">2015-06-24T13:09:00Z</dcterms:created>
  <dcterms:modified xsi:type="dcterms:W3CDTF">2015-06-29T14:24:00Z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COO.2125.100.2.7663197</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 etiquettes et marques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02.06.2015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*COO.2125.100.2.7663197*</vt:lpwstr>
  </property>
  <property fmtid="{D5CDD505-2E9C-101B-9397-08002B2CF9AE}" pid="91" name="FSC#COOELAK@1.1001:RefBarCode">
    <vt:lpwstr>*COO.2125.100.2.7663198*</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ECE-TRANS-WP15-AC1-2015-9f_x000d_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COO.2125.100.2.7663197</vt:lpwstr>
  </property>
  <property fmtid="{D5CDD505-2E9C-101B-9397-08002B2CF9AE}" pid="161" name="FSC#FSCFOLIO@1.1001:docpropproject">
    <vt:lpwstr/>
  </property>
</Properties>
</file>