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332" w:rsidRPr="00972249" w:rsidRDefault="00F23332" w:rsidP="00F23332">
      <w:pPr>
        <w:spacing w:line="240" w:lineRule="auto"/>
        <w:rPr>
          <w:sz w:val="2"/>
        </w:rPr>
        <w:sectPr w:rsidR="00F23332" w:rsidRPr="00972249" w:rsidSect="00F23332">
          <w:headerReference w:type="even" r:id="rId8"/>
          <w:headerReference w:type="default" r:id="rId9"/>
          <w:footerReference w:type="even" r:id="rId10"/>
          <w:footerReference w:type="default" r:id="rId11"/>
          <w:headerReference w:type="first" r:id="rId12"/>
          <w:footerReference w:type="first" r:id="rId13"/>
          <w:pgSz w:w="11909" w:h="16834"/>
          <w:pgMar w:top="1742" w:right="936" w:bottom="1898" w:left="936" w:header="576" w:footer="1030" w:gutter="0"/>
          <w:cols w:space="720"/>
          <w:titlePg/>
          <w:docGrid w:linePitch="360"/>
        </w:sectPr>
      </w:pPr>
      <w:bookmarkStart w:id="0" w:name="_GoBack"/>
      <w:bookmarkEnd w:id="0"/>
    </w:p>
    <w:p w:rsidR="00F23332" w:rsidRPr="00972249" w:rsidRDefault="00F23332" w:rsidP="00972249">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972249">
        <w:lastRenderedPageBreak/>
        <w:t>Commission économique pour l’Europe</w:t>
      </w:r>
    </w:p>
    <w:p w:rsidR="00972249" w:rsidRPr="00972249" w:rsidRDefault="00972249" w:rsidP="00972249">
      <w:pPr>
        <w:spacing w:line="120" w:lineRule="exact"/>
        <w:rPr>
          <w:sz w:val="10"/>
        </w:rPr>
      </w:pPr>
    </w:p>
    <w:p w:rsidR="00F23332" w:rsidRPr="00972249" w:rsidRDefault="00F23332" w:rsidP="00972249">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b w:val="0"/>
        </w:rPr>
      </w:pPr>
      <w:r w:rsidRPr="00972249">
        <w:rPr>
          <w:b w:val="0"/>
        </w:rPr>
        <w:t>Comité des transports intérieurs</w:t>
      </w:r>
    </w:p>
    <w:p w:rsidR="00F23332" w:rsidRPr="00972249" w:rsidRDefault="00F23332" w:rsidP="00972249">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rPr>
      </w:pPr>
    </w:p>
    <w:p w:rsidR="00972249" w:rsidRPr="00972249" w:rsidRDefault="00972249" w:rsidP="00972249">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972249">
        <w:rPr>
          <w:lang w:val="fr-FR"/>
        </w:rPr>
        <w:t>Groupe de travail des transports de marchandises dangereuses</w:t>
      </w:r>
    </w:p>
    <w:p w:rsidR="00972249" w:rsidRPr="00972249" w:rsidRDefault="00972249" w:rsidP="00972249">
      <w:pPr>
        <w:spacing w:line="120" w:lineRule="exact"/>
        <w:rPr>
          <w:sz w:val="10"/>
          <w:lang w:val="fr-FR"/>
        </w:rPr>
      </w:pPr>
    </w:p>
    <w:p w:rsidR="00972249" w:rsidRPr="00972249" w:rsidRDefault="00972249" w:rsidP="00972249">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972249">
        <w:rPr>
          <w:lang w:val="fr-FR"/>
        </w:rPr>
        <w:t xml:space="preserve">Réunion commune de la Commission d’experts du RID </w:t>
      </w:r>
      <w:r w:rsidRPr="00972249">
        <w:br/>
      </w:r>
      <w:r w:rsidRPr="00972249">
        <w:rPr>
          <w:lang w:val="fr-FR"/>
        </w:rPr>
        <w:t xml:space="preserve">et du Groupe de travail des transports </w:t>
      </w:r>
      <w:r w:rsidRPr="00972249">
        <w:rPr>
          <w:lang w:val="fr-FR"/>
        </w:rPr>
        <w:br/>
        <w:t xml:space="preserve">de marchandises dangereuses </w:t>
      </w:r>
    </w:p>
    <w:p w:rsidR="00972249" w:rsidRPr="00972249" w:rsidRDefault="00972249" w:rsidP="00972249">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972249">
        <w:rPr>
          <w:lang w:val="fr-FR"/>
        </w:rPr>
        <w:t>Genève, 15-25 septembre 201</w:t>
      </w:r>
      <w:r w:rsidRPr="00972249">
        <w:rPr>
          <w:lang w:val="fr-FR" w:eastAsia="ja-JP"/>
        </w:rPr>
        <w:t>5</w:t>
      </w:r>
    </w:p>
    <w:p w:rsidR="00972249" w:rsidRPr="00972249" w:rsidRDefault="00972249" w:rsidP="00972249">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972249">
        <w:rPr>
          <w:lang w:val="fr-FR"/>
        </w:rPr>
        <w:t>Point 4 de l’ordre du jour provisoire</w:t>
      </w:r>
    </w:p>
    <w:p w:rsidR="00972249" w:rsidRPr="00972249" w:rsidRDefault="00972249" w:rsidP="00972249">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972249">
        <w:rPr>
          <w:lang w:val="fr-FR"/>
        </w:rPr>
        <w:t>Rapports des groupes de travail informels</w:t>
      </w:r>
    </w:p>
    <w:p w:rsidR="00972249" w:rsidRPr="00972249" w:rsidRDefault="00972249" w:rsidP="00972249">
      <w:pPr>
        <w:spacing w:line="120" w:lineRule="exact"/>
        <w:rPr>
          <w:sz w:val="10"/>
          <w:lang w:val="fr-FR"/>
        </w:rPr>
      </w:pPr>
    </w:p>
    <w:p w:rsidR="00972249" w:rsidRPr="00972249" w:rsidRDefault="00972249" w:rsidP="00972249">
      <w:pPr>
        <w:spacing w:line="120" w:lineRule="exact"/>
        <w:rPr>
          <w:sz w:val="10"/>
          <w:lang w:val="fr-FR"/>
        </w:rPr>
      </w:pPr>
    </w:p>
    <w:p w:rsidR="00972249" w:rsidRPr="00972249" w:rsidRDefault="00972249" w:rsidP="00972249">
      <w:pPr>
        <w:spacing w:line="120" w:lineRule="exact"/>
        <w:rPr>
          <w:sz w:val="10"/>
          <w:lang w:val="fr-FR"/>
        </w:rPr>
      </w:pPr>
    </w:p>
    <w:p w:rsidR="00972249" w:rsidRPr="00972249" w:rsidRDefault="00972249" w:rsidP="00972249">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FR"/>
        </w:rPr>
      </w:pPr>
      <w:r w:rsidRPr="00972249">
        <w:rPr>
          <w:lang w:val="fr-FR"/>
        </w:rPr>
        <w:tab/>
      </w:r>
      <w:r w:rsidRPr="00972249">
        <w:rPr>
          <w:lang w:val="fr-FR"/>
        </w:rPr>
        <w:tab/>
        <w:t xml:space="preserve">Rapport du groupe de travail informel sur les « dispositions </w:t>
      </w:r>
      <w:r w:rsidRPr="00972249">
        <w:rPr>
          <w:lang w:val="fr-FR"/>
        </w:rPr>
        <w:br/>
        <w:t xml:space="preserve">relatives à l’équipement des citernes et récipients à pression » </w:t>
      </w:r>
      <w:r w:rsidRPr="00972249">
        <w:rPr>
          <w:lang w:val="fr-FR"/>
        </w:rPr>
        <w:br/>
        <w:t>assorti de propositions de révision du texte du RID/ADR/ADN concernant les récipients à pression</w:t>
      </w:r>
    </w:p>
    <w:p w:rsidR="00972249" w:rsidRPr="00972249" w:rsidRDefault="00972249" w:rsidP="00972249">
      <w:pPr>
        <w:spacing w:line="120" w:lineRule="exact"/>
        <w:rPr>
          <w:sz w:val="10"/>
          <w:lang w:val="fr-FR"/>
        </w:rPr>
      </w:pPr>
    </w:p>
    <w:p w:rsidR="00972249" w:rsidRPr="00972249" w:rsidRDefault="00972249" w:rsidP="00972249">
      <w:pPr>
        <w:spacing w:line="120" w:lineRule="exact"/>
        <w:rPr>
          <w:sz w:val="10"/>
          <w:lang w:val="fr-FR"/>
        </w:rPr>
      </w:pPr>
    </w:p>
    <w:p w:rsidR="00972249" w:rsidRDefault="00972249" w:rsidP="00972249">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sz w:val="18"/>
          <w:szCs w:val="18"/>
          <w:lang w:val="fr-FR"/>
        </w:rPr>
      </w:pPr>
      <w:r w:rsidRPr="00972249">
        <w:rPr>
          <w:lang w:val="fr-FR"/>
        </w:rPr>
        <w:tab/>
      </w:r>
      <w:r w:rsidRPr="00972249">
        <w:rPr>
          <w:lang w:val="fr-FR"/>
        </w:rPr>
        <w:tab/>
        <w:t xml:space="preserve">Communication de l’Association européenne </w:t>
      </w:r>
      <w:r w:rsidRPr="00972249">
        <w:rPr>
          <w:lang w:val="fr-FR"/>
        </w:rPr>
        <w:br/>
        <w:t>des gaz industriels (EIGA)</w:t>
      </w:r>
      <w:r w:rsidRPr="00EF6384">
        <w:rPr>
          <w:rStyle w:val="Appelnotedebasdep"/>
          <w:b w:val="0"/>
          <w:color w:val="auto"/>
          <w:sz w:val="20"/>
          <w:lang w:val="fr-FR"/>
        </w:rPr>
        <w:footnoteReference w:id="1"/>
      </w:r>
      <w:r w:rsidRPr="00972249">
        <w:rPr>
          <w:rStyle w:val="Appelnotedebasdep"/>
          <w:b w:val="0"/>
          <w:color w:val="auto"/>
          <w:sz w:val="20"/>
        </w:rPr>
        <w:t>,</w:t>
      </w:r>
      <w:r w:rsidRPr="00972249">
        <w:rPr>
          <w:sz w:val="18"/>
          <w:szCs w:val="18"/>
          <w:lang w:val="fr-FR"/>
        </w:rPr>
        <w:t xml:space="preserve"> </w:t>
      </w:r>
      <w:r w:rsidRPr="00EF6384">
        <w:rPr>
          <w:rStyle w:val="Appelnotedebasdep"/>
          <w:b w:val="0"/>
          <w:color w:val="auto"/>
          <w:sz w:val="20"/>
          <w:lang w:val="fr-FR"/>
        </w:rPr>
        <w:footnoteReference w:id="2"/>
      </w:r>
    </w:p>
    <w:p w:rsidR="00250F27" w:rsidRPr="00250F27" w:rsidRDefault="00250F27" w:rsidP="00250F27">
      <w:pPr>
        <w:spacing w:line="120" w:lineRule="exact"/>
        <w:rPr>
          <w:sz w:val="10"/>
          <w:lang w:val="fr-FR"/>
        </w:rPr>
      </w:pPr>
    </w:p>
    <w:p w:rsidR="00250F27" w:rsidRPr="00250F27" w:rsidRDefault="00250F27" w:rsidP="00250F27">
      <w:pPr>
        <w:spacing w:line="120" w:lineRule="exact"/>
        <w:rPr>
          <w:sz w:val="10"/>
          <w:lang w:val="fr-FR"/>
        </w:rPr>
      </w:pPr>
    </w:p>
    <w:p w:rsidR="00250F27" w:rsidRPr="00250F27" w:rsidRDefault="00250F27" w:rsidP="00250F27">
      <w:pPr>
        <w:spacing w:line="120" w:lineRule="exact"/>
        <w:rPr>
          <w:sz w:val="10"/>
          <w:lang w:val="fr-FR"/>
        </w:rPr>
      </w:pPr>
    </w:p>
    <w:tbl>
      <w:tblPr>
        <w:tblW w:w="10051" w:type="dxa"/>
        <w:tblBorders>
          <w:left w:val="single" w:sz="2" w:space="0" w:color="auto"/>
          <w:right w:val="single" w:sz="2" w:space="0" w:color="auto"/>
        </w:tblBorders>
        <w:tblLayout w:type="fixed"/>
        <w:tblCellMar>
          <w:left w:w="0" w:type="dxa"/>
          <w:right w:w="0" w:type="dxa"/>
        </w:tblCellMar>
        <w:tblLook w:val="0000"/>
      </w:tblPr>
      <w:tblGrid>
        <w:gridCol w:w="10051"/>
      </w:tblGrid>
      <w:tr w:rsidR="00EF6384" w:rsidTr="00EF6384">
        <w:tc>
          <w:tcPr>
            <w:tcW w:w="10051" w:type="dxa"/>
            <w:tcBorders>
              <w:top w:val="single" w:sz="2" w:space="0" w:color="auto"/>
            </w:tcBorders>
            <w:shd w:val="clear" w:color="auto" w:fill="auto"/>
          </w:tcPr>
          <w:p w:rsidR="00EF6384" w:rsidRPr="00EF6384" w:rsidRDefault="00EF6384" w:rsidP="00EF6384">
            <w:pPr>
              <w:tabs>
                <w:tab w:val="left" w:pos="240"/>
              </w:tabs>
              <w:spacing w:before="240" w:after="120"/>
              <w:rPr>
                <w:i/>
                <w:sz w:val="24"/>
                <w:lang w:val="fr-FR"/>
              </w:rPr>
            </w:pPr>
            <w:r>
              <w:rPr>
                <w:i/>
                <w:sz w:val="24"/>
                <w:lang w:val="fr-FR"/>
              </w:rPr>
              <w:tab/>
              <w:t>Résumé</w:t>
            </w:r>
          </w:p>
        </w:tc>
      </w:tr>
      <w:tr w:rsidR="00EF6384" w:rsidTr="00EF6384">
        <w:tc>
          <w:tcPr>
            <w:tcW w:w="10051" w:type="dxa"/>
            <w:shd w:val="clear" w:color="auto" w:fill="auto"/>
          </w:tcPr>
          <w:p w:rsidR="00EF6384" w:rsidRPr="00EF6384" w:rsidRDefault="00EF6384" w:rsidP="00632CE1">
            <w:pPr>
              <w:pStyle w:val="SingleTxt"/>
              <w:ind w:left="3182" w:hanging="1915"/>
              <w:rPr>
                <w:lang w:val="fr-FR"/>
              </w:rPr>
            </w:pPr>
            <w:r w:rsidRPr="00632CE1">
              <w:rPr>
                <w:b/>
                <w:lang w:val="fr-FR"/>
              </w:rPr>
              <w:t>Résumé analytique</w:t>
            </w:r>
            <w:r w:rsidRPr="00632CE1">
              <w:rPr>
                <w:lang w:val="fr-FR"/>
              </w:rPr>
              <w:t> :</w:t>
            </w:r>
            <w:r w:rsidRPr="00EF7C4D">
              <w:rPr>
                <w:sz w:val="22"/>
                <w:lang w:val="fr-FR"/>
              </w:rPr>
              <w:tab/>
            </w:r>
            <w:r w:rsidRPr="00FD6CDC">
              <w:rPr>
                <w:lang w:val="fr-FR"/>
              </w:rPr>
              <w:t>Les activités du groupe de travail touchent à leur fin en ce qui concerne les propositions de modifications du texte permettant d’établir une distinction cohérente entre les récipients à pression munis de robinets et ceux qui ne le sont pas. Ces propositions précisent en outre quand et comment la conformité des fermetures et de la matière poreuse des récipients pour acétylène peut être évaluée indépendamment de celle des récipients.</w:t>
            </w:r>
          </w:p>
        </w:tc>
      </w:tr>
      <w:tr w:rsidR="00EF6384" w:rsidTr="00EF6384">
        <w:tc>
          <w:tcPr>
            <w:tcW w:w="10051" w:type="dxa"/>
            <w:shd w:val="clear" w:color="auto" w:fill="auto"/>
          </w:tcPr>
          <w:p w:rsidR="00EF6384" w:rsidRPr="00EF6384" w:rsidRDefault="00EF6384" w:rsidP="00632CE1">
            <w:pPr>
              <w:pStyle w:val="SingleTxt"/>
              <w:keepNext/>
              <w:keepLines/>
              <w:ind w:left="3182" w:hanging="1915"/>
              <w:rPr>
                <w:lang w:val="fr-FR"/>
              </w:rPr>
            </w:pPr>
            <w:r w:rsidRPr="00632CE1">
              <w:rPr>
                <w:b/>
                <w:lang w:val="fr-FR"/>
              </w:rPr>
              <w:lastRenderedPageBreak/>
              <w:t>Mesure à prendre</w:t>
            </w:r>
            <w:r w:rsidRPr="00632CE1">
              <w:rPr>
                <w:lang w:val="fr-FR"/>
              </w:rPr>
              <w:t> :</w:t>
            </w:r>
            <w:r w:rsidRPr="00632CE1">
              <w:rPr>
                <w:lang w:val="fr-FR"/>
              </w:rPr>
              <w:tab/>
            </w:r>
            <w:r w:rsidRPr="00FD6CDC">
              <w:rPr>
                <w:lang w:val="fr-FR"/>
              </w:rPr>
              <w:t xml:space="preserve">Accepter que les propositions concernant le Règlement type soient soumises au </w:t>
            </w:r>
            <w:proofErr w:type="spellStart"/>
            <w:r w:rsidRPr="00FD6CDC">
              <w:rPr>
                <w:lang w:val="fr-FR"/>
              </w:rPr>
              <w:t>Sous-Comité</w:t>
            </w:r>
            <w:proofErr w:type="spellEnd"/>
            <w:r w:rsidRPr="00FD6CDC">
              <w:rPr>
                <w:lang w:val="fr-FR"/>
              </w:rPr>
              <w:t xml:space="preserve"> d’experts du transport des marchandises dangereuses de l’ONU. Décider de poursuivre les travaux concernant les citernes.</w:t>
            </w:r>
          </w:p>
        </w:tc>
      </w:tr>
      <w:tr w:rsidR="00EF6384" w:rsidTr="00EF6384">
        <w:tc>
          <w:tcPr>
            <w:tcW w:w="10051" w:type="dxa"/>
            <w:tcBorders>
              <w:bottom w:val="nil"/>
            </w:tcBorders>
            <w:shd w:val="clear" w:color="auto" w:fill="auto"/>
          </w:tcPr>
          <w:p w:rsidR="00EF6384" w:rsidRPr="00EF6384" w:rsidRDefault="00EF6384" w:rsidP="00632CE1">
            <w:pPr>
              <w:pStyle w:val="SingleTxt"/>
              <w:keepNext/>
              <w:keepLines/>
              <w:ind w:left="3182" w:hanging="1915"/>
              <w:rPr>
                <w:lang w:val="fr-FR"/>
              </w:rPr>
            </w:pPr>
            <w:r w:rsidRPr="00632CE1">
              <w:rPr>
                <w:b/>
                <w:lang w:val="fr-FR"/>
              </w:rPr>
              <w:t>Documents</w:t>
            </w:r>
            <w:r w:rsidRPr="00632CE1">
              <w:rPr>
                <w:lang w:val="fr-FR"/>
              </w:rPr>
              <w:t xml:space="preserve"> : </w:t>
            </w:r>
            <w:r w:rsidRPr="00632CE1">
              <w:rPr>
                <w:lang w:val="fr-FR"/>
              </w:rPr>
              <w:tab/>
            </w:r>
            <w:r w:rsidRPr="00632CE1">
              <w:rPr>
                <w:lang w:val="fr-FR"/>
              </w:rPr>
              <w:tab/>
            </w:r>
            <w:r w:rsidRPr="00FD6CDC">
              <w:rPr>
                <w:lang w:val="fr-FR"/>
              </w:rPr>
              <w:t xml:space="preserve">Mandat du groupe de travail – document informel INF.22 de la session du printemps 2014 de la Réunion commune </w:t>
            </w:r>
            <w:r w:rsidR="006C4914">
              <w:rPr>
                <w:lang w:val="fr-FR"/>
              </w:rPr>
              <w:t>(17-</w:t>
            </w:r>
            <w:r w:rsidRPr="00FD6CDC">
              <w:rPr>
                <w:lang w:val="fr-FR"/>
              </w:rPr>
              <w:t>21 mars 2014).</w:t>
            </w:r>
          </w:p>
        </w:tc>
      </w:tr>
      <w:tr w:rsidR="00EF6384" w:rsidTr="00EF6384">
        <w:tc>
          <w:tcPr>
            <w:tcW w:w="10051" w:type="dxa"/>
            <w:tcBorders>
              <w:bottom w:val="single" w:sz="2" w:space="0" w:color="auto"/>
            </w:tcBorders>
            <w:shd w:val="clear" w:color="auto" w:fill="auto"/>
          </w:tcPr>
          <w:p w:rsidR="00EF6384" w:rsidRPr="00EF6384" w:rsidRDefault="00EF6384" w:rsidP="00EF6384">
            <w:pPr>
              <w:pStyle w:val="SingleTxt"/>
              <w:rPr>
                <w:lang w:val="fr-FR"/>
              </w:rPr>
            </w:pPr>
          </w:p>
        </w:tc>
      </w:tr>
    </w:tbl>
    <w:p w:rsidR="00EF6384" w:rsidRDefault="00EF6384" w:rsidP="00250F27">
      <w:pPr>
        <w:rPr>
          <w:lang w:val="fr-FR"/>
        </w:rPr>
      </w:pPr>
    </w:p>
    <w:p w:rsidR="00EF6384" w:rsidRDefault="00EF6384">
      <w:pPr>
        <w:spacing w:line="240" w:lineRule="auto"/>
        <w:rPr>
          <w:lang w:val="fr-FR"/>
        </w:rPr>
      </w:pPr>
      <w:r>
        <w:rPr>
          <w:lang w:val="fr-FR"/>
        </w:rPr>
        <w:br w:type="page"/>
      </w:r>
    </w:p>
    <w:p w:rsidR="00EF6384" w:rsidRDefault="00684C99" w:rsidP="00684C9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lastRenderedPageBreak/>
        <w:tab/>
      </w:r>
      <w:r>
        <w:rPr>
          <w:lang w:val="fr-FR"/>
        </w:rPr>
        <w:tab/>
      </w:r>
      <w:r w:rsidR="00EF6384" w:rsidRPr="00EF6384">
        <w:rPr>
          <w:lang w:val="fr-FR"/>
        </w:rPr>
        <w:t>Introduction</w:t>
      </w:r>
    </w:p>
    <w:p w:rsidR="00684C99" w:rsidRPr="00684C99" w:rsidRDefault="00684C99" w:rsidP="00684C99">
      <w:pPr>
        <w:pStyle w:val="SingleTxt"/>
        <w:spacing w:after="0" w:line="120" w:lineRule="exact"/>
        <w:rPr>
          <w:sz w:val="10"/>
          <w:lang w:val="fr-FR"/>
        </w:rPr>
      </w:pPr>
    </w:p>
    <w:p w:rsidR="00684C99" w:rsidRPr="00684C99" w:rsidRDefault="00684C99" w:rsidP="00684C99">
      <w:pPr>
        <w:pStyle w:val="SingleTxt"/>
        <w:spacing w:after="0" w:line="120" w:lineRule="exact"/>
        <w:rPr>
          <w:sz w:val="10"/>
          <w:lang w:val="fr-FR"/>
        </w:rPr>
      </w:pPr>
    </w:p>
    <w:p w:rsidR="00EF6384" w:rsidRPr="00EF6384" w:rsidRDefault="00EF6384" w:rsidP="00684C99">
      <w:pPr>
        <w:pStyle w:val="SingleTxt"/>
        <w:numPr>
          <w:ilvl w:val="0"/>
          <w:numId w:val="15"/>
        </w:numPr>
        <w:tabs>
          <w:tab w:val="clear" w:pos="475"/>
          <w:tab w:val="num" w:pos="1742"/>
        </w:tabs>
        <w:ind w:left="1267"/>
        <w:rPr>
          <w:lang w:val="fr-FR"/>
        </w:rPr>
      </w:pPr>
      <w:r w:rsidRPr="00EF6384">
        <w:rPr>
          <w:lang w:val="fr-FR"/>
        </w:rPr>
        <w:t>Le groupe de travail s’est réuni à quatre reprises et a participé à une téléconférence jusqu’à la fin du mois de juin, avec la participation de représentants de l’Allemagne, de la France et de la Suisse, de l’AEGPL, de l’ECMA et de l’EIGA. Ses travaux ne sont pas encore terminés mais le présent document présente les résultats obtenus jusqu’à présent en ce qui concerne les récipients à pression. Les propositions restantes devraient être communiquées dans un document informel à temps pour la session de la Réunion commune en septembre.</w:t>
      </w:r>
    </w:p>
    <w:p w:rsidR="00EF6384" w:rsidRPr="00EF6384" w:rsidRDefault="00EF6384" w:rsidP="00684C99">
      <w:pPr>
        <w:pStyle w:val="SingleTxt"/>
        <w:numPr>
          <w:ilvl w:val="0"/>
          <w:numId w:val="15"/>
        </w:numPr>
        <w:tabs>
          <w:tab w:val="clear" w:pos="475"/>
          <w:tab w:val="num" w:pos="1742"/>
        </w:tabs>
        <w:ind w:left="1267"/>
        <w:rPr>
          <w:lang w:val="fr-FR"/>
        </w:rPr>
      </w:pPr>
      <w:r w:rsidRPr="00EF6384">
        <w:rPr>
          <w:lang w:val="fr-FR"/>
        </w:rPr>
        <w:t>Lorsque les travaux concernant les récipients à pression seront terminés les propositions seront au nombre de quatre</w:t>
      </w:r>
      <w:r w:rsidR="00684C99">
        <w:rPr>
          <w:lang w:val="fr-FR"/>
        </w:rPr>
        <w:t> </w:t>
      </w:r>
      <w:r w:rsidRPr="00EF6384">
        <w:rPr>
          <w:lang w:val="fr-FR"/>
        </w:rPr>
        <w:t>:</w:t>
      </w:r>
    </w:p>
    <w:p w:rsidR="00EF6384" w:rsidRPr="00EF6384" w:rsidRDefault="00647284" w:rsidP="00872DE1">
      <w:pPr>
        <w:pStyle w:val="SingleTxt"/>
        <w:ind w:left="3182" w:hanging="1915"/>
        <w:rPr>
          <w:lang w:val="fr-FR"/>
        </w:rPr>
      </w:pPr>
      <w:r>
        <w:rPr>
          <w:lang w:val="fr-FR"/>
        </w:rPr>
        <w:tab/>
        <w:t>Proposition </w:t>
      </w:r>
      <w:r w:rsidR="00EF6384" w:rsidRPr="00EF6384">
        <w:rPr>
          <w:lang w:val="fr-FR"/>
        </w:rPr>
        <w:t>1</w:t>
      </w:r>
      <w:r>
        <w:rPr>
          <w:lang w:val="fr-FR"/>
        </w:rPr>
        <w:t> </w:t>
      </w:r>
      <w:r w:rsidR="00684C99">
        <w:rPr>
          <w:lang w:val="fr-FR"/>
        </w:rPr>
        <w:t>:</w:t>
      </w:r>
      <w:r w:rsidR="00EF6384" w:rsidRPr="00EF6384">
        <w:rPr>
          <w:lang w:val="fr-FR"/>
        </w:rPr>
        <w:t xml:space="preserve"> </w:t>
      </w:r>
      <w:r w:rsidR="00872DE1">
        <w:rPr>
          <w:lang w:val="fr-FR"/>
        </w:rPr>
        <w:tab/>
      </w:r>
      <w:r w:rsidR="00EF6384" w:rsidRPr="00EF6384">
        <w:rPr>
          <w:lang w:val="fr-FR"/>
        </w:rPr>
        <w:t>Définitions nouvelles et modifiées dans la section 1.2.1; (texte du Règlement type de l’ONU et de l’ADR)</w:t>
      </w:r>
    </w:p>
    <w:p w:rsidR="00EF6384" w:rsidRPr="00EF6384" w:rsidRDefault="00647284" w:rsidP="00ED6674">
      <w:pPr>
        <w:pStyle w:val="SingleTxt"/>
        <w:ind w:left="3182" w:hanging="1915"/>
        <w:rPr>
          <w:lang w:val="fr-FR"/>
        </w:rPr>
      </w:pPr>
      <w:r>
        <w:rPr>
          <w:lang w:val="fr-FR"/>
        </w:rPr>
        <w:tab/>
        <w:t>Proposition </w:t>
      </w:r>
      <w:r w:rsidR="00EF6384" w:rsidRPr="00EF6384">
        <w:rPr>
          <w:lang w:val="fr-FR"/>
        </w:rPr>
        <w:t>2</w:t>
      </w:r>
      <w:r>
        <w:rPr>
          <w:lang w:val="fr-FR"/>
        </w:rPr>
        <w:t> </w:t>
      </w:r>
      <w:r w:rsidR="00684C99">
        <w:rPr>
          <w:lang w:val="fr-FR"/>
        </w:rPr>
        <w:t>:</w:t>
      </w:r>
      <w:r w:rsidR="00EF6384" w:rsidRPr="00EF6384">
        <w:rPr>
          <w:lang w:val="fr-FR"/>
        </w:rPr>
        <w:t xml:space="preserve"> </w:t>
      </w:r>
      <w:r w:rsidR="00872DE1">
        <w:rPr>
          <w:lang w:val="fr-FR"/>
        </w:rPr>
        <w:tab/>
      </w:r>
      <w:r w:rsidR="00EF6384" w:rsidRPr="00EF6384">
        <w:rPr>
          <w:lang w:val="fr-FR"/>
        </w:rPr>
        <w:t>Nouveau texte et</w:t>
      </w:r>
      <w:r w:rsidR="00EE2262">
        <w:rPr>
          <w:lang w:val="fr-FR"/>
        </w:rPr>
        <w:t xml:space="preserve"> modifications dans les parties 4 et </w:t>
      </w:r>
      <w:r w:rsidR="00EF6384" w:rsidRPr="00EF6384">
        <w:rPr>
          <w:lang w:val="fr-FR"/>
        </w:rPr>
        <w:t xml:space="preserve">5; (texte du Règlement type de l’ONU et de l’ADR) </w:t>
      </w:r>
    </w:p>
    <w:p w:rsidR="00EF6384" w:rsidRPr="00EF6384" w:rsidRDefault="00647284" w:rsidP="00872DE1">
      <w:pPr>
        <w:pStyle w:val="SingleTxt"/>
        <w:ind w:left="3182" w:hanging="1915"/>
        <w:rPr>
          <w:lang w:val="fr-FR"/>
        </w:rPr>
      </w:pPr>
      <w:r>
        <w:rPr>
          <w:lang w:val="fr-FR"/>
        </w:rPr>
        <w:tab/>
        <w:t>Proposition </w:t>
      </w:r>
      <w:r w:rsidR="00EF6384" w:rsidRPr="00EF6384">
        <w:rPr>
          <w:lang w:val="fr-FR"/>
        </w:rPr>
        <w:t>3</w:t>
      </w:r>
      <w:r>
        <w:rPr>
          <w:lang w:val="fr-FR"/>
        </w:rPr>
        <w:t> </w:t>
      </w:r>
      <w:r w:rsidR="00684C99">
        <w:rPr>
          <w:lang w:val="fr-FR"/>
        </w:rPr>
        <w:t>:</w:t>
      </w:r>
      <w:r w:rsidR="00EF6384" w:rsidRPr="00EF6384">
        <w:rPr>
          <w:lang w:val="fr-FR"/>
        </w:rPr>
        <w:t xml:space="preserve"> </w:t>
      </w:r>
      <w:r w:rsidR="00872DE1">
        <w:rPr>
          <w:lang w:val="fr-FR"/>
        </w:rPr>
        <w:tab/>
      </w:r>
      <w:r w:rsidR="00EF6384" w:rsidRPr="00EF6384">
        <w:rPr>
          <w:lang w:val="fr-FR"/>
        </w:rPr>
        <w:t>Nouveau texte et modifications du Règlement type dans les sections 6.2.1 et 6.2.2;</w:t>
      </w:r>
    </w:p>
    <w:p w:rsidR="00EF6384" w:rsidRPr="00EF6384" w:rsidRDefault="00647284" w:rsidP="00872DE1">
      <w:pPr>
        <w:pStyle w:val="SingleTxt"/>
        <w:ind w:left="3182" w:hanging="1915"/>
        <w:rPr>
          <w:lang w:val="fr-FR"/>
        </w:rPr>
      </w:pPr>
      <w:r>
        <w:rPr>
          <w:lang w:val="fr-FR"/>
        </w:rPr>
        <w:tab/>
        <w:t>Proposition </w:t>
      </w:r>
      <w:r w:rsidR="00EF6384" w:rsidRPr="00EF6384">
        <w:rPr>
          <w:lang w:val="fr-FR"/>
        </w:rPr>
        <w:t>4</w:t>
      </w:r>
      <w:r>
        <w:rPr>
          <w:lang w:val="fr-FR"/>
        </w:rPr>
        <w:t> </w:t>
      </w:r>
      <w:r w:rsidR="00684C99">
        <w:rPr>
          <w:lang w:val="fr-FR"/>
        </w:rPr>
        <w:t>:</w:t>
      </w:r>
      <w:r w:rsidR="00EF6384" w:rsidRPr="00EF6384">
        <w:rPr>
          <w:lang w:val="fr-FR"/>
        </w:rPr>
        <w:t xml:space="preserve"> </w:t>
      </w:r>
      <w:r w:rsidR="00872DE1">
        <w:rPr>
          <w:lang w:val="fr-FR"/>
        </w:rPr>
        <w:tab/>
      </w:r>
      <w:r w:rsidR="00EF6384" w:rsidRPr="00EF6384">
        <w:rPr>
          <w:lang w:val="fr-FR"/>
        </w:rPr>
        <w:t>Nouveau texte et modifications dans les sections 6.2.3, 6.2.4 et 6.2.5 du RID/ADR.</w:t>
      </w:r>
    </w:p>
    <w:p w:rsidR="00EF6384" w:rsidRPr="00EF6384" w:rsidRDefault="00280CB7" w:rsidP="00EF6384">
      <w:pPr>
        <w:pStyle w:val="SingleTxt"/>
        <w:rPr>
          <w:lang w:val="fr-FR"/>
        </w:rPr>
      </w:pPr>
      <w:r>
        <w:rPr>
          <w:lang w:val="fr-FR"/>
        </w:rPr>
        <w:t>La proposition </w:t>
      </w:r>
      <w:r w:rsidR="00EF6384" w:rsidRPr="00EF6384">
        <w:rPr>
          <w:lang w:val="fr-FR"/>
        </w:rPr>
        <w:t>4 ne fait pas partie du pré</w:t>
      </w:r>
      <w:r>
        <w:rPr>
          <w:lang w:val="fr-FR"/>
        </w:rPr>
        <w:t>sent document et la proposition </w:t>
      </w:r>
      <w:r w:rsidR="00EF6384" w:rsidRPr="00EF6384">
        <w:rPr>
          <w:lang w:val="fr-FR"/>
        </w:rPr>
        <w:t>3 n’est complète que jusqu’au paragraphe 6.2.2.7.2.</w:t>
      </w:r>
    </w:p>
    <w:p w:rsidR="00EF6384" w:rsidRDefault="00EF6384" w:rsidP="00280CB7">
      <w:pPr>
        <w:pStyle w:val="SingleTxt"/>
        <w:numPr>
          <w:ilvl w:val="0"/>
          <w:numId w:val="15"/>
        </w:numPr>
        <w:tabs>
          <w:tab w:val="clear" w:pos="475"/>
          <w:tab w:val="num" w:pos="1742"/>
        </w:tabs>
        <w:ind w:left="1267"/>
        <w:rPr>
          <w:lang w:val="fr-FR"/>
        </w:rPr>
      </w:pPr>
      <w:r w:rsidRPr="00EF6384">
        <w:rPr>
          <w:lang w:val="fr-FR"/>
        </w:rPr>
        <w:t xml:space="preserve">Bien qu’incomplet, le présent document donne une impression claire de la nature et de l’ampleur du travail. Le groupe de travail prie la Réunion commune d’envisager de soumettre les propositions concernant le Règlement type au </w:t>
      </w:r>
      <w:proofErr w:type="spellStart"/>
      <w:r w:rsidRPr="00EF6384">
        <w:rPr>
          <w:lang w:val="fr-FR"/>
        </w:rPr>
        <w:t>Sous-Comité</w:t>
      </w:r>
      <w:proofErr w:type="spellEnd"/>
      <w:r w:rsidRPr="00EF6384">
        <w:rPr>
          <w:lang w:val="fr-FR"/>
        </w:rPr>
        <w:t xml:space="preserve"> d’experts du transport des marchandises dangereuses de l’ONU. Il souhaite aussi recevoir des instructions concernant les travaux portant sur les citernes.</w:t>
      </w:r>
    </w:p>
    <w:p w:rsidR="00280CB7" w:rsidRPr="00280CB7" w:rsidRDefault="00280CB7" w:rsidP="00280CB7">
      <w:pPr>
        <w:pStyle w:val="SingleTxt"/>
        <w:spacing w:after="0" w:line="120" w:lineRule="exact"/>
        <w:rPr>
          <w:sz w:val="10"/>
          <w:lang w:val="fr-FR"/>
        </w:rPr>
      </w:pPr>
    </w:p>
    <w:p w:rsidR="00280CB7" w:rsidRPr="00280CB7" w:rsidRDefault="00280CB7" w:rsidP="00280CB7">
      <w:pPr>
        <w:pStyle w:val="SingleTxt"/>
        <w:spacing w:after="0" w:line="120" w:lineRule="exact"/>
        <w:rPr>
          <w:sz w:val="10"/>
          <w:lang w:val="fr-FR"/>
        </w:rPr>
      </w:pPr>
    </w:p>
    <w:p w:rsidR="00EF6384" w:rsidRDefault="00EF6384" w:rsidP="00280CB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F6384">
        <w:rPr>
          <w:lang w:val="fr-FR"/>
        </w:rPr>
        <w:tab/>
      </w:r>
      <w:r w:rsidRPr="00EF6384">
        <w:rPr>
          <w:lang w:val="fr-FR"/>
        </w:rPr>
        <w:tab/>
        <w:t>Définitions</w:t>
      </w:r>
    </w:p>
    <w:p w:rsidR="00280CB7" w:rsidRPr="00280CB7" w:rsidRDefault="00280CB7" w:rsidP="00280CB7">
      <w:pPr>
        <w:pStyle w:val="SingleTxt"/>
        <w:spacing w:after="0" w:line="120" w:lineRule="exact"/>
        <w:rPr>
          <w:sz w:val="10"/>
          <w:lang w:val="fr-FR"/>
        </w:rPr>
      </w:pPr>
    </w:p>
    <w:p w:rsidR="00280CB7" w:rsidRPr="00280CB7" w:rsidRDefault="00280CB7" w:rsidP="00280CB7">
      <w:pPr>
        <w:pStyle w:val="SingleTxt"/>
        <w:spacing w:after="0" w:line="120" w:lineRule="exact"/>
        <w:rPr>
          <w:sz w:val="10"/>
          <w:lang w:val="fr-FR"/>
        </w:rPr>
      </w:pPr>
    </w:p>
    <w:p w:rsidR="00EF6384" w:rsidRPr="00EF6384" w:rsidRDefault="00EF6384" w:rsidP="00A2199A">
      <w:pPr>
        <w:pStyle w:val="SingleTxt"/>
        <w:numPr>
          <w:ilvl w:val="0"/>
          <w:numId w:val="19"/>
        </w:numPr>
        <w:rPr>
          <w:lang w:val="fr-FR"/>
        </w:rPr>
      </w:pPr>
      <w:r w:rsidRPr="00EF6384">
        <w:rPr>
          <w:lang w:val="fr-FR"/>
        </w:rPr>
        <w:t>La méthode adoptée a consisté à définir tous les récipients à pression afin d’y inclure leur(s) fermeture(s), ce qui permet de les aligner sur tous les autres récipients. Certains membres du groupe de travail s’y sont opposés en raison du fait que les normes de conception et de construction décrivent les bouteilles, tubes et fût à pression sans fermetures. Après une étude détaillée du RID/ADR, il a été conclu que les prescriptions relatives aux récipients à pressio</w:t>
      </w:r>
      <w:r w:rsidR="00280CB7">
        <w:rPr>
          <w:lang w:val="fr-FR"/>
        </w:rPr>
        <w:t>n qui figurent dans les parties 4 et </w:t>
      </w:r>
      <w:r w:rsidRPr="00EF6384">
        <w:rPr>
          <w:lang w:val="fr-FR"/>
        </w:rPr>
        <w:t xml:space="preserve">5 les envisageaient à l’état déjà pleins ou prêt à être remplis, c’est-à-dire avec leurs fermetures, et que ce n’est qu’au chapitre 6.2 que les récipients étaient considérés sans leurs fermetures. Adopter une définition sans fermetures impliquerait d’ajouter </w:t>
      </w:r>
      <w:r w:rsidR="00684C99">
        <w:rPr>
          <w:lang w:val="fr-FR"/>
        </w:rPr>
        <w:t>« </w:t>
      </w:r>
      <w:r w:rsidRPr="00EF6384">
        <w:rPr>
          <w:lang w:val="fr-FR"/>
        </w:rPr>
        <w:t>et ses fermetures</w:t>
      </w:r>
      <w:r w:rsidR="00684C99">
        <w:rPr>
          <w:lang w:val="fr-FR"/>
        </w:rPr>
        <w:t> »</w:t>
      </w:r>
      <w:r w:rsidRPr="00EF6384">
        <w:rPr>
          <w:lang w:val="fr-FR"/>
        </w:rPr>
        <w:t xml:space="preserve"> en d</w:t>
      </w:r>
      <w:r w:rsidR="00280CB7">
        <w:rPr>
          <w:lang w:val="fr-FR"/>
        </w:rPr>
        <w:t>e nombreux endroits des parties 4 et </w:t>
      </w:r>
      <w:r w:rsidRPr="00EF6384">
        <w:rPr>
          <w:lang w:val="fr-FR"/>
        </w:rPr>
        <w:t xml:space="preserve">5, d’où la conclusion qu’il serait préférable d’inclure les fermetures dans les définitions des récipients à pression. Le terme </w:t>
      </w:r>
      <w:r w:rsidR="00684C99">
        <w:rPr>
          <w:lang w:val="fr-FR"/>
        </w:rPr>
        <w:t>« </w:t>
      </w:r>
      <w:r w:rsidRPr="00EF6384">
        <w:rPr>
          <w:lang w:val="fr-FR"/>
        </w:rPr>
        <w:t>enveloppe du récipient à pression</w:t>
      </w:r>
      <w:r w:rsidR="00684C99">
        <w:rPr>
          <w:lang w:val="fr-FR"/>
        </w:rPr>
        <w:t> »</w:t>
      </w:r>
      <w:r w:rsidRPr="00EF6384">
        <w:rPr>
          <w:lang w:val="fr-FR"/>
        </w:rPr>
        <w:t xml:space="preserve"> est défini comme étant un récipient à pression sans sa ou ses fermeture(s). Ce choix a également suscité quelques objections car </w:t>
      </w:r>
      <w:r w:rsidR="00684C99">
        <w:rPr>
          <w:lang w:val="fr-FR"/>
        </w:rPr>
        <w:t xml:space="preserve">« enveloppe </w:t>
      </w:r>
      <w:r w:rsidRPr="00EF6384">
        <w:rPr>
          <w:lang w:val="fr-FR"/>
        </w:rPr>
        <w:t>des bouteilles » apparaît déjà au paragraphe 6.2.2.1.3 du RID/ADR, mais un consensus s’est dégagé en faveur de l’utilisation de ce terme.</w:t>
      </w:r>
    </w:p>
    <w:p w:rsidR="00EF6384" w:rsidRDefault="00EF6384" w:rsidP="00A2199A">
      <w:pPr>
        <w:pStyle w:val="SingleTxt"/>
        <w:numPr>
          <w:ilvl w:val="0"/>
          <w:numId w:val="19"/>
        </w:numPr>
        <w:rPr>
          <w:lang w:val="fr-FR"/>
        </w:rPr>
      </w:pPr>
      <w:r w:rsidRPr="00EF6384">
        <w:rPr>
          <w:lang w:val="fr-FR"/>
        </w:rPr>
        <w:t xml:space="preserve">Des définitions ont aussi été élaborées en ce qui concerne l’équipement de service d’un récipient à pression et la pression de service d’une bouteille d’acétylène. La définition actuelle de </w:t>
      </w:r>
      <w:r w:rsidR="00684C99">
        <w:rPr>
          <w:lang w:val="fr-FR"/>
        </w:rPr>
        <w:t>« </w:t>
      </w:r>
      <w:r w:rsidRPr="00EF6384">
        <w:rPr>
          <w:lang w:val="fr-FR"/>
        </w:rPr>
        <w:t>récipient cryogénique</w:t>
      </w:r>
      <w:r w:rsidR="00684C99">
        <w:rPr>
          <w:lang w:val="fr-FR"/>
        </w:rPr>
        <w:t> »</w:t>
      </w:r>
      <w:r w:rsidRPr="00EF6384">
        <w:rPr>
          <w:lang w:val="fr-FR"/>
        </w:rPr>
        <w:t xml:space="preserve"> décrit un récipient cryogénique fermé, d’où la correction apportée et les modifications corollair</w:t>
      </w:r>
      <w:r w:rsidR="00280CB7">
        <w:rPr>
          <w:lang w:val="fr-FR"/>
        </w:rPr>
        <w:t>es introduites dans les parties 4 et </w:t>
      </w:r>
      <w:r w:rsidRPr="00EF6384">
        <w:rPr>
          <w:lang w:val="fr-FR"/>
        </w:rPr>
        <w:t xml:space="preserve">5 partout où il est question de récipients cryogéniques. Il a été remédié à </w:t>
      </w:r>
      <w:r w:rsidRPr="00EF6384">
        <w:rPr>
          <w:lang w:val="fr-FR"/>
        </w:rPr>
        <w:lastRenderedPageBreak/>
        <w:t xml:space="preserve">l’utilisation incohérente de l’adjectif </w:t>
      </w:r>
      <w:r w:rsidR="00684C99">
        <w:rPr>
          <w:lang w:val="fr-FR"/>
        </w:rPr>
        <w:t>« </w:t>
      </w:r>
      <w:r w:rsidRPr="00EF6384">
        <w:rPr>
          <w:lang w:val="fr-FR"/>
        </w:rPr>
        <w:t>transportable</w:t>
      </w:r>
      <w:r w:rsidR="00684C99">
        <w:rPr>
          <w:lang w:val="fr-FR"/>
        </w:rPr>
        <w:t> »</w:t>
      </w:r>
      <w:r w:rsidRPr="00EF6384">
        <w:rPr>
          <w:lang w:val="fr-FR"/>
        </w:rPr>
        <w:t xml:space="preserve"> dans les définitions des récipients à pression. </w:t>
      </w:r>
    </w:p>
    <w:p w:rsidR="00280CB7" w:rsidRPr="00280CB7" w:rsidRDefault="00280CB7" w:rsidP="00280CB7">
      <w:pPr>
        <w:pStyle w:val="SingleTxt"/>
        <w:spacing w:after="0" w:line="120" w:lineRule="exact"/>
        <w:rPr>
          <w:sz w:val="10"/>
          <w:lang w:val="fr-FR"/>
        </w:rPr>
      </w:pPr>
    </w:p>
    <w:p w:rsidR="00280CB7" w:rsidRPr="00280CB7" w:rsidRDefault="00280CB7" w:rsidP="00280CB7">
      <w:pPr>
        <w:pStyle w:val="SingleTxt"/>
        <w:spacing w:after="0" w:line="120" w:lineRule="exact"/>
        <w:rPr>
          <w:sz w:val="10"/>
          <w:lang w:val="fr-FR"/>
        </w:rPr>
      </w:pPr>
    </w:p>
    <w:p w:rsidR="00EF6384" w:rsidRDefault="00EF6384" w:rsidP="00280CB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EF6384">
        <w:rPr>
          <w:lang w:val="fr-FR"/>
        </w:rPr>
        <w:tab/>
      </w:r>
      <w:r w:rsidRPr="00EF6384">
        <w:rPr>
          <w:lang w:val="fr-FR"/>
        </w:rPr>
        <w:tab/>
        <w:t xml:space="preserve">Modifications apportées aux textes des sections 6.2.1 </w:t>
      </w:r>
      <w:r w:rsidR="00A2199A">
        <w:rPr>
          <w:lang w:val="fr-FR"/>
        </w:rPr>
        <w:br/>
      </w:r>
      <w:r w:rsidRPr="00EF6384">
        <w:rPr>
          <w:lang w:val="fr-FR"/>
        </w:rPr>
        <w:t>et 6.2.2</w:t>
      </w:r>
    </w:p>
    <w:p w:rsidR="00280CB7" w:rsidRPr="00280CB7" w:rsidRDefault="00280CB7" w:rsidP="00280CB7">
      <w:pPr>
        <w:pStyle w:val="SingleTxt"/>
        <w:spacing w:after="0" w:line="120" w:lineRule="exact"/>
        <w:rPr>
          <w:sz w:val="10"/>
          <w:lang w:val="fr-FR"/>
        </w:rPr>
      </w:pPr>
    </w:p>
    <w:p w:rsidR="00280CB7" w:rsidRPr="00280CB7" w:rsidRDefault="00280CB7" w:rsidP="00280CB7">
      <w:pPr>
        <w:pStyle w:val="SingleTxt"/>
        <w:spacing w:after="0" w:line="120" w:lineRule="exact"/>
        <w:rPr>
          <w:sz w:val="10"/>
          <w:lang w:val="fr-FR"/>
        </w:rPr>
      </w:pPr>
    </w:p>
    <w:p w:rsidR="00EF6384" w:rsidRPr="00EF6384" w:rsidRDefault="00EF6384" w:rsidP="00A2199A">
      <w:pPr>
        <w:pStyle w:val="SingleTxt"/>
        <w:keepNext/>
        <w:keepLines/>
        <w:numPr>
          <w:ilvl w:val="0"/>
          <w:numId w:val="19"/>
        </w:numPr>
        <w:rPr>
          <w:lang w:val="fr-FR"/>
        </w:rPr>
      </w:pPr>
      <w:r w:rsidRPr="00EF6384">
        <w:rPr>
          <w:lang w:val="fr-FR"/>
        </w:rPr>
        <w:t>Outre la mise en œuvre des nouvelles définitions, les propositions concernant ces sections précisent</w:t>
      </w:r>
      <w:r w:rsidR="00280CB7">
        <w:rPr>
          <w:lang w:val="fr-FR"/>
        </w:rPr>
        <w:t> </w:t>
      </w:r>
      <w:r w:rsidR="00684C99">
        <w:rPr>
          <w:lang w:val="fr-FR"/>
        </w:rPr>
        <w:t>:</w:t>
      </w:r>
      <w:r w:rsidRPr="00EF6384">
        <w:rPr>
          <w:lang w:val="fr-FR"/>
        </w:rPr>
        <w:t xml:space="preserve"> </w:t>
      </w:r>
    </w:p>
    <w:p w:rsidR="00EF6384" w:rsidRPr="00EF6384" w:rsidRDefault="00A2199A" w:rsidP="00A2199A">
      <w:pPr>
        <w:pStyle w:val="SingleTxt"/>
        <w:ind w:left="1742" w:hanging="475"/>
        <w:rPr>
          <w:lang w:val="fr-FR"/>
        </w:rPr>
      </w:pPr>
      <w:r>
        <w:rPr>
          <w:lang w:val="fr-FR"/>
        </w:rPr>
        <w:tab/>
      </w:r>
      <w:r w:rsidR="00EF6384" w:rsidRPr="00EF6384">
        <w:rPr>
          <w:lang w:val="fr-FR"/>
        </w:rPr>
        <w:t>i)</w:t>
      </w:r>
      <w:r w:rsidR="00EF6384" w:rsidRPr="00EF6384">
        <w:rPr>
          <w:lang w:val="fr-FR"/>
        </w:rPr>
        <w:tab/>
        <w:t>Les récipients à pression pour lesquels il est permis d’évaluer séparément la conformité de l’enveloppe et de la fermeture et ceux pour lesquels une évaluation finale de la conformité est exigée même si l’on a déjà procédé à celle des fermetures ou, dans le cas des cadres de bouteilles, à cel</w:t>
      </w:r>
      <w:r>
        <w:rPr>
          <w:lang w:val="fr-FR"/>
        </w:rPr>
        <w:t>le des enveloppes de bouteilles;</w:t>
      </w:r>
    </w:p>
    <w:p w:rsidR="00EF6384" w:rsidRPr="00EF6384" w:rsidRDefault="00A2199A" w:rsidP="00A2199A">
      <w:pPr>
        <w:pStyle w:val="SingleTxt"/>
        <w:ind w:left="1742" w:hanging="475"/>
        <w:rPr>
          <w:lang w:val="fr-FR"/>
        </w:rPr>
      </w:pPr>
      <w:r>
        <w:rPr>
          <w:lang w:val="fr-FR"/>
        </w:rPr>
        <w:tab/>
      </w:r>
      <w:r w:rsidR="00EF6384" w:rsidRPr="00EF6384">
        <w:rPr>
          <w:lang w:val="fr-FR"/>
        </w:rPr>
        <w:t>ii)</w:t>
      </w:r>
      <w:r w:rsidR="00EF6384" w:rsidRPr="00EF6384">
        <w:rPr>
          <w:lang w:val="fr-FR"/>
        </w:rPr>
        <w:tab/>
        <w:t>Les procédures pour l’évaluation de la conformité des bouteilles d’acétylène complètes lorsque l’enveloppe de la bouteille a déjà été soumise à une évaluation de conformité par le même organi</w:t>
      </w:r>
      <w:r>
        <w:rPr>
          <w:lang w:val="fr-FR"/>
        </w:rPr>
        <w:t>sme de contrôle ou par un autre;</w:t>
      </w:r>
    </w:p>
    <w:p w:rsidR="00EF6384" w:rsidRPr="00EF6384" w:rsidRDefault="00A2199A" w:rsidP="00A2199A">
      <w:pPr>
        <w:pStyle w:val="SingleTxt"/>
        <w:ind w:left="1742" w:hanging="475"/>
        <w:rPr>
          <w:lang w:val="fr-FR"/>
        </w:rPr>
      </w:pPr>
      <w:r>
        <w:rPr>
          <w:lang w:val="fr-FR"/>
        </w:rPr>
        <w:tab/>
      </w:r>
      <w:r w:rsidR="00EF6384" w:rsidRPr="00EF6384">
        <w:rPr>
          <w:lang w:val="fr-FR"/>
        </w:rPr>
        <w:t>iii)</w:t>
      </w:r>
      <w:r w:rsidR="00EF6384" w:rsidRPr="00EF6384">
        <w:rPr>
          <w:lang w:val="fr-FR"/>
        </w:rPr>
        <w:tab/>
        <w:t>Les contrôles et épreuves initiaux pour les fermetures;</w:t>
      </w:r>
    </w:p>
    <w:p w:rsidR="00EF6384" w:rsidRPr="00EF6384" w:rsidRDefault="00A2199A" w:rsidP="00EF6384">
      <w:pPr>
        <w:pStyle w:val="SingleTxt"/>
        <w:rPr>
          <w:lang w:val="fr-FR"/>
        </w:rPr>
      </w:pPr>
      <w:r>
        <w:rPr>
          <w:lang w:val="fr-FR"/>
        </w:rPr>
        <w:tab/>
      </w:r>
      <w:r w:rsidR="00EF6384" w:rsidRPr="00EF6384">
        <w:rPr>
          <w:lang w:val="fr-FR"/>
        </w:rPr>
        <w:t>iv)</w:t>
      </w:r>
      <w:r w:rsidR="00EF6384" w:rsidRPr="00EF6384">
        <w:rPr>
          <w:lang w:val="fr-FR"/>
        </w:rPr>
        <w:tab/>
        <w:t>Les prescriptions relatives au marquage des fermetures;</w:t>
      </w:r>
    </w:p>
    <w:p w:rsidR="00EF6384" w:rsidRPr="00EF6384" w:rsidRDefault="00A2199A" w:rsidP="00A2199A">
      <w:pPr>
        <w:pStyle w:val="SingleTxt"/>
        <w:ind w:left="1742" w:hanging="475"/>
        <w:rPr>
          <w:lang w:val="fr-FR"/>
        </w:rPr>
      </w:pPr>
      <w:r>
        <w:rPr>
          <w:lang w:val="fr-FR"/>
        </w:rPr>
        <w:tab/>
      </w:r>
      <w:r w:rsidR="00EF6384" w:rsidRPr="00EF6384">
        <w:rPr>
          <w:lang w:val="fr-FR"/>
        </w:rPr>
        <w:t>v)</w:t>
      </w:r>
      <w:r w:rsidR="00EF6384" w:rsidRPr="00EF6384">
        <w:rPr>
          <w:lang w:val="fr-FR"/>
        </w:rPr>
        <w:tab/>
        <w:t>Diverses modifications à apporter aux prescriptions afin de les rendre plus précises et supprimer celles qui ne sont pas appropriées.</w:t>
      </w:r>
    </w:p>
    <w:p w:rsidR="00EF6384" w:rsidRPr="00EF6384" w:rsidRDefault="00EF6384" w:rsidP="00A2199A">
      <w:pPr>
        <w:pStyle w:val="SingleTxt"/>
        <w:keepNext/>
        <w:keepLines/>
        <w:rPr>
          <w:lang w:val="fr-FR"/>
        </w:rPr>
      </w:pPr>
      <w:r w:rsidRPr="00EF6384">
        <w:rPr>
          <w:lang w:val="fr-FR"/>
        </w:rPr>
        <w:t>Doivent encore faire l’objet de décisions</w:t>
      </w:r>
      <w:r w:rsidR="00A2199A">
        <w:rPr>
          <w:lang w:val="fr-FR"/>
        </w:rPr>
        <w:t> </w:t>
      </w:r>
      <w:r w:rsidR="00684C99">
        <w:rPr>
          <w:lang w:val="fr-FR"/>
        </w:rPr>
        <w:t>:</w:t>
      </w:r>
      <w:r w:rsidRPr="00EF6384">
        <w:rPr>
          <w:lang w:val="fr-FR"/>
        </w:rPr>
        <w:t xml:space="preserve"> </w:t>
      </w:r>
    </w:p>
    <w:p w:rsidR="00EF6384" w:rsidRPr="00EF6384" w:rsidRDefault="00A2199A" w:rsidP="00EF6384">
      <w:pPr>
        <w:pStyle w:val="SingleTxt"/>
        <w:rPr>
          <w:lang w:val="fr-FR"/>
        </w:rPr>
      </w:pPr>
      <w:r>
        <w:rPr>
          <w:lang w:val="fr-FR"/>
        </w:rPr>
        <w:tab/>
      </w:r>
      <w:r w:rsidR="00EF6384" w:rsidRPr="00EF6384">
        <w:rPr>
          <w:lang w:val="fr-FR"/>
        </w:rPr>
        <w:t>i)</w:t>
      </w:r>
      <w:r w:rsidR="00EF6384" w:rsidRPr="00EF6384">
        <w:rPr>
          <w:lang w:val="fr-FR"/>
        </w:rPr>
        <w:tab/>
        <w:t>Les prescriptions minimales relatives aux dispositifs de décompression;</w:t>
      </w:r>
    </w:p>
    <w:p w:rsidR="00EF6384" w:rsidRPr="00EF6384" w:rsidRDefault="00A2199A" w:rsidP="00EF6384">
      <w:pPr>
        <w:pStyle w:val="SingleTxt"/>
        <w:rPr>
          <w:lang w:val="fr-FR"/>
        </w:rPr>
      </w:pPr>
      <w:r>
        <w:rPr>
          <w:lang w:val="fr-FR"/>
        </w:rPr>
        <w:tab/>
      </w:r>
      <w:r w:rsidR="00EF6384" w:rsidRPr="00EF6384">
        <w:rPr>
          <w:lang w:val="fr-FR"/>
        </w:rPr>
        <w:t>ii)</w:t>
      </w:r>
      <w:r w:rsidR="00EF6384" w:rsidRPr="00EF6384">
        <w:rPr>
          <w:lang w:val="fr-FR"/>
        </w:rPr>
        <w:tab/>
        <w:t>Les marques supplémentaires sur les bouteilles d’acétylène;</w:t>
      </w:r>
    </w:p>
    <w:p w:rsidR="00EF6384" w:rsidRDefault="00A2199A" w:rsidP="00A2199A">
      <w:pPr>
        <w:pStyle w:val="SingleTxt"/>
        <w:ind w:left="1742" w:hanging="475"/>
        <w:rPr>
          <w:lang w:val="fr-FR"/>
        </w:rPr>
      </w:pPr>
      <w:r>
        <w:rPr>
          <w:lang w:val="fr-FR"/>
        </w:rPr>
        <w:tab/>
      </w:r>
      <w:r w:rsidR="00EF6384" w:rsidRPr="00EF6384">
        <w:rPr>
          <w:lang w:val="fr-FR"/>
        </w:rPr>
        <w:t>iii)</w:t>
      </w:r>
      <w:r w:rsidR="00EF6384" w:rsidRPr="00EF6384">
        <w:rPr>
          <w:lang w:val="fr-FR"/>
        </w:rPr>
        <w:tab/>
        <w:t xml:space="preserve">Les modifications conformes à celles qui sont présentées dans le présent document. </w:t>
      </w:r>
    </w:p>
    <w:p w:rsidR="00A2199A" w:rsidRPr="00A2199A" w:rsidRDefault="00A2199A" w:rsidP="00A2199A">
      <w:pPr>
        <w:pStyle w:val="SingleTxt"/>
        <w:spacing w:after="0" w:line="120" w:lineRule="exact"/>
        <w:ind w:left="1742" w:hanging="475"/>
        <w:rPr>
          <w:sz w:val="10"/>
          <w:lang w:val="fr-FR"/>
        </w:rPr>
      </w:pPr>
    </w:p>
    <w:p w:rsidR="00A2199A" w:rsidRPr="00A2199A" w:rsidRDefault="00A2199A" w:rsidP="00A2199A">
      <w:pPr>
        <w:pStyle w:val="SingleTxt"/>
        <w:spacing w:after="0" w:line="120" w:lineRule="exact"/>
        <w:ind w:left="1742" w:hanging="475"/>
        <w:rPr>
          <w:sz w:val="10"/>
          <w:lang w:val="fr-FR"/>
        </w:rPr>
      </w:pPr>
    </w:p>
    <w:p w:rsidR="00EF6384" w:rsidRDefault="00A2199A" w:rsidP="00A2199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EF6384" w:rsidRPr="00EF6384">
        <w:rPr>
          <w:lang w:val="fr-FR"/>
        </w:rPr>
        <w:t xml:space="preserve">Modifications apportées aux textes des sections 6.2.3, </w:t>
      </w:r>
      <w:r>
        <w:rPr>
          <w:lang w:val="fr-FR"/>
        </w:rPr>
        <w:br/>
      </w:r>
      <w:r w:rsidR="00EF6384" w:rsidRPr="00EF6384">
        <w:rPr>
          <w:lang w:val="fr-FR"/>
        </w:rPr>
        <w:t>6.2.4 et 6.2.5</w:t>
      </w:r>
    </w:p>
    <w:p w:rsidR="00A2199A" w:rsidRPr="00A2199A" w:rsidRDefault="00A2199A" w:rsidP="00A2199A">
      <w:pPr>
        <w:pStyle w:val="SingleTxt"/>
        <w:spacing w:after="0" w:line="120" w:lineRule="exact"/>
        <w:rPr>
          <w:sz w:val="10"/>
          <w:lang w:val="fr-FR"/>
        </w:rPr>
      </w:pPr>
    </w:p>
    <w:p w:rsidR="00A2199A" w:rsidRPr="00A2199A" w:rsidRDefault="00A2199A" w:rsidP="00A2199A">
      <w:pPr>
        <w:pStyle w:val="SingleTxt"/>
        <w:spacing w:after="0" w:line="120" w:lineRule="exact"/>
        <w:rPr>
          <w:sz w:val="10"/>
          <w:lang w:val="fr-FR"/>
        </w:rPr>
      </w:pPr>
    </w:p>
    <w:p w:rsidR="00EF6384" w:rsidRPr="00EF6384" w:rsidRDefault="00EF6384" w:rsidP="00A2199A">
      <w:pPr>
        <w:pStyle w:val="SingleTxt"/>
        <w:numPr>
          <w:ilvl w:val="0"/>
          <w:numId w:val="19"/>
        </w:numPr>
        <w:rPr>
          <w:lang w:val="fr-FR"/>
        </w:rPr>
      </w:pPr>
      <w:r w:rsidRPr="00EF6384">
        <w:rPr>
          <w:lang w:val="fr-FR"/>
        </w:rPr>
        <w:t xml:space="preserve">Ces propositions portent sur les modifications nécessaires à la mise en œuvre des définitions et à l’alignement du texte sur celui des sections précédentes. Elles doivent être relues attentivement et approuvées par le groupe de travail. </w:t>
      </w:r>
    </w:p>
    <w:p w:rsidR="00EF6384" w:rsidRDefault="00EF6384" w:rsidP="00A2199A">
      <w:pPr>
        <w:pStyle w:val="SingleTxt"/>
        <w:numPr>
          <w:ilvl w:val="0"/>
          <w:numId w:val="19"/>
        </w:numPr>
        <w:rPr>
          <w:lang w:val="fr-FR"/>
        </w:rPr>
      </w:pPr>
      <w:r w:rsidRPr="00EF6384">
        <w:rPr>
          <w:lang w:val="fr-FR"/>
        </w:rPr>
        <w:t>Bien que ces propositions soient présentées en quatre parties pour faciliter les références elles sont étroitement liées et ne sauraient être adoptées séparément.</w:t>
      </w:r>
    </w:p>
    <w:p w:rsidR="00A2199A" w:rsidRPr="00B80C2E" w:rsidRDefault="00A2199A" w:rsidP="00B80C2E">
      <w:pPr>
        <w:pStyle w:val="SingleTxt"/>
        <w:spacing w:after="0" w:line="120" w:lineRule="exact"/>
        <w:rPr>
          <w:sz w:val="10"/>
          <w:lang w:val="fr-FR"/>
        </w:rPr>
      </w:pPr>
    </w:p>
    <w:p w:rsidR="00B80C2E" w:rsidRPr="00A2199A" w:rsidRDefault="00B80C2E" w:rsidP="00A2199A">
      <w:pPr>
        <w:pStyle w:val="SingleTxt"/>
        <w:spacing w:after="0" w:line="120" w:lineRule="exact"/>
        <w:rPr>
          <w:sz w:val="10"/>
          <w:lang w:val="fr-FR"/>
        </w:rPr>
      </w:pPr>
    </w:p>
    <w:p w:rsidR="00EF6384" w:rsidRDefault="00A2199A" w:rsidP="00B80C2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B80C2E">
        <w:rPr>
          <w:lang w:val="fr-FR"/>
        </w:rPr>
        <w:t>Proposition </w:t>
      </w:r>
      <w:r w:rsidR="00EF6384" w:rsidRPr="00EF6384">
        <w:rPr>
          <w:lang w:val="fr-FR"/>
        </w:rPr>
        <w:t xml:space="preserve">1 </w:t>
      </w:r>
      <w:r w:rsidR="00B80C2E">
        <w:rPr>
          <w:lang w:val="fr-FR"/>
        </w:rPr>
        <w:t>–</w:t>
      </w:r>
      <w:r w:rsidR="00EF6384" w:rsidRPr="00EF6384">
        <w:rPr>
          <w:lang w:val="fr-FR"/>
        </w:rPr>
        <w:t xml:space="preserve"> Définitions à la section 1.2.1</w:t>
      </w:r>
    </w:p>
    <w:p w:rsidR="00A2199A" w:rsidRPr="00B80C2E" w:rsidRDefault="00A2199A" w:rsidP="00B80C2E">
      <w:pPr>
        <w:pStyle w:val="SingleTxt"/>
        <w:spacing w:after="0" w:line="120" w:lineRule="exact"/>
        <w:rPr>
          <w:sz w:val="10"/>
          <w:lang w:val="fr-FR"/>
        </w:rPr>
      </w:pPr>
    </w:p>
    <w:p w:rsidR="00B80C2E" w:rsidRPr="00A2199A" w:rsidRDefault="00B80C2E" w:rsidP="00A2199A">
      <w:pPr>
        <w:pStyle w:val="SingleTxt"/>
        <w:spacing w:after="0" w:line="120" w:lineRule="exact"/>
        <w:rPr>
          <w:sz w:val="10"/>
          <w:lang w:val="fr-FR"/>
        </w:rPr>
      </w:pPr>
    </w:p>
    <w:p w:rsidR="00EF6384" w:rsidRPr="00EF6384" w:rsidRDefault="00BA1D06" w:rsidP="00EF6384">
      <w:pPr>
        <w:pStyle w:val="SingleTxt"/>
        <w:rPr>
          <w:lang w:val="fr-FR"/>
        </w:rPr>
      </w:pPr>
      <w:r>
        <w:rPr>
          <w:lang w:val="fr-FR"/>
        </w:rPr>
        <w:tab/>
      </w:r>
      <w:r w:rsidR="00EF6384" w:rsidRPr="00EF6384">
        <w:rPr>
          <w:lang w:val="fr-FR"/>
        </w:rPr>
        <w:t>Dans cette proposition, le nouveau texte apparaît souligné alors que le texte supprimé est biffé.</w:t>
      </w:r>
    </w:p>
    <w:p w:rsidR="00EF6384" w:rsidRPr="00EF6384" w:rsidRDefault="00684C99" w:rsidP="00EF6384">
      <w:pPr>
        <w:pStyle w:val="SingleTxt"/>
        <w:rPr>
          <w:lang w:val="fr-FR"/>
        </w:rPr>
      </w:pPr>
      <w:r w:rsidRPr="00A2199A">
        <w:rPr>
          <w:lang w:val="fr-FR"/>
        </w:rPr>
        <w:t>« </w:t>
      </w:r>
      <w:r w:rsidR="00EF6384" w:rsidRPr="00EF6384">
        <w:rPr>
          <w:i/>
          <w:lang w:val="fr-FR"/>
        </w:rPr>
        <w:t>Cadre de bouteilles</w:t>
      </w:r>
      <w:r w:rsidRPr="00684C99">
        <w:rPr>
          <w:lang w:val="fr-FR"/>
        </w:rPr>
        <w:t> »</w:t>
      </w:r>
      <w:r w:rsidR="00EF6384" w:rsidRPr="00684C99">
        <w:rPr>
          <w:lang w:val="fr-FR"/>
        </w:rPr>
        <w:t>,</w:t>
      </w:r>
      <w:r w:rsidR="00EF6384" w:rsidRPr="00EF6384">
        <w:rPr>
          <w:i/>
          <w:lang w:val="fr-FR"/>
        </w:rPr>
        <w:t xml:space="preserve"> </w:t>
      </w:r>
      <w:r w:rsidR="00EF6384" w:rsidRPr="00EF6384">
        <w:rPr>
          <w:u w:val="single"/>
          <w:lang w:val="fr-FR"/>
        </w:rPr>
        <w:t>un récipient à pression comprenant</w:t>
      </w:r>
      <w:r w:rsidR="00EF6384" w:rsidRPr="00EF6384">
        <w:rPr>
          <w:lang w:val="fr-FR"/>
        </w:rPr>
        <w:t xml:space="preserve"> un ensemble de bouteilles </w:t>
      </w:r>
      <w:r w:rsidR="00EF6384" w:rsidRPr="00EF6384">
        <w:rPr>
          <w:u w:val="single"/>
          <w:lang w:val="fr-FR"/>
        </w:rPr>
        <w:t>ou d’enveloppes de bouteilles</w:t>
      </w:r>
      <w:r w:rsidR="00EF6384" w:rsidRPr="00EF6384">
        <w:rPr>
          <w:lang w:val="fr-FR"/>
        </w:rPr>
        <w:t xml:space="preserve"> attachées entre elles et reliées par tuyau collecteur et transportées en tant qu’ensemble indissociable. La contenance total</w:t>
      </w:r>
      <w:r w:rsidR="00A2199A">
        <w:rPr>
          <w:lang w:val="fr-FR"/>
        </w:rPr>
        <w:t>e en eau ne doit pas dépasser 3 </w:t>
      </w:r>
      <w:r w:rsidR="000B0A79">
        <w:rPr>
          <w:lang w:val="fr-FR"/>
        </w:rPr>
        <w:t>000 </w:t>
      </w:r>
      <w:r w:rsidR="00EF6384" w:rsidRPr="00EF6384">
        <w:rPr>
          <w:lang w:val="fr-FR"/>
        </w:rPr>
        <w:t>l; sur les cadres destinés au transp</w:t>
      </w:r>
      <w:r w:rsidR="00A2199A">
        <w:rPr>
          <w:lang w:val="fr-FR"/>
        </w:rPr>
        <w:t>ort de gaz toxique de la classe </w:t>
      </w:r>
      <w:r w:rsidR="00EF6384" w:rsidRPr="00EF6384">
        <w:rPr>
          <w:lang w:val="fr-FR"/>
        </w:rPr>
        <w:t>2 (g</w:t>
      </w:r>
      <w:r w:rsidR="00A2199A">
        <w:rPr>
          <w:lang w:val="fr-FR"/>
        </w:rPr>
        <w:t>roupes commençant par la lettre </w:t>
      </w:r>
      <w:r w:rsidR="00EF6384" w:rsidRPr="00EF6384">
        <w:rPr>
          <w:lang w:val="fr-FR"/>
        </w:rPr>
        <w:t>T conformément au paragraphe 2.2.2.1.3),</w:t>
      </w:r>
      <w:r w:rsidR="00A2199A">
        <w:rPr>
          <w:lang w:val="fr-FR"/>
        </w:rPr>
        <w:t xml:space="preserve"> cette capacité est limitée à 1 </w:t>
      </w:r>
      <w:r w:rsidR="000B0A79">
        <w:rPr>
          <w:lang w:val="fr-FR"/>
        </w:rPr>
        <w:t>000 </w:t>
      </w:r>
      <w:r w:rsidR="00EF6384" w:rsidRPr="00EF6384">
        <w:rPr>
          <w:lang w:val="fr-FR"/>
        </w:rPr>
        <w:t xml:space="preserve">l; </w:t>
      </w:r>
    </w:p>
    <w:p w:rsidR="00EF6384" w:rsidRPr="00EF6384" w:rsidRDefault="00684C99" w:rsidP="00EF6384">
      <w:pPr>
        <w:pStyle w:val="SingleTxt"/>
        <w:rPr>
          <w:lang w:val="fr-FR"/>
        </w:rPr>
      </w:pPr>
      <w:r w:rsidRPr="00684C99">
        <w:rPr>
          <w:lang w:val="fr-FR"/>
        </w:rPr>
        <w:t>« </w:t>
      </w:r>
      <w:r w:rsidR="00EF6384" w:rsidRPr="00EF6384">
        <w:rPr>
          <w:i/>
          <w:lang w:val="fr-FR"/>
        </w:rPr>
        <w:t>Fermeture</w:t>
      </w:r>
      <w:r>
        <w:rPr>
          <w:i/>
          <w:lang w:val="fr-FR"/>
        </w:rPr>
        <w:t> </w:t>
      </w:r>
      <w:r w:rsidRPr="00684C99">
        <w:rPr>
          <w:lang w:val="fr-FR"/>
        </w:rPr>
        <w:t>»</w:t>
      </w:r>
      <w:r w:rsidR="00EF6384" w:rsidRPr="00EF6384">
        <w:rPr>
          <w:lang w:val="fr-FR"/>
        </w:rPr>
        <w:t>, un dispositif servant à fermer l’ouverture d’un récipient;</w:t>
      </w:r>
    </w:p>
    <w:p w:rsidR="00EF6384" w:rsidRPr="00EF6384" w:rsidRDefault="00EF6384" w:rsidP="00EF6384">
      <w:pPr>
        <w:pStyle w:val="SingleTxt"/>
        <w:rPr>
          <w:i/>
          <w:u w:val="single"/>
          <w:lang w:val="fr-FR"/>
        </w:rPr>
      </w:pPr>
      <w:r w:rsidRPr="00B80C2E">
        <w:rPr>
          <w:b/>
          <w:i/>
          <w:u w:val="single"/>
          <w:lang w:val="fr-FR"/>
        </w:rPr>
        <w:lastRenderedPageBreak/>
        <w:t>NOTA</w:t>
      </w:r>
      <w:r w:rsidR="00B80C2E">
        <w:rPr>
          <w:b/>
          <w:i/>
          <w:u w:val="single"/>
          <w:lang w:val="fr-FR"/>
        </w:rPr>
        <w:t> </w:t>
      </w:r>
      <w:r w:rsidR="00684C99" w:rsidRPr="008D64D5">
        <w:rPr>
          <w:i/>
          <w:u w:val="single"/>
        </w:rPr>
        <w:t>:</w:t>
      </w:r>
      <w:r w:rsidRPr="00B80C2E">
        <w:rPr>
          <w:u w:val="single"/>
        </w:rPr>
        <w:t xml:space="preserve"> </w:t>
      </w:r>
      <w:r w:rsidRPr="00B80C2E">
        <w:rPr>
          <w:i/>
          <w:u w:val="single"/>
          <w:lang w:val="fr-FR"/>
        </w:rPr>
        <w:t>Pour les récipients à pression, les fermetures sont par exemple des robinets, des dispositifs de décompression</w:t>
      </w:r>
      <w:r w:rsidRPr="00EF6384">
        <w:rPr>
          <w:i/>
          <w:u w:val="single"/>
          <w:lang w:val="fr-FR"/>
        </w:rPr>
        <w:t>, de manomètres, ou des indicateurs de niveau.</w:t>
      </w:r>
    </w:p>
    <w:p w:rsidR="00EF6384" w:rsidRPr="00EF6384" w:rsidRDefault="00684C99" w:rsidP="00EF6384">
      <w:pPr>
        <w:pStyle w:val="SingleTxt"/>
        <w:rPr>
          <w:lang w:val="fr-FR"/>
        </w:rPr>
      </w:pPr>
      <w:r w:rsidRPr="00684C99">
        <w:rPr>
          <w:lang w:val="fr-FR"/>
        </w:rPr>
        <w:t>«</w:t>
      </w:r>
      <w:r>
        <w:rPr>
          <w:i/>
          <w:lang w:val="fr-FR"/>
        </w:rPr>
        <w:t> </w:t>
      </w:r>
      <w:r w:rsidR="00EF6384" w:rsidRPr="00EF6384">
        <w:rPr>
          <w:i/>
          <w:lang w:val="fr-FR"/>
        </w:rPr>
        <w:t xml:space="preserve">Récipient cryogénique </w:t>
      </w:r>
      <w:r w:rsidR="00EF6384" w:rsidRPr="00EF6384">
        <w:rPr>
          <w:i/>
          <w:u w:val="single"/>
          <w:lang w:val="fr-FR"/>
        </w:rPr>
        <w:t>fermé</w:t>
      </w:r>
      <w:r w:rsidRPr="00B80C2E">
        <w:rPr>
          <w:i/>
          <w:lang w:val="fr-FR"/>
        </w:rPr>
        <w:t> </w:t>
      </w:r>
      <w:r w:rsidRPr="00B80C2E">
        <w:rPr>
          <w:lang w:val="fr-FR"/>
        </w:rPr>
        <w:t>»</w:t>
      </w:r>
      <w:r w:rsidR="00EF6384" w:rsidRPr="00B80C2E">
        <w:rPr>
          <w:i/>
          <w:lang w:val="fr-FR"/>
        </w:rPr>
        <w:t>,</w:t>
      </w:r>
      <w:r w:rsidR="00EF6384" w:rsidRPr="00EF6384">
        <w:rPr>
          <w:lang w:val="fr-FR"/>
        </w:rPr>
        <w:t xml:space="preserve"> un récipient à pression </w:t>
      </w:r>
      <w:r w:rsidR="00EF6384" w:rsidRPr="007B2B90">
        <w:rPr>
          <w:strike/>
          <w:lang w:val="fr-FR"/>
        </w:rPr>
        <w:t>transportable</w:t>
      </w:r>
      <w:r w:rsidR="00EF6384" w:rsidRPr="00EF6384">
        <w:rPr>
          <w:lang w:val="fr-FR"/>
        </w:rPr>
        <w:t xml:space="preserve"> isolé thermiquement pour le transport de gaz liquéfiés réfrigérés, d’une contenance d’eau ne dépassant pas 1 000 l (voir aussi </w:t>
      </w:r>
      <w:r>
        <w:rPr>
          <w:lang w:val="fr-FR"/>
        </w:rPr>
        <w:t>« </w:t>
      </w:r>
      <w:r w:rsidR="00EF6384" w:rsidRPr="00EF6384">
        <w:rPr>
          <w:i/>
          <w:lang w:val="fr-FR"/>
        </w:rPr>
        <w:t>Récipient cryogénique ouvert</w:t>
      </w:r>
      <w:r>
        <w:rPr>
          <w:i/>
          <w:lang w:val="fr-FR"/>
        </w:rPr>
        <w:t> </w:t>
      </w:r>
      <w:r w:rsidRPr="00684C99">
        <w:rPr>
          <w:lang w:val="fr-FR"/>
        </w:rPr>
        <w:t>»</w:t>
      </w:r>
      <w:r w:rsidR="00EF6384" w:rsidRPr="00EF6384">
        <w:rPr>
          <w:lang w:val="fr-FR"/>
        </w:rPr>
        <w:t>);</w:t>
      </w:r>
    </w:p>
    <w:p w:rsidR="00EF6384" w:rsidRPr="00EF6384" w:rsidRDefault="00684C99" w:rsidP="00EF6384">
      <w:pPr>
        <w:pStyle w:val="SingleTxt"/>
        <w:rPr>
          <w:lang w:val="fr-FR"/>
        </w:rPr>
      </w:pPr>
      <w:r w:rsidRPr="00684C99">
        <w:rPr>
          <w:lang w:val="fr-FR"/>
        </w:rPr>
        <w:t>« </w:t>
      </w:r>
      <w:r w:rsidR="00EF6384" w:rsidRPr="00EF6384">
        <w:rPr>
          <w:i/>
          <w:lang w:val="fr-FR"/>
        </w:rPr>
        <w:t>Bouteille</w:t>
      </w:r>
      <w:r>
        <w:rPr>
          <w:i/>
          <w:lang w:val="fr-FR"/>
        </w:rPr>
        <w:t> </w:t>
      </w:r>
      <w:r w:rsidRPr="00684C99">
        <w:rPr>
          <w:lang w:val="fr-FR"/>
        </w:rPr>
        <w:t>»</w:t>
      </w:r>
      <w:r w:rsidR="00EF6384" w:rsidRPr="00EF6384">
        <w:rPr>
          <w:i/>
          <w:lang w:val="fr-FR"/>
        </w:rPr>
        <w:t xml:space="preserve">, </w:t>
      </w:r>
      <w:r w:rsidR="00EF6384" w:rsidRPr="00EF6384">
        <w:rPr>
          <w:lang w:val="fr-FR"/>
        </w:rPr>
        <w:t xml:space="preserve">un récipient à pression </w:t>
      </w:r>
      <w:r w:rsidR="00EF6384" w:rsidRPr="007B2B90">
        <w:rPr>
          <w:strike/>
          <w:lang w:val="fr-FR"/>
        </w:rPr>
        <w:t>transportable</w:t>
      </w:r>
      <w:r w:rsidR="00EF6384" w:rsidRPr="00EF6384">
        <w:rPr>
          <w:lang w:val="fr-FR"/>
        </w:rPr>
        <w:t xml:space="preserve"> d’une contenance d’eau ne dépassant pas 150 l (voir aussi </w:t>
      </w:r>
      <w:r>
        <w:rPr>
          <w:lang w:val="fr-FR"/>
        </w:rPr>
        <w:t>« </w:t>
      </w:r>
      <w:r w:rsidR="00EF6384" w:rsidRPr="00EF6384">
        <w:rPr>
          <w:i/>
          <w:lang w:val="fr-FR"/>
        </w:rPr>
        <w:t>Cadre de bouteilles</w:t>
      </w:r>
      <w:r>
        <w:rPr>
          <w:lang w:val="fr-FR"/>
        </w:rPr>
        <w:t> »</w:t>
      </w:r>
      <w:r w:rsidR="00EF6384" w:rsidRPr="00EF6384">
        <w:rPr>
          <w:lang w:val="fr-FR"/>
        </w:rPr>
        <w:t>);</w:t>
      </w:r>
    </w:p>
    <w:p w:rsidR="00EF6384" w:rsidRPr="00EF6384" w:rsidRDefault="00684C99" w:rsidP="00EF6384">
      <w:pPr>
        <w:pStyle w:val="SingleTxt"/>
        <w:rPr>
          <w:iCs/>
          <w:lang w:val="fr-FR"/>
        </w:rPr>
      </w:pPr>
      <w:r>
        <w:rPr>
          <w:lang w:val="fr-FR"/>
        </w:rPr>
        <w:t>« </w:t>
      </w:r>
      <w:r w:rsidR="00EF6384" w:rsidRPr="00EF6384">
        <w:rPr>
          <w:i/>
          <w:lang w:val="fr-FR"/>
        </w:rPr>
        <w:t>Dispositif de stockage à hydrure métallique</w:t>
      </w:r>
      <w:r>
        <w:rPr>
          <w:lang w:val="fr-FR"/>
        </w:rPr>
        <w:t> »</w:t>
      </w:r>
      <w:r w:rsidR="00EF6384" w:rsidRPr="00EF6384">
        <w:rPr>
          <w:i/>
          <w:lang w:val="fr-FR"/>
        </w:rPr>
        <w:t xml:space="preserve">, </w:t>
      </w:r>
      <w:r w:rsidR="00EF6384" w:rsidRPr="00EF6384">
        <w:rPr>
          <w:iCs/>
          <w:lang w:val="fr-FR"/>
        </w:rPr>
        <w:t xml:space="preserve">un dispositif de stockage de l’hydrogène, unique, complet, comprenant </w:t>
      </w:r>
      <w:r w:rsidR="00EF6384" w:rsidRPr="000B0A79">
        <w:t xml:space="preserve">une </w:t>
      </w:r>
      <w:r w:rsidR="00EF6384" w:rsidRPr="00EF6384">
        <w:rPr>
          <w:iCs/>
          <w:u w:val="single"/>
          <w:lang w:val="fr-FR"/>
        </w:rPr>
        <w:t>enveloppe de</w:t>
      </w:r>
      <w:r w:rsidR="00EF6384" w:rsidRPr="00EF6384">
        <w:rPr>
          <w:iCs/>
          <w:lang w:val="fr-FR"/>
        </w:rPr>
        <w:t xml:space="preserve"> récipient </w:t>
      </w:r>
      <w:r w:rsidR="00EF6384" w:rsidRPr="00EF6384">
        <w:rPr>
          <w:iCs/>
          <w:u w:val="single"/>
          <w:lang w:val="fr-FR"/>
        </w:rPr>
        <w:t>à pression</w:t>
      </w:r>
      <w:r w:rsidR="00EF6384" w:rsidRPr="00EF6384">
        <w:rPr>
          <w:iCs/>
          <w:lang w:val="fr-FR"/>
        </w:rPr>
        <w:t>, un hydrure métallique, un dispositif de décompression, un robinet d’arrêt, un équipement de service et des composants internes utilisé pour le transp</w:t>
      </w:r>
      <w:r w:rsidR="000F536F">
        <w:rPr>
          <w:iCs/>
          <w:lang w:val="fr-FR"/>
        </w:rPr>
        <w:t>ort de l’hydrogène uniquement;</w:t>
      </w:r>
    </w:p>
    <w:p w:rsidR="00EF6384" w:rsidRPr="00EF6384" w:rsidRDefault="00684C99" w:rsidP="007B2B90">
      <w:pPr>
        <w:pStyle w:val="SingleTxt"/>
        <w:rPr>
          <w:iCs/>
          <w:lang w:val="fr-FR"/>
        </w:rPr>
      </w:pPr>
      <w:r>
        <w:rPr>
          <w:iCs/>
          <w:lang w:val="fr-FR"/>
        </w:rPr>
        <w:t>« </w:t>
      </w:r>
      <w:r w:rsidR="00EF6384" w:rsidRPr="00EF6384">
        <w:rPr>
          <w:i/>
          <w:iCs/>
          <w:lang w:val="fr-FR"/>
        </w:rPr>
        <w:t>Fût à pression</w:t>
      </w:r>
      <w:r>
        <w:rPr>
          <w:i/>
          <w:iCs/>
          <w:lang w:val="fr-FR"/>
        </w:rPr>
        <w:t> </w:t>
      </w:r>
      <w:r w:rsidRPr="00684C99">
        <w:rPr>
          <w:iCs/>
          <w:lang w:val="fr-FR"/>
        </w:rPr>
        <w:t>»</w:t>
      </w:r>
      <w:r w:rsidR="00EF6384" w:rsidRPr="00EF6384">
        <w:rPr>
          <w:iCs/>
          <w:lang w:val="fr-FR"/>
        </w:rPr>
        <w:t xml:space="preserve">, un récipient à pression </w:t>
      </w:r>
      <w:r w:rsidR="00EF6384" w:rsidRPr="007B2B90">
        <w:rPr>
          <w:iCs/>
          <w:strike/>
          <w:lang w:val="fr-FR"/>
        </w:rPr>
        <w:t>transportable</w:t>
      </w:r>
      <w:r w:rsidR="00EF6384" w:rsidRPr="00EF6384">
        <w:rPr>
          <w:iCs/>
          <w:lang w:val="fr-FR"/>
        </w:rPr>
        <w:t xml:space="preserve"> de construction soudée d’une con</w:t>
      </w:r>
      <w:r w:rsidR="007C5B7B">
        <w:rPr>
          <w:iCs/>
          <w:lang w:val="fr-FR"/>
        </w:rPr>
        <w:t>tenance en eau supérieure à 150 </w:t>
      </w:r>
      <w:r w:rsidR="00EF6384" w:rsidRPr="00EF6384">
        <w:rPr>
          <w:iCs/>
          <w:lang w:val="fr-FR"/>
        </w:rPr>
        <w:t>l mais ne dépassant pas</w:t>
      </w:r>
      <w:r>
        <w:rPr>
          <w:iCs/>
          <w:lang w:val="fr-FR"/>
        </w:rPr>
        <w:t xml:space="preserve"> </w:t>
      </w:r>
      <w:r w:rsidR="007B2B90">
        <w:rPr>
          <w:iCs/>
          <w:lang w:val="fr-FR"/>
        </w:rPr>
        <w:t>1 </w:t>
      </w:r>
      <w:r w:rsidR="007C5B7B">
        <w:rPr>
          <w:iCs/>
          <w:lang w:val="fr-FR"/>
        </w:rPr>
        <w:t>000 </w:t>
      </w:r>
      <w:r w:rsidR="00EF6384" w:rsidRPr="00EF6384">
        <w:rPr>
          <w:iCs/>
          <w:lang w:val="fr-FR"/>
        </w:rPr>
        <w:t xml:space="preserve">l (par exemple, un récipient cylindrique équipé de cercles de roulage, des sphères sur patins); </w:t>
      </w:r>
    </w:p>
    <w:p w:rsidR="00EF6384" w:rsidRPr="00EF6384" w:rsidRDefault="00684C99" w:rsidP="00EF6384">
      <w:pPr>
        <w:pStyle w:val="SingleTxt"/>
        <w:rPr>
          <w:lang w:val="fr-FR"/>
        </w:rPr>
      </w:pPr>
      <w:r w:rsidRPr="00684C99">
        <w:rPr>
          <w:lang w:val="fr-FR"/>
        </w:rPr>
        <w:t>«</w:t>
      </w:r>
      <w:r>
        <w:rPr>
          <w:i/>
          <w:lang w:val="fr-FR"/>
        </w:rPr>
        <w:t> </w:t>
      </w:r>
      <w:r w:rsidR="00EF6384" w:rsidRPr="00EF6384">
        <w:rPr>
          <w:i/>
          <w:lang w:val="fr-FR"/>
        </w:rPr>
        <w:t>Récipient à pression</w:t>
      </w:r>
      <w:r>
        <w:rPr>
          <w:i/>
          <w:lang w:val="fr-FR"/>
        </w:rPr>
        <w:t> </w:t>
      </w:r>
      <w:r w:rsidRPr="00684C99">
        <w:rPr>
          <w:lang w:val="fr-FR"/>
        </w:rPr>
        <w:t>»</w:t>
      </w:r>
      <w:r w:rsidR="00EF6384" w:rsidRPr="00684C99">
        <w:rPr>
          <w:lang w:val="fr-FR"/>
        </w:rPr>
        <w:t>,</w:t>
      </w:r>
      <w:r w:rsidR="00EF6384" w:rsidRPr="00EF6384">
        <w:rPr>
          <w:i/>
          <w:lang w:val="fr-FR"/>
        </w:rPr>
        <w:t xml:space="preserve"> </w:t>
      </w:r>
      <w:r w:rsidR="00EF6384" w:rsidRPr="00EF6384">
        <w:rPr>
          <w:lang w:val="fr-FR"/>
        </w:rPr>
        <w:t xml:space="preserve">un </w:t>
      </w:r>
      <w:r w:rsidR="00EF6384" w:rsidRPr="00EF6384">
        <w:rPr>
          <w:u w:val="single"/>
          <w:lang w:val="fr-FR"/>
        </w:rPr>
        <w:t>récipient transportable destiné à contenir des substances sous pression, y compris sa ou ses fermeture(s) et tout autre équipement de service et un</w:t>
      </w:r>
      <w:r w:rsidR="00EF6384" w:rsidRPr="007C5B7B">
        <w:t xml:space="preserve"> </w:t>
      </w:r>
      <w:r w:rsidR="00EF6384" w:rsidRPr="00EF6384">
        <w:rPr>
          <w:lang w:val="fr-FR"/>
        </w:rPr>
        <w:t>terme générique pour une bouteille, un tube, un fût à pression, un récipient cryogénique fermé, un dispositif de stockage à hydrure métallique, un cadre de bouteilles ou un récipient à pression de secours;</w:t>
      </w:r>
    </w:p>
    <w:p w:rsidR="00EF6384" w:rsidRPr="00EF6384" w:rsidRDefault="00684C99" w:rsidP="00EF6384">
      <w:pPr>
        <w:pStyle w:val="SingleTxt"/>
        <w:rPr>
          <w:u w:val="single"/>
          <w:lang w:val="fr-FR"/>
        </w:rPr>
      </w:pPr>
      <w:r w:rsidRPr="00684C99">
        <w:rPr>
          <w:u w:val="single"/>
        </w:rPr>
        <w:t>« </w:t>
      </w:r>
      <w:r w:rsidR="00EF6384" w:rsidRPr="00EF6384">
        <w:rPr>
          <w:i/>
          <w:u w:val="single"/>
          <w:lang w:val="fr-FR"/>
        </w:rPr>
        <w:t>Enveloppe de récipient à pression</w:t>
      </w:r>
      <w:r>
        <w:rPr>
          <w:i/>
          <w:u w:val="single"/>
          <w:lang w:val="fr-FR"/>
        </w:rPr>
        <w:t> </w:t>
      </w:r>
      <w:r w:rsidRPr="00684C99">
        <w:rPr>
          <w:u w:val="single"/>
          <w:lang w:val="fr-FR"/>
        </w:rPr>
        <w:t>»</w:t>
      </w:r>
      <w:r w:rsidR="00EF6384" w:rsidRPr="00EF6384">
        <w:rPr>
          <w:i/>
          <w:u w:val="single"/>
          <w:lang w:val="fr-FR"/>
        </w:rPr>
        <w:t xml:space="preserve">, </w:t>
      </w:r>
      <w:r w:rsidR="00EF6384" w:rsidRPr="00EF6384">
        <w:rPr>
          <w:u w:val="single"/>
          <w:lang w:val="fr-FR"/>
        </w:rPr>
        <w:t>une bouteille, un tube, un fût à pression ou un récipient à pression de secours sans ses fermetures ou autre équipement de service, mais avec tout dispositif indémontable (par exemple collerette, frette de pied, etc.);</w:t>
      </w:r>
    </w:p>
    <w:p w:rsidR="00EF6384" w:rsidRPr="00EF6384" w:rsidRDefault="00EF6384" w:rsidP="00EF6384">
      <w:pPr>
        <w:pStyle w:val="SingleTxt"/>
        <w:rPr>
          <w:i/>
          <w:u w:val="single"/>
          <w:lang w:val="fr-FR"/>
        </w:rPr>
      </w:pPr>
      <w:r w:rsidRPr="00EF6384">
        <w:rPr>
          <w:b/>
          <w:i/>
          <w:u w:val="single"/>
          <w:lang w:val="fr-FR"/>
        </w:rPr>
        <w:t>NOTA</w:t>
      </w:r>
      <w:r w:rsidR="00287FF9">
        <w:rPr>
          <w:i/>
          <w:u w:val="single"/>
          <w:lang w:val="fr-FR"/>
        </w:rPr>
        <w:t> </w:t>
      </w:r>
      <w:r w:rsidR="00684C99" w:rsidRPr="00C1797A">
        <w:rPr>
          <w:i/>
          <w:u w:val="single"/>
          <w:lang w:val="fr-FR"/>
        </w:rPr>
        <w:t>:</w:t>
      </w:r>
      <w:r w:rsidRPr="00EF6384">
        <w:rPr>
          <w:b/>
          <w:i/>
          <w:u w:val="single"/>
          <w:lang w:val="fr-FR"/>
        </w:rPr>
        <w:t xml:space="preserve"> </w:t>
      </w:r>
      <w:r w:rsidRPr="00EF6384">
        <w:rPr>
          <w:i/>
          <w:u w:val="single"/>
          <w:lang w:val="fr-FR"/>
        </w:rPr>
        <w:t xml:space="preserve">Les termes </w:t>
      </w:r>
      <w:r w:rsidR="00684C99">
        <w:rPr>
          <w:i/>
          <w:u w:val="single"/>
          <w:lang w:val="fr-FR"/>
        </w:rPr>
        <w:t>« </w:t>
      </w:r>
      <w:r w:rsidRPr="00EF6384">
        <w:rPr>
          <w:i/>
          <w:u w:val="single"/>
          <w:lang w:val="fr-FR"/>
        </w:rPr>
        <w:t>enveloppe de bouteille</w:t>
      </w:r>
      <w:r w:rsidR="00684C99">
        <w:rPr>
          <w:i/>
          <w:u w:val="single"/>
          <w:lang w:val="fr-FR"/>
        </w:rPr>
        <w:t> »</w:t>
      </w:r>
      <w:r w:rsidRPr="00EF6384">
        <w:rPr>
          <w:i/>
          <w:u w:val="single"/>
          <w:lang w:val="fr-FR"/>
        </w:rPr>
        <w:t xml:space="preserve">, </w:t>
      </w:r>
      <w:r w:rsidR="00684C99">
        <w:rPr>
          <w:i/>
          <w:u w:val="single"/>
          <w:lang w:val="fr-FR"/>
        </w:rPr>
        <w:t>« </w:t>
      </w:r>
      <w:r w:rsidRPr="00EF6384">
        <w:rPr>
          <w:i/>
          <w:u w:val="single"/>
          <w:lang w:val="fr-FR"/>
        </w:rPr>
        <w:t>enveloppe de fût à pression</w:t>
      </w:r>
      <w:r w:rsidR="00684C99">
        <w:rPr>
          <w:i/>
          <w:u w:val="single"/>
          <w:lang w:val="fr-FR"/>
        </w:rPr>
        <w:t> »</w:t>
      </w:r>
      <w:r w:rsidRPr="00EF6384">
        <w:rPr>
          <w:i/>
          <w:u w:val="single"/>
          <w:lang w:val="fr-FR"/>
        </w:rPr>
        <w:t xml:space="preserve"> et </w:t>
      </w:r>
      <w:r w:rsidR="00684C99">
        <w:rPr>
          <w:i/>
          <w:u w:val="single"/>
          <w:lang w:val="fr-FR"/>
        </w:rPr>
        <w:t>« </w:t>
      </w:r>
      <w:r w:rsidRPr="00EF6384">
        <w:rPr>
          <w:i/>
          <w:u w:val="single"/>
          <w:lang w:val="fr-FR"/>
        </w:rPr>
        <w:t>enveloppe de tube</w:t>
      </w:r>
      <w:r w:rsidR="00684C99">
        <w:rPr>
          <w:i/>
          <w:u w:val="single"/>
          <w:lang w:val="fr-FR"/>
        </w:rPr>
        <w:t> »</w:t>
      </w:r>
      <w:r w:rsidRPr="00EF6384">
        <w:rPr>
          <w:i/>
          <w:u w:val="single"/>
          <w:lang w:val="fr-FR"/>
        </w:rPr>
        <w:t xml:space="preserve"> sont également </w:t>
      </w:r>
      <w:proofErr w:type="gramStart"/>
      <w:r w:rsidRPr="00EF6384">
        <w:rPr>
          <w:i/>
          <w:u w:val="single"/>
          <w:lang w:val="fr-FR"/>
        </w:rPr>
        <w:t>utilisées</w:t>
      </w:r>
      <w:proofErr w:type="gramEnd"/>
      <w:r w:rsidRPr="00EF6384">
        <w:rPr>
          <w:i/>
          <w:u w:val="single"/>
          <w:lang w:val="fr-FR"/>
        </w:rPr>
        <w:t>.</w:t>
      </w:r>
    </w:p>
    <w:p w:rsidR="00EF6384" w:rsidRPr="00EF6384" w:rsidRDefault="00684C99" w:rsidP="00EF6384">
      <w:pPr>
        <w:pStyle w:val="SingleTxt"/>
        <w:rPr>
          <w:lang w:val="fr-FR"/>
        </w:rPr>
      </w:pPr>
      <w:r w:rsidRPr="00684C99">
        <w:t>« </w:t>
      </w:r>
      <w:r w:rsidR="00EF6384" w:rsidRPr="00EF6384">
        <w:rPr>
          <w:i/>
          <w:lang w:val="fr-FR"/>
        </w:rPr>
        <w:t>Tube</w:t>
      </w:r>
      <w:r>
        <w:rPr>
          <w:i/>
          <w:lang w:val="fr-FR"/>
        </w:rPr>
        <w:t> </w:t>
      </w:r>
      <w:r w:rsidRPr="00684C99">
        <w:t>»</w:t>
      </w:r>
      <w:r w:rsidR="00287FF9">
        <w:rPr>
          <w:lang w:val="fr-FR"/>
        </w:rPr>
        <w:t xml:space="preserve"> (classe </w:t>
      </w:r>
      <w:r w:rsidR="00EF6384" w:rsidRPr="00EF6384">
        <w:rPr>
          <w:lang w:val="fr-FR"/>
        </w:rPr>
        <w:t xml:space="preserve">2), un récipient à pression </w:t>
      </w:r>
      <w:r w:rsidR="00EF6384" w:rsidRPr="007B2B90">
        <w:rPr>
          <w:strike/>
          <w:lang w:val="fr-FR"/>
        </w:rPr>
        <w:t>transportable</w:t>
      </w:r>
      <w:r w:rsidR="00EF6384" w:rsidRPr="00EF6384">
        <w:rPr>
          <w:lang w:val="fr-FR"/>
        </w:rPr>
        <w:t xml:space="preserve"> sans soudure d’une con</w:t>
      </w:r>
      <w:r w:rsidR="00287FF9">
        <w:rPr>
          <w:lang w:val="fr-FR"/>
        </w:rPr>
        <w:t>tenance en eau supérieure à 150 l mais ne dépassant pas 3 </w:t>
      </w:r>
      <w:r w:rsidR="00EF6384" w:rsidRPr="00EF6384">
        <w:rPr>
          <w:lang w:val="fr-FR"/>
        </w:rPr>
        <w:t>000 l;</w:t>
      </w:r>
    </w:p>
    <w:p w:rsidR="00EF6384" w:rsidRPr="0076376C" w:rsidRDefault="00684C99" w:rsidP="00287FF9">
      <w:pPr>
        <w:pStyle w:val="SingleTxt"/>
        <w:keepNext/>
        <w:keepLines/>
        <w:rPr>
          <w:lang w:val="fr-FR"/>
        </w:rPr>
      </w:pPr>
      <w:r>
        <w:t>« </w:t>
      </w:r>
      <w:r w:rsidR="007C20D1" w:rsidRPr="0076376C">
        <w:rPr>
          <w:i/>
          <w:lang w:val="fr-FR"/>
        </w:rPr>
        <w:t>É</w:t>
      </w:r>
      <w:r w:rsidR="00EF6384" w:rsidRPr="0076376C">
        <w:rPr>
          <w:i/>
          <w:lang w:val="fr-FR"/>
        </w:rPr>
        <w:t>quipement de service</w:t>
      </w:r>
      <w:r>
        <w:t> »</w:t>
      </w:r>
    </w:p>
    <w:p w:rsidR="00EF6384" w:rsidRPr="00EF6384" w:rsidRDefault="008C7ADF" w:rsidP="00D721C4">
      <w:pPr>
        <w:pStyle w:val="SingleTxt"/>
        <w:ind w:left="2218" w:hanging="951"/>
        <w:rPr>
          <w:lang w:val="fr-FR"/>
        </w:rPr>
      </w:pPr>
      <w:r>
        <w:rPr>
          <w:lang w:val="fr-FR"/>
        </w:rPr>
        <w:tab/>
        <w:t>a)</w:t>
      </w:r>
      <w:r>
        <w:rPr>
          <w:lang w:val="fr-FR"/>
        </w:rPr>
        <w:tab/>
      </w:r>
      <w:r w:rsidR="00BD53E7">
        <w:rPr>
          <w:lang w:val="fr-FR"/>
        </w:rPr>
        <w:t>D</w:t>
      </w:r>
      <w:r w:rsidR="00EF6384" w:rsidRPr="00EF6384">
        <w:rPr>
          <w:lang w:val="fr-FR"/>
        </w:rPr>
        <w:t>e la citerne, les dispositifs de remplissage, de vidange, de respiration, de sécurité, de chauffage et d’isolation thermique, les dispositifs pour additifs ainsi que les instruments de mesure;</w:t>
      </w:r>
    </w:p>
    <w:p w:rsidR="00EF6384" w:rsidRPr="00EF6384" w:rsidRDefault="008C7ADF" w:rsidP="00D721C4">
      <w:pPr>
        <w:pStyle w:val="SingleTxt"/>
        <w:ind w:left="2218" w:hanging="951"/>
        <w:rPr>
          <w:lang w:val="fr-FR"/>
        </w:rPr>
      </w:pPr>
      <w:r>
        <w:rPr>
          <w:lang w:val="fr-FR"/>
        </w:rPr>
        <w:tab/>
      </w:r>
      <w:r w:rsidR="00EF6384" w:rsidRPr="00EF6384">
        <w:rPr>
          <w:lang w:val="fr-FR"/>
        </w:rPr>
        <w:t>b)</w:t>
      </w:r>
      <w:r w:rsidR="00EF6384" w:rsidRPr="00EF6384">
        <w:rPr>
          <w:lang w:val="fr-FR"/>
        </w:rPr>
        <w:tab/>
      </w:r>
      <w:r w:rsidR="00BD53E7">
        <w:rPr>
          <w:lang w:val="fr-FR"/>
        </w:rPr>
        <w:t>D</w:t>
      </w:r>
      <w:r w:rsidR="00EF6384" w:rsidRPr="00EF6384">
        <w:rPr>
          <w:lang w:val="fr-FR"/>
        </w:rPr>
        <w:t>es éléments d’un véhicule-batterie ou d’un CGEM, les dispositifs de remplissage et de vidange, y compris le tube collecteur, les dispositifs de sécurité ainsi que les instruments de mesure;</w:t>
      </w:r>
    </w:p>
    <w:p w:rsidR="00EF6384" w:rsidRPr="00EF6384" w:rsidRDefault="00684C99" w:rsidP="00D721C4">
      <w:pPr>
        <w:pStyle w:val="SingleTxt"/>
        <w:ind w:left="2218" w:hanging="951"/>
        <w:rPr>
          <w:lang w:val="fr-FR"/>
        </w:rPr>
      </w:pPr>
      <w:r>
        <w:rPr>
          <w:lang w:val="fr-FR"/>
        </w:rPr>
        <w:tab/>
      </w:r>
      <w:r w:rsidR="00EF6384" w:rsidRPr="00EF6384">
        <w:rPr>
          <w:lang w:val="fr-FR"/>
        </w:rPr>
        <w:t>c)</w:t>
      </w:r>
      <w:r w:rsidR="00EF6384" w:rsidRPr="00EF6384">
        <w:rPr>
          <w:lang w:val="fr-FR"/>
        </w:rPr>
        <w:tab/>
      </w:r>
      <w:r w:rsidR="00BD53E7">
        <w:rPr>
          <w:lang w:val="fr-FR"/>
        </w:rPr>
        <w:t>D</w:t>
      </w:r>
      <w:r w:rsidR="00EF6384" w:rsidRPr="00EF6384">
        <w:rPr>
          <w:lang w:val="fr-FR"/>
        </w:rPr>
        <w:t>’un GRV, les dispositifs de remplissage, de vidange et, le cas échéant, les dispositifs de décompression ou d’aération, les dispositifs de sécurité, de réchauffage et d’isolation thermique ainsi que les instruments de mesure;</w:t>
      </w:r>
    </w:p>
    <w:p w:rsidR="00EF6384" w:rsidRPr="00EF6384" w:rsidRDefault="00684C99" w:rsidP="00D721C4">
      <w:pPr>
        <w:pStyle w:val="SingleTxt"/>
        <w:ind w:left="2218" w:hanging="951"/>
        <w:rPr>
          <w:u w:val="single"/>
          <w:lang w:val="fr-FR"/>
        </w:rPr>
      </w:pPr>
      <w:r w:rsidRPr="008C7ADF">
        <w:tab/>
      </w:r>
      <w:r w:rsidR="00EF6384" w:rsidRPr="00EF6384">
        <w:rPr>
          <w:u w:val="single"/>
          <w:lang w:val="fr-FR"/>
        </w:rPr>
        <w:t>d)</w:t>
      </w:r>
      <w:r w:rsidR="00EF6384" w:rsidRPr="00EF6384">
        <w:rPr>
          <w:u w:val="single"/>
          <w:lang w:val="fr-FR"/>
        </w:rPr>
        <w:tab/>
      </w:r>
      <w:r w:rsidR="00BD53E7">
        <w:rPr>
          <w:u w:val="single"/>
          <w:lang w:val="fr-FR"/>
        </w:rPr>
        <w:t>D</w:t>
      </w:r>
      <w:r w:rsidR="00EF6384" w:rsidRPr="00EF6384">
        <w:rPr>
          <w:u w:val="single"/>
          <w:lang w:val="fr-FR"/>
        </w:rPr>
        <w:t xml:space="preserve">’un récipient à pression, les fermeture(s), collecteur(s), tubulures, matières poreuses, absorbantes ou </w:t>
      </w:r>
      <w:proofErr w:type="spellStart"/>
      <w:r w:rsidR="00EF6384" w:rsidRPr="00EF6384">
        <w:rPr>
          <w:u w:val="single"/>
          <w:lang w:val="fr-FR"/>
        </w:rPr>
        <w:t>adsorbantes</w:t>
      </w:r>
      <w:proofErr w:type="spellEnd"/>
      <w:r w:rsidR="00EF6384" w:rsidRPr="00EF6384">
        <w:rPr>
          <w:u w:val="single"/>
          <w:lang w:val="fr-FR"/>
        </w:rPr>
        <w:t xml:space="preserve"> ainsi que tous dispositifs structuraux, par exemple pour la manutention </w:t>
      </w:r>
    </w:p>
    <w:p w:rsidR="00EF6384" w:rsidRPr="00EF6384" w:rsidRDefault="00684C99" w:rsidP="007E1E8C">
      <w:pPr>
        <w:pStyle w:val="SingleTxt"/>
        <w:rPr>
          <w:u w:val="single"/>
          <w:lang w:val="fr-FR"/>
        </w:rPr>
      </w:pPr>
      <w:r w:rsidRPr="008C7ADF">
        <w:rPr>
          <w:u w:val="single"/>
          <w:lang w:val="fr-FR"/>
        </w:rPr>
        <w:t>« </w:t>
      </w:r>
      <w:r w:rsidR="00EF6384" w:rsidRPr="00EF6384">
        <w:rPr>
          <w:i/>
          <w:u w:val="single"/>
          <w:lang w:val="fr-FR"/>
        </w:rPr>
        <w:t>Enveloppe</w:t>
      </w:r>
      <w:r>
        <w:rPr>
          <w:i/>
          <w:u w:val="single"/>
          <w:lang w:val="fr-FR"/>
        </w:rPr>
        <w:t> </w:t>
      </w:r>
      <w:r w:rsidRPr="008C7ADF">
        <w:rPr>
          <w:u w:val="single"/>
          <w:lang w:val="fr-FR"/>
        </w:rPr>
        <w:t>»</w:t>
      </w:r>
      <w:r w:rsidR="00EF6384" w:rsidRPr="008C7ADF">
        <w:rPr>
          <w:u w:val="single"/>
          <w:lang w:val="fr-FR"/>
        </w:rPr>
        <w:t xml:space="preserve"> </w:t>
      </w:r>
      <w:r w:rsidR="00EF6384" w:rsidRPr="00EF6384">
        <w:rPr>
          <w:u w:val="single"/>
          <w:lang w:val="fr-FR"/>
        </w:rPr>
        <w:t xml:space="preserve">(pour les récipients à pression), voir </w:t>
      </w:r>
      <w:r>
        <w:rPr>
          <w:u w:val="single"/>
          <w:lang w:val="fr-FR"/>
        </w:rPr>
        <w:t>« </w:t>
      </w:r>
      <w:r w:rsidR="00EF6384" w:rsidRPr="00EF6384">
        <w:rPr>
          <w:i/>
          <w:u w:val="single"/>
          <w:lang w:val="fr-FR"/>
        </w:rPr>
        <w:t>Enveloppe de récipient à pression</w:t>
      </w:r>
      <w:r>
        <w:rPr>
          <w:i/>
          <w:u w:val="single"/>
          <w:lang w:val="fr-FR"/>
        </w:rPr>
        <w:t> </w:t>
      </w:r>
      <w:r w:rsidRPr="008C7ADF">
        <w:rPr>
          <w:u w:val="single"/>
          <w:lang w:val="fr-FR"/>
        </w:rPr>
        <w:t>»</w:t>
      </w:r>
      <w:r w:rsidR="00EF6384" w:rsidRPr="008C7ADF">
        <w:rPr>
          <w:u w:val="single"/>
          <w:lang w:val="fr-FR"/>
        </w:rPr>
        <w:t>;</w:t>
      </w:r>
    </w:p>
    <w:p w:rsidR="00EF6384" w:rsidRPr="00EF6384" w:rsidRDefault="00684C99" w:rsidP="0090670A">
      <w:pPr>
        <w:pStyle w:val="SingleTxt"/>
        <w:keepNext/>
        <w:keepLines/>
        <w:rPr>
          <w:i/>
          <w:lang w:val="fr-FR"/>
        </w:rPr>
      </w:pPr>
      <w:r w:rsidRPr="0090670A">
        <w:rPr>
          <w:lang w:val="fr-FR"/>
        </w:rPr>
        <w:t>« </w:t>
      </w:r>
      <w:r w:rsidR="00EF6384" w:rsidRPr="00EF6384">
        <w:rPr>
          <w:i/>
          <w:lang w:val="fr-FR"/>
        </w:rPr>
        <w:t>Pression de service</w:t>
      </w:r>
      <w:r>
        <w:rPr>
          <w:i/>
          <w:lang w:val="fr-FR"/>
        </w:rPr>
        <w:t> </w:t>
      </w:r>
      <w:r w:rsidRPr="0090670A">
        <w:rPr>
          <w:lang w:val="fr-FR"/>
        </w:rPr>
        <w:t>»</w:t>
      </w:r>
    </w:p>
    <w:p w:rsidR="00EF6384" w:rsidRPr="00EF6384" w:rsidRDefault="0090670A" w:rsidP="00D721C4">
      <w:pPr>
        <w:pStyle w:val="SingleTxt"/>
        <w:ind w:left="2218" w:hanging="951"/>
        <w:rPr>
          <w:lang w:val="fr-FR"/>
        </w:rPr>
      </w:pPr>
      <w:r w:rsidRPr="0090670A">
        <w:tab/>
      </w:r>
      <w:r w:rsidR="00EF6384" w:rsidRPr="00EF6384">
        <w:rPr>
          <w:u w:val="single"/>
          <w:lang w:val="fr-FR"/>
        </w:rPr>
        <w:t>a)</w:t>
      </w:r>
      <w:r w:rsidR="00EF6384" w:rsidRPr="00EF6384">
        <w:rPr>
          <w:u w:val="single"/>
          <w:lang w:val="fr-FR"/>
        </w:rPr>
        <w:tab/>
        <w:t>Pour un gaz comprimé</w:t>
      </w:r>
      <w:r w:rsidR="00EF6384" w:rsidRPr="00EF6384">
        <w:rPr>
          <w:lang w:val="fr-FR"/>
        </w:rPr>
        <w:t xml:space="preserve">, la pression stabilisée </w:t>
      </w:r>
      <w:r w:rsidR="00EF6384" w:rsidRPr="009A41C9">
        <w:rPr>
          <w:strike/>
          <w:lang w:val="fr-FR"/>
        </w:rPr>
        <w:t>d’un gaz comprimé</w:t>
      </w:r>
      <w:r w:rsidR="00EF6384" w:rsidRPr="00EF6384">
        <w:rPr>
          <w:lang w:val="fr-FR"/>
        </w:rPr>
        <w:t xml:space="preserve"> à la</w:t>
      </w:r>
      <w:r>
        <w:rPr>
          <w:lang w:val="fr-FR"/>
        </w:rPr>
        <w:t xml:space="preserve"> température de référence de 15 </w:t>
      </w:r>
      <w:r w:rsidR="00EF6384" w:rsidRPr="00EF6384">
        <w:rPr>
          <w:lang w:val="fr-FR"/>
        </w:rPr>
        <w:t>°C dans un récipient à pression plein;</w:t>
      </w:r>
    </w:p>
    <w:p w:rsidR="00EF6384" w:rsidRDefault="0090670A" w:rsidP="00D721C4">
      <w:pPr>
        <w:pStyle w:val="SingleTxt"/>
        <w:ind w:left="2218" w:hanging="951"/>
        <w:rPr>
          <w:u w:val="single"/>
          <w:lang w:val="fr-FR"/>
        </w:rPr>
      </w:pPr>
      <w:r w:rsidRPr="0090670A">
        <w:lastRenderedPageBreak/>
        <w:tab/>
      </w:r>
      <w:r w:rsidR="00EF6384" w:rsidRPr="00EF6384">
        <w:rPr>
          <w:u w:val="single"/>
          <w:lang w:val="fr-FR"/>
        </w:rPr>
        <w:t>b)</w:t>
      </w:r>
      <w:r w:rsidR="00EF6384" w:rsidRPr="00EF6384">
        <w:rPr>
          <w:u w:val="single"/>
          <w:lang w:val="fr-FR"/>
        </w:rPr>
        <w:tab/>
        <w:t>Pour l’acétylène, la pression stabilisée calculée à la</w:t>
      </w:r>
      <w:r>
        <w:rPr>
          <w:u w:val="single"/>
          <w:lang w:val="fr-FR"/>
        </w:rPr>
        <w:t xml:space="preserve"> température de référence de 15 </w:t>
      </w:r>
      <w:r w:rsidR="00EF6384" w:rsidRPr="00EF6384">
        <w:rPr>
          <w:u w:val="single"/>
          <w:lang w:val="fr-FR"/>
        </w:rPr>
        <w:t>°C dans une bouteille d’acétylène contenant la teneur en solvant spécifiée et la quantité maximale d’acétylène;</w:t>
      </w:r>
    </w:p>
    <w:p w:rsidR="0090670A" w:rsidRPr="0090670A" w:rsidRDefault="0090670A" w:rsidP="0090670A">
      <w:pPr>
        <w:pStyle w:val="SingleTxt"/>
        <w:spacing w:after="0" w:line="120" w:lineRule="exact"/>
        <w:ind w:left="1742" w:hanging="475"/>
        <w:rPr>
          <w:sz w:val="10"/>
          <w:u w:val="single"/>
          <w:lang w:val="fr-FR"/>
        </w:rPr>
      </w:pPr>
    </w:p>
    <w:p w:rsidR="0090670A" w:rsidRPr="0090670A" w:rsidRDefault="0090670A" w:rsidP="0090670A">
      <w:pPr>
        <w:pStyle w:val="SingleTxt"/>
        <w:spacing w:after="0" w:line="120" w:lineRule="exact"/>
        <w:ind w:left="1742" w:hanging="475"/>
        <w:rPr>
          <w:sz w:val="10"/>
          <w:u w:val="single"/>
          <w:lang w:val="fr-FR"/>
        </w:rPr>
      </w:pPr>
    </w:p>
    <w:p w:rsidR="00EF6384" w:rsidRDefault="0090670A" w:rsidP="0090670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Proposition </w:t>
      </w:r>
      <w:r w:rsidR="00EF6384" w:rsidRPr="00EF6384">
        <w:rPr>
          <w:lang w:val="fr-FR"/>
        </w:rPr>
        <w:t xml:space="preserve">2 </w:t>
      </w:r>
      <w:r>
        <w:rPr>
          <w:lang w:val="fr-FR"/>
        </w:rPr>
        <w:t>– Modifications aux paragraphes </w:t>
      </w:r>
      <w:r w:rsidR="00EF6384" w:rsidRPr="00EF6384">
        <w:rPr>
          <w:lang w:val="fr-FR"/>
        </w:rPr>
        <w:t xml:space="preserve">4.1.6, </w:t>
      </w:r>
      <w:r>
        <w:rPr>
          <w:lang w:val="fr-FR"/>
        </w:rPr>
        <w:br/>
        <w:t>5.2.1.9 et 5.4.1.2.2 </w:t>
      </w:r>
      <w:r w:rsidR="00EF6384" w:rsidRPr="00EF6384">
        <w:rPr>
          <w:lang w:val="fr-FR"/>
        </w:rPr>
        <w:t>b) du Règlement type</w:t>
      </w:r>
    </w:p>
    <w:p w:rsidR="0090670A" w:rsidRPr="0090670A" w:rsidRDefault="0090670A" w:rsidP="0090670A">
      <w:pPr>
        <w:pStyle w:val="SingleTxt"/>
        <w:spacing w:after="0" w:line="120" w:lineRule="exact"/>
        <w:rPr>
          <w:sz w:val="10"/>
          <w:lang w:val="fr-FR"/>
        </w:rPr>
      </w:pPr>
    </w:p>
    <w:p w:rsidR="0090670A" w:rsidRPr="0090670A" w:rsidRDefault="0090670A" w:rsidP="0090670A">
      <w:pPr>
        <w:pStyle w:val="SingleTxt"/>
        <w:spacing w:after="0" w:line="120" w:lineRule="exact"/>
        <w:rPr>
          <w:sz w:val="10"/>
          <w:lang w:val="fr-FR"/>
        </w:rPr>
      </w:pPr>
    </w:p>
    <w:p w:rsidR="00EF6384" w:rsidRPr="00EF6384" w:rsidRDefault="001B64B5" w:rsidP="0090670A">
      <w:pPr>
        <w:pStyle w:val="SingleTxt"/>
        <w:rPr>
          <w:lang w:val="fr-FR"/>
        </w:rPr>
      </w:pPr>
      <w:r>
        <w:rPr>
          <w:lang w:val="fr-FR"/>
        </w:rPr>
        <w:tab/>
      </w:r>
      <w:r w:rsidR="00EF6384" w:rsidRPr="00EF6384">
        <w:rPr>
          <w:lang w:val="fr-FR"/>
        </w:rPr>
        <w:t>Dans cette proposition et dans les suivantes, seules les modifications sont indiquées, pas le texte consolidé. Les phrases encadrées expliquent la modification qui précède.</w:t>
      </w:r>
    </w:p>
    <w:p w:rsidR="00EF6384" w:rsidRPr="00EF6384" w:rsidRDefault="00EF6384" w:rsidP="00D721C4">
      <w:pPr>
        <w:pStyle w:val="SingleTxt"/>
        <w:ind w:left="2218" w:hanging="951"/>
        <w:rPr>
          <w:lang w:val="fr-FR"/>
        </w:rPr>
      </w:pPr>
      <w:r w:rsidRPr="00EF6384">
        <w:rPr>
          <w:lang w:val="fr-FR"/>
        </w:rPr>
        <w:t>4.1.6.6</w:t>
      </w:r>
      <w:r w:rsidRPr="00EF6384">
        <w:rPr>
          <w:lang w:val="fr-FR"/>
        </w:rPr>
        <w:tab/>
        <w:t xml:space="preserve">Ajouter à la fin de la première phrase </w:t>
      </w:r>
      <w:r w:rsidR="00684C99">
        <w:rPr>
          <w:lang w:val="fr-FR"/>
        </w:rPr>
        <w:t>« </w:t>
      </w:r>
      <w:r w:rsidRPr="00EF6384">
        <w:rPr>
          <w:lang w:val="fr-FR"/>
        </w:rPr>
        <w:t>et en tenant compte de la pression nominale la plus basse de chaque composant</w:t>
      </w:r>
      <w:r w:rsidR="00684C99">
        <w:rPr>
          <w:lang w:val="fr-FR"/>
        </w:rPr>
        <w:t> »</w:t>
      </w:r>
      <w:r w:rsidRPr="00EF6384">
        <w:rPr>
          <w:lang w:val="fr-FR"/>
        </w:rPr>
        <w:t>.</w:t>
      </w:r>
    </w:p>
    <w:p w:rsidR="00EF6384" w:rsidRPr="00EF6384" w:rsidRDefault="00D721C4" w:rsidP="00D721C4">
      <w:pPr>
        <w:pStyle w:val="SingleTxt"/>
        <w:ind w:left="2218" w:hanging="951"/>
        <w:rPr>
          <w:lang w:val="fr-FR"/>
        </w:rPr>
      </w:pPr>
      <w:r>
        <w:rPr>
          <w:lang w:val="fr-FR"/>
        </w:rPr>
        <w:tab/>
      </w:r>
      <w:r>
        <w:rPr>
          <w:lang w:val="fr-FR"/>
        </w:rPr>
        <w:tab/>
      </w:r>
      <w:r w:rsidR="00EF6384" w:rsidRPr="00EF6384">
        <w:rPr>
          <w:lang w:val="fr-FR"/>
        </w:rPr>
        <w:t>Ajouter une nouvelle deuxième phrase ainsi conçue</w:t>
      </w:r>
      <w:r w:rsidR="00684C99">
        <w:rPr>
          <w:lang w:val="fr-FR"/>
        </w:rPr>
        <w:t xml:space="preserve"> :</w:t>
      </w:r>
      <w:r w:rsidR="00EF6384" w:rsidRPr="00EF6384">
        <w:rPr>
          <w:lang w:val="fr-FR"/>
        </w:rPr>
        <w:t xml:space="preserve"> </w:t>
      </w:r>
      <w:r w:rsidR="00684C99">
        <w:rPr>
          <w:lang w:val="fr-FR"/>
        </w:rPr>
        <w:t>« </w:t>
      </w:r>
      <w:r w:rsidR="00EF6384" w:rsidRPr="00EF6384">
        <w:rPr>
          <w:lang w:val="fr-FR"/>
        </w:rPr>
        <w:t>Un équipement de service dont la pression nominale est inférieure à celle d’autres composants doit néanmoins respecter les prescriptions du paragraphe 6.2.1.3.1</w:t>
      </w:r>
      <w:r w:rsidR="00684C99">
        <w:rPr>
          <w:lang w:val="fr-FR"/>
        </w:rPr>
        <w:t> »</w:t>
      </w:r>
      <w:r w:rsidR="00EF6384" w:rsidRPr="00EF6384">
        <w:rPr>
          <w:lang w:val="fr-FR"/>
        </w:rPr>
        <w:t>.</w:t>
      </w:r>
    </w:p>
    <w:p w:rsidR="00EF6384" w:rsidRDefault="00D721C4" w:rsidP="00D721C4">
      <w:pPr>
        <w:pStyle w:val="SingleTxt"/>
        <w:ind w:left="2218" w:hanging="951"/>
        <w:rPr>
          <w:lang w:val="fr-FR"/>
        </w:rPr>
      </w:pPr>
      <w:r>
        <w:rPr>
          <w:lang w:val="fr-FR"/>
        </w:rPr>
        <w:tab/>
      </w:r>
      <w:r>
        <w:rPr>
          <w:lang w:val="fr-FR"/>
        </w:rPr>
        <w:tab/>
      </w:r>
      <w:r w:rsidR="00EF6384" w:rsidRPr="00EF6384">
        <w:rPr>
          <w:lang w:val="fr-FR"/>
        </w:rPr>
        <w:t xml:space="preserve">Supprimer la dernière phrase : </w:t>
      </w:r>
      <w:r w:rsidR="00684C99">
        <w:rPr>
          <w:lang w:val="fr-FR"/>
        </w:rPr>
        <w:t>« </w:t>
      </w:r>
      <w:r w:rsidR="00EF6384" w:rsidRPr="00EF6384">
        <w:rPr>
          <w:lang w:val="fr-FR"/>
        </w:rPr>
        <w:t>Les cadres de bouteilles ne doivent pas être remplis au-delà de la pression de service la plus basse de toutes les bouteilles composant le cadre</w:t>
      </w:r>
      <w:r w:rsidR="00684C99">
        <w:rPr>
          <w:lang w:val="fr-FR"/>
        </w:rPr>
        <w:t> »</w:t>
      </w:r>
      <w:r w:rsidR="00EF6384" w:rsidRPr="00EF6384">
        <w:rPr>
          <w:lang w:val="fr-FR"/>
        </w:rPr>
        <w:t>.</w:t>
      </w:r>
    </w:p>
    <w:p w:rsidR="00220A6E" w:rsidRPr="00220A6E" w:rsidRDefault="00220A6E" w:rsidP="00220A6E">
      <w:pPr>
        <w:pStyle w:val="SingleTxt"/>
        <w:spacing w:after="0" w:line="120" w:lineRule="exact"/>
        <w:rPr>
          <w:sz w:val="10"/>
          <w:lang w:val="fr-FR"/>
        </w:rPr>
      </w:pPr>
    </w:p>
    <w:tbl>
      <w:tblPr>
        <w:tblW w:w="7574"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7574"/>
      </w:tblGrid>
      <w:tr w:rsidR="009A41C9" w:rsidTr="00220A6E">
        <w:tc>
          <w:tcPr>
            <w:tcW w:w="7574" w:type="dxa"/>
            <w:shd w:val="clear" w:color="auto" w:fill="auto"/>
          </w:tcPr>
          <w:p w:rsidR="009A41C9" w:rsidRPr="00DE45B6" w:rsidRDefault="009A41C9" w:rsidP="00DE45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rPr>
            </w:pPr>
          </w:p>
          <w:p w:rsidR="009A41C9" w:rsidRDefault="00C538A4" w:rsidP="00DE45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r>
              <w:rPr>
                <w:lang w:val="fr-FR"/>
              </w:rPr>
              <w:tab/>
            </w:r>
            <w:r w:rsidR="009A41C9" w:rsidRPr="00EF6384">
              <w:rPr>
                <w:lang w:val="fr-FR"/>
              </w:rPr>
              <w:t>L’ajout à la première phrase impose de tenir compte de la pression nominale la plus basse d’une bouteille dans un cadre lors du remplissage, une prescription</w:t>
            </w:r>
            <w:r w:rsidR="009A41C9">
              <w:rPr>
                <w:lang w:val="fr-FR"/>
              </w:rPr>
              <w:t xml:space="preserve"> </w:t>
            </w:r>
            <w:r w:rsidR="009A41C9" w:rsidRPr="00EF6384">
              <w:rPr>
                <w:lang w:val="fr-FR"/>
              </w:rPr>
              <w:t>applicable à tous les composants dans tous les récipients à pression, comme lorsqu’une bouteille de 300 bars est équipée d’un robinet de 200 bars. La dernière phrase supprimée devient dès lors superflue.</w:t>
            </w:r>
          </w:p>
        </w:tc>
      </w:tr>
      <w:tr w:rsidR="009A41C9" w:rsidTr="00220A6E">
        <w:trPr>
          <w:trHeight w:hRule="exact" w:val="115"/>
        </w:trPr>
        <w:tc>
          <w:tcPr>
            <w:tcW w:w="7574" w:type="dxa"/>
            <w:shd w:val="clear" w:color="auto" w:fill="auto"/>
          </w:tcPr>
          <w:p w:rsidR="009A41C9" w:rsidRDefault="009A41C9" w:rsidP="00DE45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bl>
    <w:p w:rsidR="009A41C9" w:rsidRPr="00220A6E" w:rsidRDefault="009A41C9" w:rsidP="00220A6E">
      <w:pPr>
        <w:pStyle w:val="SingleTxt"/>
        <w:tabs>
          <w:tab w:val="right" w:pos="1685"/>
        </w:tabs>
        <w:spacing w:after="0" w:line="120" w:lineRule="exact"/>
        <w:ind w:left="1742" w:hanging="475"/>
        <w:rPr>
          <w:sz w:val="10"/>
        </w:rPr>
      </w:pPr>
    </w:p>
    <w:p w:rsidR="00220A6E" w:rsidRPr="00220A6E" w:rsidRDefault="00220A6E" w:rsidP="00220A6E">
      <w:pPr>
        <w:pStyle w:val="SingleTxt"/>
        <w:tabs>
          <w:tab w:val="right" w:pos="1685"/>
        </w:tabs>
        <w:spacing w:after="0" w:line="120" w:lineRule="exact"/>
        <w:ind w:left="1742" w:hanging="475"/>
        <w:rPr>
          <w:sz w:val="10"/>
        </w:rPr>
      </w:pPr>
    </w:p>
    <w:p w:rsidR="00EF6384" w:rsidRPr="00EF6384" w:rsidRDefault="00EF6384" w:rsidP="00D721C4">
      <w:pPr>
        <w:pStyle w:val="SingleTxt"/>
        <w:ind w:left="1742" w:hanging="475"/>
        <w:rPr>
          <w:lang w:val="fr-FR"/>
        </w:rPr>
      </w:pPr>
      <w:r w:rsidRPr="00EF6384">
        <w:rPr>
          <w:lang w:val="fr-FR"/>
        </w:rPr>
        <w:t>4.1.6.10</w:t>
      </w:r>
      <w:r w:rsidRPr="00EF6384">
        <w:rPr>
          <w:lang w:val="fr-FR"/>
        </w:rPr>
        <w:tab/>
        <w:t xml:space="preserve">Dans la première phrase, ajouter </w:t>
      </w:r>
      <w:r w:rsidR="00684C99">
        <w:rPr>
          <w:lang w:val="fr-FR"/>
        </w:rPr>
        <w:t>« </w:t>
      </w:r>
      <w:r w:rsidRPr="00EF6384">
        <w:rPr>
          <w:lang w:val="fr-FR"/>
        </w:rPr>
        <w:t>fermé</w:t>
      </w:r>
      <w:r w:rsidR="00684C99">
        <w:rPr>
          <w:lang w:val="fr-FR"/>
        </w:rPr>
        <w:t> »</w:t>
      </w:r>
      <w:r w:rsidRPr="00EF6384">
        <w:rPr>
          <w:lang w:val="fr-FR"/>
        </w:rPr>
        <w:t xml:space="preserve"> après </w:t>
      </w:r>
      <w:r w:rsidR="00684C99">
        <w:rPr>
          <w:lang w:val="fr-FR"/>
        </w:rPr>
        <w:t>« </w:t>
      </w:r>
      <w:r w:rsidRPr="00EF6384">
        <w:rPr>
          <w:lang w:val="fr-FR"/>
        </w:rPr>
        <w:t>récipient cryogénique</w:t>
      </w:r>
      <w:r w:rsidR="00684C99">
        <w:rPr>
          <w:lang w:val="fr-FR"/>
        </w:rPr>
        <w:t> »</w:t>
      </w:r>
      <w:r w:rsidRPr="00EF6384">
        <w:rPr>
          <w:lang w:val="fr-FR"/>
        </w:rPr>
        <w:t>.</w:t>
      </w:r>
    </w:p>
    <w:p w:rsidR="00EF6384" w:rsidRPr="00EF6384" w:rsidRDefault="00EF6384" w:rsidP="00D721C4">
      <w:pPr>
        <w:pStyle w:val="SingleTxt"/>
        <w:ind w:left="2218" w:hanging="951"/>
        <w:rPr>
          <w:lang w:val="fr-FR"/>
        </w:rPr>
      </w:pPr>
      <w:r w:rsidRPr="00EF6384">
        <w:rPr>
          <w:lang w:val="fr-FR"/>
        </w:rPr>
        <w:t>5.2.1.9.1</w:t>
      </w:r>
      <w:r w:rsidRPr="00EF6384">
        <w:rPr>
          <w:lang w:val="fr-FR"/>
        </w:rPr>
        <w:tab/>
        <w:t xml:space="preserve">Au troisième alinéa, remplacer </w:t>
      </w:r>
      <w:r w:rsidR="00684C99">
        <w:rPr>
          <w:lang w:val="fr-FR"/>
        </w:rPr>
        <w:t>« </w:t>
      </w:r>
      <w:r w:rsidRPr="00EF6384">
        <w:rPr>
          <w:lang w:val="fr-FR"/>
        </w:rPr>
        <w:t>récipients cryogéniques</w:t>
      </w:r>
      <w:r w:rsidR="00684C99">
        <w:rPr>
          <w:lang w:val="fr-FR"/>
        </w:rPr>
        <w:t> »</w:t>
      </w:r>
      <w:r w:rsidRPr="00EF6384">
        <w:rPr>
          <w:lang w:val="fr-FR"/>
        </w:rPr>
        <w:t xml:space="preserve"> par </w:t>
      </w:r>
      <w:r w:rsidR="00684C99">
        <w:rPr>
          <w:lang w:val="fr-FR"/>
        </w:rPr>
        <w:t>« </w:t>
      </w:r>
      <w:r w:rsidRPr="00EF6384">
        <w:rPr>
          <w:lang w:val="fr-FR"/>
        </w:rPr>
        <w:t>récipients cryogéniques fermés et ouverts</w:t>
      </w:r>
      <w:r w:rsidR="00684C99">
        <w:rPr>
          <w:lang w:val="fr-FR"/>
        </w:rPr>
        <w:t> »</w:t>
      </w:r>
      <w:r w:rsidRPr="00EF6384">
        <w:rPr>
          <w:lang w:val="fr-FR"/>
        </w:rPr>
        <w:t>.</w:t>
      </w:r>
    </w:p>
    <w:p w:rsidR="00EF6384" w:rsidRPr="00EF6384" w:rsidRDefault="00EF6384" w:rsidP="00D721C4">
      <w:pPr>
        <w:pStyle w:val="SingleTxt"/>
        <w:ind w:left="2693" w:hanging="1426"/>
        <w:rPr>
          <w:lang w:val="fr-FR"/>
        </w:rPr>
      </w:pPr>
      <w:r w:rsidRPr="00EF6384">
        <w:rPr>
          <w:lang w:val="fr-FR"/>
        </w:rPr>
        <w:t xml:space="preserve">5.2.1.9.2 </w:t>
      </w:r>
      <w:r w:rsidR="00D721C4">
        <w:rPr>
          <w:lang w:val="fr-FR"/>
        </w:rPr>
        <w:tab/>
      </w:r>
      <w:r w:rsidR="00C40C57">
        <w:rPr>
          <w:lang w:val="fr-FR"/>
        </w:rPr>
        <w:t>a)</w:t>
      </w:r>
      <w:r w:rsidR="00D721C4">
        <w:rPr>
          <w:lang w:val="fr-FR"/>
        </w:rPr>
        <w:tab/>
      </w:r>
      <w:r w:rsidRPr="00EF6384">
        <w:rPr>
          <w:lang w:val="fr-FR"/>
        </w:rPr>
        <w:t xml:space="preserve">Remplacer </w:t>
      </w:r>
      <w:r w:rsidR="00684C99">
        <w:rPr>
          <w:lang w:val="fr-FR"/>
        </w:rPr>
        <w:t>« </w:t>
      </w:r>
      <w:r w:rsidRPr="00EF6384">
        <w:rPr>
          <w:lang w:val="fr-FR"/>
        </w:rPr>
        <w:t>récipients cryogéniques</w:t>
      </w:r>
      <w:r w:rsidR="00684C99">
        <w:rPr>
          <w:lang w:val="fr-FR"/>
        </w:rPr>
        <w:t> »</w:t>
      </w:r>
      <w:r w:rsidRPr="00EF6384">
        <w:rPr>
          <w:lang w:val="fr-FR"/>
        </w:rPr>
        <w:t xml:space="preserve"> par </w:t>
      </w:r>
      <w:r w:rsidR="00684C99">
        <w:rPr>
          <w:lang w:val="fr-FR"/>
        </w:rPr>
        <w:t>« </w:t>
      </w:r>
      <w:r w:rsidRPr="00EF6384">
        <w:rPr>
          <w:lang w:val="fr-FR"/>
        </w:rPr>
        <w:t>récipients cryogéniques fermés et ouverts</w:t>
      </w:r>
      <w:r w:rsidR="00684C99">
        <w:rPr>
          <w:lang w:val="fr-FR"/>
        </w:rPr>
        <w:t> »</w:t>
      </w:r>
      <w:r w:rsidRPr="00EF6384">
        <w:rPr>
          <w:lang w:val="fr-FR"/>
        </w:rPr>
        <w:t>.</w:t>
      </w:r>
    </w:p>
    <w:p w:rsidR="00EF6384" w:rsidRDefault="00EF6384" w:rsidP="00D721C4">
      <w:pPr>
        <w:pStyle w:val="SingleTxt"/>
        <w:ind w:left="2693" w:hanging="1426"/>
        <w:rPr>
          <w:lang w:val="fr-FR"/>
        </w:rPr>
      </w:pPr>
      <w:r w:rsidRPr="00EF6384">
        <w:rPr>
          <w:lang w:val="fr-FR"/>
        </w:rPr>
        <w:t xml:space="preserve">5.4.1.2.2 </w:t>
      </w:r>
      <w:r w:rsidR="00D721C4">
        <w:rPr>
          <w:lang w:val="fr-FR"/>
        </w:rPr>
        <w:tab/>
      </w:r>
      <w:r w:rsidR="00C40C57">
        <w:rPr>
          <w:lang w:val="fr-FR"/>
        </w:rPr>
        <w:t>b)</w:t>
      </w:r>
      <w:r w:rsidR="00D721C4">
        <w:rPr>
          <w:lang w:val="fr-FR"/>
        </w:rPr>
        <w:tab/>
      </w:r>
      <w:r w:rsidRPr="00EF6384">
        <w:rPr>
          <w:lang w:val="fr-FR"/>
        </w:rPr>
        <w:t xml:space="preserve">Remplacer </w:t>
      </w:r>
      <w:r w:rsidR="00684C99">
        <w:rPr>
          <w:lang w:val="fr-FR"/>
        </w:rPr>
        <w:t>« </w:t>
      </w:r>
      <w:r w:rsidRPr="00EF6384">
        <w:rPr>
          <w:lang w:val="fr-FR"/>
        </w:rPr>
        <w:t>récipients cryogéniques</w:t>
      </w:r>
      <w:r w:rsidR="00684C99">
        <w:rPr>
          <w:lang w:val="fr-FR"/>
        </w:rPr>
        <w:t> »</w:t>
      </w:r>
      <w:r w:rsidRPr="00EF6384">
        <w:rPr>
          <w:lang w:val="fr-FR"/>
        </w:rPr>
        <w:t xml:space="preserve"> par </w:t>
      </w:r>
      <w:r w:rsidR="00684C99">
        <w:rPr>
          <w:lang w:val="fr-FR"/>
        </w:rPr>
        <w:t>« </w:t>
      </w:r>
      <w:r w:rsidRPr="00EF6384">
        <w:rPr>
          <w:lang w:val="fr-FR"/>
        </w:rPr>
        <w:t>récipients cryogéniques fermés</w:t>
      </w:r>
      <w:r w:rsidR="00684C99">
        <w:rPr>
          <w:lang w:val="fr-FR"/>
        </w:rPr>
        <w:t> »</w:t>
      </w:r>
      <w:r w:rsidRPr="00EF6384">
        <w:rPr>
          <w:lang w:val="fr-FR"/>
        </w:rPr>
        <w:t>.</w:t>
      </w:r>
    </w:p>
    <w:p w:rsidR="00220A6E" w:rsidRPr="00220A6E" w:rsidRDefault="00220A6E" w:rsidP="00220A6E">
      <w:pPr>
        <w:pStyle w:val="SingleTxt"/>
        <w:spacing w:after="0" w:line="120" w:lineRule="exact"/>
        <w:rPr>
          <w:sz w:val="10"/>
          <w:lang w:val="fr-FR"/>
        </w:rPr>
      </w:pPr>
    </w:p>
    <w:tbl>
      <w:tblPr>
        <w:tblW w:w="7574"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7574"/>
      </w:tblGrid>
      <w:tr w:rsidR="00220A6E" w:rsidTr="00C30AB8">
        <w:tc>
          <w:tcPr>
            <w:tcW w:w="7574" w:type="dxa"/>
            <w:shd w:val="clear" w:color="auto" w:fill="auto"/>
          </w:tcPr>
          <w:p w:rsidR="00220A6E" w:rsidRPr="00DE45B6" w:rsidRDefault="00220A6E" w:rsidP="00C30AB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rPr>
            </w:pPr>
          </w:p>
          <w:p w:rsidR="00220A6E" w:rsidRDefault="00C40C57" w:rsidP="00C30AB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r>
              <w:rPr>
                <w:lang w:val="fr-FR"/>
              </w:rPr>
              <w:tab/>
            </w:r>
            <w:r w:rsidR="00220A6E" w:rsidRPr="00220A6E">
              <w:rPr>
                <w:lang w:val="fr-FR"/>
              </w:rPr>
              <w:t>Ces quatre modifications résultent de la modification de la définition des récipients cryogéniques.</w:t>
            </w:r>
          </w:p>
        </w:tc>
      </w:tr>
      <w:tr w:rsidR="00220A6E" w:rsidTr="00C30AB8">
        <w:trPr>
          <w:trHeight w:hRule="exact" w:val="115"/>
        </w:trPr>
        <w:tc>
          <w:tcPr>
            <w:tcW w:w="7574" w:type="dxa"/>
            <w:shd w:val="clear" w:color="auto" w:fill="auto"/>
          </w:tcPr>
          <w:p w:rsidR="00220A6E" w:rsidRDefault="00220A6E" w:rsidP="00C30AB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bl>
    <w:p w:rsidR="00220A6E" w:rsidRPr="00220A6E" w:rsidRDefault="00220A6E" w:rsidP="00220A6E">
      <w:pPr>
        <w:pStyle w:val="SingleTxt"/>
        <w:spacing w:after="0" w:line="120" w:lineRule="exact"/>
        <w:rPr>
          <w:sz w:val="10"/>
          <w:lang w:val="fr-FR"/>
        </w:rPr>
      </w:pPr>
    </w:p>
    <w:p w:rsidR="00220A6E" w:rsidRPr="00220A6E" w:rsidRDefault="00220A6E" w:rsidP="00220A6E">
      <w:pPr>
        <w:pStyle w:val="SingleTxt"/>
        <w:spacing w:after="0" w:line="120" w:lineRule="exact"/>
        <w:rPr>
          <w:sz w:val="10"/>
          <w:lang w:val="fr-FR"/>
        </w:rPr>
      </w:pPr>
    </w:p>
    <w:p w:rsidR="00EF6384" w:rsidRDefault="00B3102C" w:rsidP="00B3102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EF6384" w:rsidRPr="00EF6384">
        <w:rPr>
          <w:lang w:val="fr-FR"/>
        </w:rPr>
        <w:t>Proposition 3 – Modifications aux textes des sections 6.2.1</w:t>
      </w:r>
      <w:r>
        <w:rPr>
          <w:lang w:val="fr-FR"/>
        </w:rPr>
        <w:t xml:space="preserve"> </w:t>
      </w:r>
      <w:r>
        <w:rPr>
          <w:lang w:val="fr-FR"/>
        </w:rPr>
        <w:br/>
      </w:r>
      <w:r w:rsidR="00EF6384" w:rsidRPr="00EF6384">
        <w:rPr>
          <w:lang w:val="fr-FR"/>
        </w:rPr>
        <w:t>et 6.2.2 du Règlement type</w:t>
      </w:r>
    </w:p>
    <w:p w:rsidR="00B3102C" w:rsidRPr="00B3102C" w:rsidRDefault="00B3102C" w:rsidP="00B3102C">
      <w:pPr>
        <w:pStyle w:val="SingleTxt"/>
        <w:spacing w:after="0" w:line="120" w:lineRule="exact"/>
        <w:rPr>
          <w:sz w:val="10"/>
          <w:lang w:val="fr-FR"/>
        </w:rPr>
      </w:pPr>
    </w:p>
    <w:p w:rsidR="00B3102C" w:rsidRPr="00B3102C" w:rsidRDefault="00B3102C" w:rsidP="00B3102C">
      <w:pPr>
        <w:pStyle w:val="SingleTxt"/>
        <w:spacing w:after="0" w:line="120" w:lineRule="exact"/>
        <w:rPr>
          <w:sz w:val="10"/>
          <w:lang w:val="fr-FR"/>
        </w:rPr>
      </w:pPr>
    </w:p>
    <w:p w:rsidR="00EF6384" w:rsidRPr="00EF6384" w:rsidRDefault="00EF6384" w:rsidP="00EF6384">
      <w:pPr>
        <w:pStyle w:val="SingleTxt"/>
        <w:rPr>
          <w:lang w:val="fr-FR"/>
        </w:rPr>
      </w:pPr>
      <w:r w:rsidRPr="00EF6384">
        <w:rPr>
          <w:lang w:val="fr-FR"/>
        </w:rPr>
        <w:t>6.2.1.1.1</w:t>
      </w:r>
      <w:r w:rsidRPr="00EF6384">
        <w:rPr>
          <w:lang w:val="fr-FR"/>
        </w:rPr>
        <w:tab/>
        <w:t xml:space="preserve">Après </w:t>
      </w:r>
      <w:r w:rsidR="00684C99">
        <w:rPr>
          <w:lang w:val="fr-FR"/>
        </w:rPr>
        <w:t>« </w:t>
      </w:r>
      <w:r w:rsidRPr="00EF6384">
        <w:rPr>
          <w:lang w:val="fr-FR"/>
        </w:rPr>
        <w:t>récipients à pression</w:t>
      </w:r>
      <w:r w:rsidR="00684C99">
        <w:rPr>
          <w:lang w:val="fr-FR"/>
        </w:rPr>
        <w:t> »</w:t>
      </w:r>
      <w:r w:rsidRPr="00EF6384">
        <w:rPr>
          <w:bCs/>
          <w:lang w:val="fr-FR"/>
        </w:rPr>
        <w:t xml:space="preserve"> supprimer </w:t>
      </w:r>
      <w:r w:rsidR="00684C99">
        <w:rPr>
          <w:bCs/>
          <w:lang w:val="fr-FR"/>
        </w:rPr>
        <w:t>« </w:t>
      </w:r>
      <w:r w:rsidRPr="00EF6384">
        <w:rPr>
          <w:bCs/>
          <w:lang w:val="fr-FR"/>
        </w:rPr>
        <w:t>et leurs fermetures</w:t>
      </w:r>
      <w:r w:rsidR="00684C99">
        <w:rPr>
          <w:bCs/>
          <w:lang w:val="fr-FR"/>
        </w:rPr>
        <w:t> »</w:t>
      </w:r>
      <w:r w:rsidRPr="00EF6384">
        <w:rPr>
          <w:lang w:val="fr-FR"/>
        </w:rPr>
        <w:t xml:space="preserve">. </w:t>
      </w:r>
    </w:p>
    <w:p w:rsidR="00EF6384" w:rsidRDefault="00EF6384" w:rsidP="00EF6384">
      <w:pPr>
        <w:pStyle w:val="SingleTxt"/>
        <w:rPr>
          <w:lang w:val="fr-FR"/>
        </w:rPr>
      </w:pPr>
      <w:r w:rsidRPr="00EF6384">
        <w:rPr>
          <w:lang w:val="fr-FR"/>
        </w:rPr>
        <w:t>6.2.1.1.4</w:t>
      </w:r>
      <w:r w:rsidRPr="00EF6384">
        <w:rPr>
          <w:lang w:val="fr-FR"/>
        </w:rPr>
        <w:tab/>
        <w:t xml:space="preserve">Au milieu de la phrase, </w:t>
      </w:r>
      <w:proofErr w:type="gramStart"/>
      <w:r w:rsidRPr="00EF6384">
        <w:rPr>
          <w:lang w:val="fr-FR"/>
        </w:rPr>
        <w:t>remplacer</w:t>
      </w:r>
      <w:proofErr w:type="gramEnd"/>
      <w:r w:rsidRPr="00EF6384">
        <w:rPr>
          <w:lang w:val="fr-FR"/>
        </w:rPr>
        <w:t xml:space="preserve"> </w:t>
      </w:r>
      <w:r w:rsidR="00684C99">
        <w:rPr>
          <w:lang w:val="fr-FR"/>
        </w:rPr>
        <w:t>« </w:t>
      </w:r>
      <w:r w:rsidRPr="00EF6384">
        <w:rPr>
          <w:lang w:val="fr-FR"/>
        </w:rPr>
        <w:t>employer</w:t>
      </w:r>
      <w:r w:rsidR="00684C99">
        <w:rPr>
          <w:lang w:val="fr-FR"/>
        </w:rPr>
        <w:t> »</w:t>
      </w:r>
      <w:r w:rsidRPr="00EF6384">
        <w:rPr>
          <w:lang w:val="fr-FR"/>
        </w:rPr>
        <w:t xml:space="preserve"> par </w:t>
      </w:r>
      <w:r w:rsidR="00684C99">
        <w:rPr>
          <w:lang w:val="fr-FR"/>
        </w:rPr>
        <w:t>« </w:t>
      </w:r>
      <w:r w:rsidRPr="00EF6384">
        <w:rPr>
          <w:lang w:val="fr-FR"/>
        </w:rPr>
        <w:t>souder</w:t>
      </w:r>
      <w:r w:rsidR="00684C99">
        <w:rPr>
          <w:lang w:val="fr-FR"/>
        </w:rPr>
        <w:t> »</w:t>
      </w:r>
      <w:r w:rsidRPr="00EF6384">
        <w:rPr>
          <w:lang w:val="fr-FR"/>
        </w:rPr>
        <w:t xml:space="preserve">. </w:t>
      </w:r>
    </w:p>
    <w:p w:rsidR="00220A6E" w:rsidRPr="00220A6E" w:rsidRDefault="00220A6E" w:rsidP="00220A6E">
      <w:pPr>
        <w:pStyle w:val="SingleTxt"/>
        <w:spacing w:after="0" w:line="120" w:lineRule="exact"/>
        <w:rPr>
          <w:sz w:val="10"/>
          <w:lang w:val="fr-FR"/>
        </w:rPr>
      </w:pPr>
    </w:p>
    <w:tbl>
      <w:tblPr>
        <w:tblW w:w="7574"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7574"/>
      </w:tblGrid>
      <w:tr w:rsidR="00220A6E" w:rsidTr="00C30AB8">
        <w:tc>
          <w:tcPr>
            <w:tcW w:w="7574" w:type="dxa"/>
            <w:shd w:val="clear" w:color="auto" w:fill="auto"/>
          </w:tcPr>
          <w:p w:rsidR="00220A6E" w:rsidRPr="00DE45B6" w:rsidRDefault="00220A6E" w:rsidP="00C30AB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rPr>
            </w:pPr>
          </w:p>
          <w:p w:rsidR="00220A6E" w:rsidRPr="00220A6E" w:rsidRDefault="00B3102C" w:rsidP="00220A6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iCs/>
                <w:lang w:val="fr-FR"/>
              </w:rPr>
            </w:pPr>
            <w:r>
              <w:rPr>
                <w:iCs/>
                <w:lang w:val="fr-FR"/>
              </w:rPr>
              <w:tab/>
            </w:r>
            <w:r w:rsidR="00220A6E" w:rsidRPr="00EF6384">
              <w:rPr>
                <w:iCs/>
                <w:lang w:val="fr-FR"/>
              </w:rPr>
              <w:t xml:space="preserve">Un équipement de service pouvant ne pas nécessiter de soudure, il ne faut pas interdire les métaux non soudables. </w:t>
            </w:r>
          </w:p>
        </w:tc>
      </w:tr>
      <w:tr w:rsidR="00220A6E" w:rsidTr="00C30AB8">
        <w:trPr>
          <w:trHeight w:hRule="exact" w:val="115"/>
        </w:trPr>
        <w:tc>
          <w:tcPr>
            <w:tcW w:w="7574" w:type="dxa"/>
            <w:shd w:val="clear" w:color="auto" w:fill="auto"/>
          </w:tcPr>
          <w:p w:rsidR="00220A6E" w:rsidRDefault="00220A6E" w:rsidP="00C30AB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bl>
    <w:p w:rsidR="00220A6E" w:rsidRPr="00636C70" w:rsidRDefault="00220A6E" w:rsidP="00636C70">
      <w:pPr>
        <w:pStyle w:val="SingleTxt"/>
        <w:spacing w:after="0" w:line="120" w:lineRule="exact"/>
        <w:rPr>
          <w:sz w:val="10"/>
          <w:lang w:val="fr-FR"/>
        </w:rPr>
      </w:pPr>
    </w:p>
    <w:p w:rsidR="00636C70" w:rsidRPr="00636C70" w:rsidRDefault="00636C70" w:rsidP="00636C70">
      <w:pPr>
        <w:pStyle w:val="SingleTxt"/>
        <w:spacing w:after="0" w:line="120" w:lineRule="exact"/>
        <w:rPr>
          <w:sz w:val="10"/>
          <w:lang w:val="fr-FR"/>
        </w:rPr>
      </w:pPr>
    </w:p>
    <w:p w:rsidR="00EF6384" w:rsidRPr="00EF6384" w:rsidRDefault="00EF6384" w:rsidP="00B3102C">
      <w:pPr>
        <w:pStyle w:val="SingleTxt"/>
        <w:ind w:left="2218" w:hanging="951"/>
        <w:rPr>
          <w:lang w:val="fr-FR"/>
        </w:rPr>
      </w:pPr>
      <w:r w:rsidRPr="00EF6384">
        <w:rPr>
          <w:lang w:val="fr-FR"/>
        </w:rPr>
        <w:lastRenderedPageBreak/>
        <w:t>6.2.1.1.5</w:t>
      </w:r>
      <w:r w:rsidRPr="00EF6384">
        <w:rPr>
          <w:lang w:val="fr-FR"/>
        </w:rPr>
        <w:tab/>
        <w:t xml:space="preserve">Dans la première phrase, remplacer </w:t>
      </w:r>
      <w:r w:rsidR="00684C99">
        <w:rPr>
          <w:lang w:val="fr-FR"/>
        </w:rPr>
        <w:t>« </w:t>
      </w:r>
      <w:r w:rsidRPr="00EF6384">
        <w:rPr>
          <w:lang w:val="fr-FR"/>
        </w:rPr>
        <w:t>les bouteilles, les tubes, les fûts à pression</w:t>
      </w:r>
      <w:r w:rsidR="00684C99">
        <w:rPr>
          <w:lang w:val="fr-FR"/>
        </w:rPr>
        <w:t> »</w:t>
      </w:r>
      <w:r w:rsidRPr="00EF6384">
        <w:rPr>
          <w:lang w:val="fr-FR"/>
        </w:rPr>
        <w:t xml:space="preserve"> par </w:t>
      </w:r>
      <w:r w:rsidR="00684C99">
        <w:rPr>
          <w:lang w:val="fr-FR"/>
        </w:rPr>
        <w:t>« </w:t>
      </w:r>
      <w:r w:rsidRPr="00EF6384">
        <w:rPr>
          <w:lang w:val="fr-FR"/>
        </w:rPr>
        <w:t>les enveloppes des récipients à pression</w:t>
      </w:r>
      <w:r w:rsidR="00684C99">
        <w:rPr>
          <w:lang w:val="fr-FR"/>
        </w:rPr>
        <w:t> »</w:t>
      </w:r>
      <w:r w:rsidRPr="00EF6384">
        <w:rPr>
          <w:lang w:val="fr-FR"/>
        </w:rPr>
        <w:t xml:space="preserve">. </w:t>
      </w:r>
    </w:p>
    <w:p w:rsidR="00EF6384" w:rsidRPr="00EF6384" w:rsidRDefault="00B3102C" w:rsidP="00B3102C">
      <w:pPr>
        <w:pStyle w:val="SingleTxt"/>
        <w:ind w:left="2218" w:hanging="951"/>
        <w:rPr>
          <w:lang w:val="fr-FR"/>
        </w:rPr>
      </w:pPr>
      <w:r>
        <w:rPr>
          <w:lang w:val="fr-FR"/>
        </w:rPr>
        <w:tab/>
      </w:r>
      <w:r>
        <w:rPr>
          <w:lang w:val="fr-FR"/>
        </w:rPr>
        <w:tab/>
      </w:r>
      <w:r w:rsidR="00EF6384" w:rsidRPr="00EF6384">
        <w:rPr>
          <w:lang w:val="fr-FR"/>
        </w:rPr>
        <w:t xml:space="preserve">Dans la dernière phrase, après </w:t>
      </w:r>
      <w:r w:rsidR="00684C99">
        <w:rPr>
          <w:lang w:val="fr-FR"/>
        </w:rPr>
        <w:t>« </w:t>
      </w:r>
      <w:r w:rsidR="00EF6384" w:rsidRPr="00EF6384">
        <w:rPr>
          <w:lang w:val="fr-FR"/>
        </w:rPr>
        <w:t>la pression d’épreuve de</w:t>
      </w:r>
      <w:r w:rsidR="00684C99">
        <w:rPr>
          <w:lang w:val="fr-FR"/>
        </w:rPr>
        <w:t> »</w:t>
      </w:r>
      <w:r w:rsidR="00EF6384" w:rsidRPr="00EF6384">
        <w:rPr>
          <w:lang w:val="fr-FR"/>
        </w:rPr>
        <w:t xml:space="preserve"> insérer </w:t>
      </w:r>
      <w:r w:rsidR="00684C99">
        <w:rPr>
          <w:lang w:val="fr-FR"/>
        </w:rPr>
        <w:t>« </w:t>
      </w:r>
      <w:r w:rsidR="00EF6384" w:rsidRPr="00EF6384">
        <w:rPr>
          <w:lang w:val="fr-FR"/>
        </w:rPr>
        <w:t>l’enveloppe de</w:t>
      </w:r>
      <w:r w:rsidR="00684C99">
        <w:rPr>
          <w:lang w:val="fr-FR"/>
        </w:rPr>
        <w:t> »</w:t>
      </w:r>
      <w:r w:rsidR="00EF6384" w:rsidRPr="00EF6384">
        <w:rPr>
          <w:lang w:val="fr-FR"/>
        </w:rPr>
        <w:t xml:space="preserve">. </w:t>
      </w:r>
    </w:p>
    <w:p w:rsidR="00EF6384" w:rsidRPr="00EF6384" w:rsidRDefault="00EF6384" w:rsidP="00B3102C">
      <w:pPr>
        <w:pStyle w:val="SingleTxt"/>
        <w:ind w:left="2218" w:hanging="951"/>
        <w:rPr>
          <w:lang w:val="fr-FR"/>
        </w:rPr>
      </w:pPr>
      <w:r w:rsidRPr="00EF6384">
        <w:rPr>
          <w:lang w:val="fr-FR"/>
        </w:rPr>
        <w:t>6.2.1.1.6</w:t>
      </w:r>
      <w:r w:rsidRPr="00EF6384">
        <w:rPr>
          <w:lang w:val="fr-FR"/>
        </w:rPr>
        <w:tab/>
        <w:t xml:space="preserve">Au début de la première phrase remplacer </w:t>
      </w:r>
      <w:r w:rsidR="00684C99">
        <w:rPr>
          <w:lang w:val="fr-FR"/>
        </w:rPr>
        <w:t>« </w:t>
      </w:r>
      <w:r w:rsidRPr="00EF6384">
        <w:rPr>
          <w:lang w:val="fr-FR"/>
        </w:rPr>
        <w:t>récipients à pression</w:t>
      </w:r>
      <w:r w:rsidR="00684C99">
        <w:rPr>
          <w:lang w:val="fr-FR"/>
        </w:rPr>
        <w:t> »</w:t>
      </w:r>
      <w:r w:rsidRPr="00EF6384">
        <w:rPr>
          <w:lang w:val="fr-FR"/>
        </w:rPr>
        <w:t xml:space="preserve"> par </w:t>
      </w:r>
      <w:r w:rsidR="00684C99">
        <w:rPr>
          <w:lang w:val="fr-FR"/>
        </w:rPr>
        <w:t>« </w:t>
      </w:r>
      <w:r w:rsidRPr="00EF6384">
        <w:rPr>
          <w:lang w:val="fr-FR"/>
        </w:rPr>
        <w:t>bouteilles</w:t>
      </w:r>
      <w:r w:rsidR="00684C99">
        <w:rPr>
          <w:lang w:val="fr-FR"/>
        </w:rPr>
        <w:t> »</w:t>
      </w:r>
      <w:r w:rsidRPr="00EF6384">
        <w:rPr>
          <w:lang w:val="fr-FR"/>
        </w:rPr>
        <w:t xml:space="preserve"> et au début de la deuxième phrase remplacer </w:t>
      </w:r>
      <w:r w:rsidR="00684C99">
        <w:rPr>
          <w:lang w:val="fr-FR"/>
        </w:rPr>
        <w:t>« </w:t>
      </w:r>
      <w:r w:rsidRPr="00EF6384">
        <w:rPr>
          <w:lang w:val="fr-FR"/>
        </w:rPr>
        <w:t>ils</w:t>
      </w:r>
      <w:r w:rsidR="00684C99">
        <w:rPr>
          <w:lang w:val="fr-FR"/>
        </w:rPr>
        <w:t> »</w:t>
      </w:r>
      <w:r w:rsidRPr="00EF6384">
        <w:rPr>
          <w:lang w:val="fr-FR"/>
        </w:rPr>
        <w:t xml:space="preserve"> par </w:t>
      </w:r>
      <w:r w:rsidR="00684C99">
        <w:rPr>
          <w:lang w:val="fr-FR"/>
        </w:rPr>
        <w:t>« </w:t>
      </w:r>
      <w:r w:rsidRPr="00EF6384">
        <w:rPr>
          <w:lang w:val="fr-FR"/>
        </w:rPr>
        <w:t>elles</w:t>
      </w:r>
      <w:r w:rsidR="00684C99">
        <w:rPr>
          <w:lang w:val="fr-FR"/>
        </w:rPr>
        <w:t> »</w:t>
      </w:r>
      <w:r w:rsidRPr="00EF6384">
        <w:rPr>
          <w:lang w:val="fr-FR"/>
        </w:rPr>
        <w:t xml:space="preserve">. </w:t>
      </w:r>
    </w:p>
    <w:p w:rsidR="00EF6384" w:rsidRPr="00EF6384" w:rsidRDefault="00B3102C" w:rsidP="00B3102C">
      <w:pPr>
        <w:pStyle w:val="SingleTxt"/>
        <w:ind w:left="2218" w:hanging="951"/>
        <w:rPr>
          <w:lang w:val="fr-FR"/>
        </w:rPr>
      </w:pPr>
      <w:r>
        <w:rPr>
          <w:lang w:val="fr-FR"/>
        </w:rPr>
        <w:tab/>
      </w:r>
      <w:r>
        <w:rPr>
          <w:lang w:val="fr-FR"/>
        </w:rPr>
        <w:tab/>
      </w:r>
      <w:r w:rsidR="00EF6384" w:rsidRPr="00EF6384">
        <w:rPr>
          <w:lang w:val="fr-FR"/>
        </w:rPr>
        <w:t xml:space="preserve">Dans la dernière phrase, remplacer </w:t>
      </w:r>
      <w:r w:rsidR="00684C99">
        <w:rPr>
          <w:lang w:val="fr-FR"/>
        </w:rPr>
        <w:t>« </w:t>
      </w:r>
      <w:r w:rsidR="00EF6384" w:rsidRPr="00EF6384">
        <w:rPr>
          <w:lang w:val="fr-FR"/>
        </w:rPr>
        <w:t>récipient à pression</w:t>
      </w:r>
      <w:r w:rsidR="00684C99">
        <w:rPr>
          <w:lang w:val="fr-FR"/>
        </w:rPr>
        <w:t> »</w:t>
      </w:r>
      <w:r w:rsidR="00EF6384" w:rsidRPr="00EF6384">
        <w:rPr>
          <w:lang w:val="fr-FR"/>
        </w:rPr>
        <w:t xml:space="preserve"> par </w:t>
      </w:r>
      <w:r w:rsidR="00684C99">
        <w:rPr>
          <w:lang w:val="fr-FR"/>
        </w:rPr>
        <w:t>« </w:t>
      </w:r>
      <w:r w:rsidR="00EF6384" w:rsidRPr="00EF6384">
        <w:rPr>
          <w:lang w:val="fr-FR"/>
        </w:rPr>
        <w:t>bouteille</w:t>
      </w:r>
      <w:r w:rsidR="00684C99">
        <w:rPr>
          <w:lang w:val="fr-FR"/>
        </w:rPr>
        <w:t> »</w:t>
      </w:r>
      <w:r w:rsidR="00EF6384" w:rsidRPr="00EF6384">
        <w:rPr>
          <w:lang w:val="fr-FR"/>
        </w:rPr>
        <w:t xml:space="preserve"> trois fois et remplacer </w:t>
      </w:r>
      <w:r w:rsidR="00684C99">
        <w:rPr>
          <w:lang w:val="fr-FR"/>
        </w:rPr>
        <w:t>« </w:t>
      </w:r>
      <w:r w:rsidR="00EF6384" w:rsidRPr="00EF6384">
        <w:rPr>
          <w:lang w:val="fr-FR"/>
        </w:rPr>
        <w:t>un robinet d’isolement</w:t>
      </w:r>
      <w:r w:rsidR="00684C99">
        <w:rPr>
          <w:lang w:val="fr-FR"/>
        </w:rPr>
        <w:t> »</w:t>
      </w:r>
      <w:r w:rsidR="00EF6384" w:rsidRPr="00EF6384">
        <w:rPr>
          <w:lang w:val="fr-FR"/>
        </w:rPr>
        <w:t xml:space="preserve"> par </w:t>
      </w:r>
      <w:r w:rsidR="00684C99">
        <w:rPr>
          <w:lang w:val="fr-FR"/>
        </w:rPr>
        <w:t>« </w:t>
      </w:r>
      <w:r w:rsidR="00EF6384" w:rsidRPr="00EF6384">
        <w:rPr>
          <w:lang w:val="fr-FR"/>
        </w:rPr>
        <w:t>un robinet</w:t>
      </w:r>
      <w:r w:rsidR="00684C99">
        <w:rPr>
          <w:lang w:val="fr-FR"/>
        </w:rPr>
        <w:t> »</w:t>
      </w:r>
      <w:r w:rsidR="00EF6384" w:rsidRPr="00EF6384">
        <w:rPr>
          <w:lang w:val="fr-FR"/>
        </w:rPr>
        <w:t xml:space="preserve">. </w:t>
      </w:r>
    </w:p>
    <w:p w:rsidR="00EF6384" w:rsidRPr="00EF6384" w:rsidRDefault="00EF6384" w:rsidP="00B3102C">
      <w:pPr>
        <w:pStyle w:val="SingleTxt"/>
        <w:ind w:left="2218" w:hanging="951"/>
        <w:rPr>
          <w:lang w:val="fr-FR"/>
        </w:rPr>
      </w:pPr>
      <w:r w:rsidRPr="00EF6384">
        <w:rPr>
          <w:lang w:val="fr-FR"/>
        </w:rPr>
        <w:t>6.2.1.1.8.2</w:t>
      </w:r>
      <w:r w:rsidRPr="00EF6384">
        <w:rPr>
          <w:lang w:val="fr-FR"/>
        </w:rPr>
        <w:tab/>
        <w:t xml:space="preserve">Dans les deuxième et troisième phrases, remplacer </w:t>
      </w:r>
      <w:r w:rsidR="00684C99">
        <w:rPr>
          <w:lang w:val="fr-FR"/>
        </w:rPr>
        <w:t>« </w:t>
      </w:r>
      <w:r w:rsidRPr="00EF6384">
        <w:rPr>
          <w:lang w:val="fr-FR"/>
        </w:rPr>
        <w:t>récipient à pression</w:t>
      </w:r>
      <w:r w:rsidR="00684C99">
        <w:rPr>
          <w:lang w:val="fr-FR"/>
        </w:rPr>
        <w:t> »</w:t>
      </w:r>
      <w:r w:rsidRPr="00EF6384">
        <w:rPr>
          <w:lang w:val="fr-FR"/>
        </w:rPr>
        <w:t xml:space="preserve"> par </w:t>
      </w:r>
      <w:r w:rsidR="00684C99">
        <w:rPr>
          <w:lang w:val="fr-FR"/>
        </w:rPr>
        <w:t>« </w:t>
      </w:r>
      <w:r w:rsidRPr="00EF6384">
        <w:rPr>
          <w:lang w:val="fr-FR"/>
        </w:rPr>
        <w:t>récipient intérieur</w:t>
      </w:r>
      <w:r w:rsidR="00684C99">
        <w:rPr>
          <w:lang w:val="fr-FR"/>
        </w:rPr>
        <w:t> »</w:t>
      </w:r>
      <w:r w:rsidRPr="00EF6384">
        <w:rPr>
          <w:lang w:val="fr-FR"/>
        </w:rPr>
        <w:t>.</w:t>
      </w:r>
    </w:p>
    <w:p w:rsidR="00EF6384" w:rsidRPr="00EF6384" w:rsidRDefault="00B3102C" w:rsidP="00B3102C">
      <w:pPr>
        <w:pStyle w:val="SingleTxt"/>
        <w:ind w:left="2218" w:hanging="951"/>
        <w:rPr>
          <w:lang w:val="fr-FR"/>
        </w:rPr>
      </w:pPr>
      <w:r>
        <w:rPr>
          <w:lang w:val="fr-FR"/>
        </w:rPr>
        <w:tab/>
      </w:r>
      <w:r>
        <w:rPr>
          <w:lang w:val="fr-FR"/>
        </w:rPr>
        <w:tab/>
        <w:t>À</w:t>
      </w:r>
      <w:r w:rsidR="00EF6384" w:rsidRPr="00EF6384">
        <w:rPr>
          <w:lang w:val="fr-FR"/>
        </w:rPr>
        <w:t xml:space="preserve"> la fin de la troisième phrase, remplacer </w:t>
      </w:r>
      <w:r w:rsidR="00712B80">
        <w:rPr>
          <w:lang w:val="fr-FR"/>
        </w:rPr>
        <w:t>« </w:t>
      </w:r>
      <w:r w:rsidR="00EF6384" w:rsidRPr="00EF6384">
        <w:rPr>
          <w:lang w:val="fr-FR"/>
        </w:rPr>
        <w:t>équipements</w:t>
      </w:r>
      <w:r w:rsidR="00712B80">
        <w:rPr>
          <w:lang w:val="fr-FR"/>
        </w:rPr>
        <w:t> »</w:t>
      </w:r>
      <w:r w:rsidR="00EF6384" w:rsidRPr="00EF6384">
        <w:rPr>
          <w:lang w:val="fr-FR"/>
        </w:rPr>
        <w:t xml:space="preserve"> par </w:t>
      </w:r>
      <w:r w:rsidR="00712B80">
        <w:rPr>
          <w:lang w:val="fr-FR"/>
        </w:rPr>
        <w:t>« </w:t>
      </w:r>
      <w:r w:rsidR="00EF6384" w:rsidRPr="00EF6384">
        <w:rPr>
          <w:lang w:val="fr-FR"/>
        </w:rPr>
        <w:t>équipements de service</w:t>
      </w:r>
      <w:r w:rsidR="00712B80">
        <w:rPr>
          <w:lang w:val="fr-FR"/>
        </w:rPr>
        <w:t> »</w:t>
      </w:r>
      <w:r w:rsidR="00EF6384" w:rsidRPr="00EF6384">
        <w:rPr>
          <w:lang w:val="fr-FR"/>
        </w:rPr>
        <w:t>.</w:t>
      </w:r>
    </w:p>
    <w:p w:rsidR="00EF6384" w:rsidRPr="00EF6384" w:rsidRDefault="00EF6384" w:rsidP="00B3102C">
      <w:pPr>
        <w:pStyle w:val="SingleTxt"/>
        <w:ind w:left="2218" w:hanging="951"/>
        <w:rPr>
          <w:lang w:val="fr-FR"/>
        </w:rPr>
      </w:pPr>
      <w:r w:rsidRPr="00EF6384">
        <w:rPr>
          <w:lang w:val="fr-FR"/>
        </w:rPr>
        <w:t>6.2.1.1.9</w:t>
      </w:r>
      <w:r w:rsidRPr="00EF6384">
        <w:rPr>
          <w:lang w:val="fr-FR"/>
        </w:rPr>
        <w:tab/>
      </w:r>
      <w:r w:rsidR="00703C78">
        <w:rPr>
          <w:lang w:val="fr-FR"/>
        </w:rPr>
        <w:t>À</w:t>
      </w:r>
      <w:r w:rsidRPr="00EF6384">
        <w:rPr>
          <w:lang w:val="fr-FR"/>
        </w:rPr>
        <w:t xml:space="preserve"> la fin du titre, remplacer </w:t>
      </w:r>
      <w:r w:rsidR="00703C78" w:rsidRPr="00E66795">
        <w:t>«</w:t>
      </w:r>
      <w:r w:rsidR="00703C78">
        <w:rPr>
          <w:lang w:val="fr-FR"/>
        </w:rPr>
        <w:t> </w:t>
      </w:r>
      <w:r w:rsidRPr="00EF6384">
        <w:rPr>
          <w:i/>
          <w:lang w:val="fr-FR"/>
        </w:rPr>
        <w:t>récipients à pression pour le transport de l’acétylène</w:t>
      </w:r>
      <w:r w:rsidR="00703C78">
        <w:rPr>
          <w:i/>
          <w:lang w:val="fr-FR"/>
        </w:rPr>
        <w:t> </w:t>
      </w:r>
      <w:r w:rsidR="00703C78" w:rsidRPr="00E66795">
        <w:t>»</w:t>
      </w:r>
      <w:r w:rsidRPr="00EF6384">
        <w:rPr>
          <w:i/>
          <w:lang w:val="fr-FR"/>
        </w:rPr>
        <w:t xml:space="preserve"> par </w:t>
      </w:r>
      <w:r w:rsidR="00703C78" w:rsidRPr="00E66795">
        <w:t>«</w:t>
      </w:r>
      <w:r w:rsidR="00703C78">
        <w:rPr>
          <w:i/>
          <w:lang w:val="fr-FR"/>
        </w:rPr>
        <w:t> </w:t>
      </w:r>
      <w:r w:rsidRPr="00EF6384">
        <w:rPr>
          <w:i/>
          <w:lang w:val="fr-FR"/>
        </w:rPr>
        <w:t>bouteilles d’acétylène</w:t>
      </w:r>
      <w:r w:rsidR="00703C78">
        <w:rPr>
          <w:i/>
          <w:lang w:val="fr-FR"/>
        </w:rPr>
        <w:t> </w:t>
      </w:r>
      <w:r w:rsidR="00703C78" w:rsidRPr="00E66795">
        <w:t>»</w:t>
      </w:r>
      <w:r w:rsidRPr="00E66795">
        <w:t>.</w:t>
      </w:r>
      <w:r w:rsidRPr="00EF6384">
        <w:rPr>
          <w:i/>
          <w:lang w:val="fr-FR"/>
        </w:rPr>
        <w:t xml:space="preserve"> </w:t>
      </w:r>
    </w:p>
    <w:p w:rsidR="00EF6384" w:rsidRPr="00EF6384" w:rsidRDefault="00B3102C" w:rsidP="00B3102C">
      <w:pPr>
        <w:pStyle w:val="SingleTxt"/>
        <w:ind w:left="2218" w:hanging="951"/>
        <w:rPr>
          <w:lang w:val="fr-FR"/>
        </w:rPr>
      </w:pPr>
      <w:r>
        <w:rPr>
          <w:lang w:val="fr-FR"/>
        </w:rPr>
        <w:tab/>
      </w:r>
      <w:r>
        <w:rPr>
          <w:lang w:val="fr-FR"/>
        </w:rPr>
        <w:tab/>
      </w:r>
      <w:r w:rsidR="00EF6384" w:rsidRPr="00EF6384">
        <w:rPr>
          <w:lang w:val="fr-FR"/>
        </w:rPr>
        <w:t xml:space="preserve">Dans la première phrase, remplacer </w:t>
      </w:r>
      <w:r w:rsidR="00703C78">
        <w:rPr>
          <w:lang w:val="fr-FR"/>
        </w:rPr>
        <w:t>« </w:t>
      </w:r>
      <w:r w:rsidR="00EF6384" w:rsidRPr="00EF6384">
        <w:rPr>
          <w:lang w:val="fr-FR"/>
        </w:rPr>
        <w:t>récipients à pression</w:t>
      </w:r>
      <w:r w:rsidR="00703C78">
        <w:rPr>
          <w:lang w:val="fr-FR"/>
        </w:rPr>
        <w:t> »</w:t>
      </w:r>
      <w:r w:rsidR="00EF6384" w:rsidRPr="00EF6384">
        <w:rPr>
          <w:lang w:val="fr-FR"/>
        </w:rPr>
        <w:t xml:space="preserve"> par </w:t>
      </w:r>
      <w:r w:rsidR="00703C78">
        <w:rPr>
          <w:lang w:val="fr-FR"/>
        </w:rPr>
        <w:t>« </w:t>
      </w:r>
      <w:r w:rsidR="00EF6384" w:rsidRPr="00EF6384">
        <w:rPr>
          <w:lang w:val="fr-FR"/>
        </w:rPr>
        <w:t>enveloppes de bouteilles</w:t>
      </w:r>
      <w:r w:rsidR="00703C78">
        <w:rPr>
          <w:lang w:val="fr-FR"/>
        </w:rPr>
        <w:t> »</w:t>
      </w:r>
      <w:r w:rsidR="00EF6384" w:rsidRPr="00EF6384">
        <w:rPr>
          <w:lang w:val="fr-FR"/>
        </w:rPr>
        <w:t xml:space="preserve">. </w:t>
      </w:r>
    </w:p>
    <w:p w:rsidR="00EF6384" w:rsidRPr="00EF6384" w:rsidRDefault="00B3102C" w:rsidP="00B3102C">
      <w:pPr>
        <w:pStyle w:val="SingleTxt"/>
        <w:ind w:left="2218" w:hanging="951"/>
        <w:rPr>
          <w:lang w:val="fr-FR"/>
        </w:rPr>
      </w:pPr>
      <w:r>
        <w:rPr>
          <w:lang w:val="fr-FR"/>
        </w:rPr>
        <w:tab/>
      </w:r>
      <w:r>
        <w:rPr>
          <w:lang w:val="fr-FR"/>
        </w:rPr>
        <w:tab/>
      </w:r>
      <w:r w:rsidR="00703C78">
        <w:rPr>
          <w:lang w:val="fr-FR"/>
        </w:rPr>
        <w:t>À l’alinéa </w:t>
      </w:r>
      <w:r w:rsidR="00EF6384" w:rsidRPr="00EF6384">
        <w:rPr>
          <w:lang w:val="fr-FR"/>
        </w:rPr>
        <w:t xml:space="preserve">a) remplacer </w:t>
      </w:r>
      <w:r w:rsidR="00703C78">
        <w:rPr>
          <w:lang w:val="fr-FR"/>
        </w:rPr>
        <w:t>« </w:t>
      </w:r>
      <w:r w:rsidR="00EF6384" w:rsidRPr="00EF6384">
        <w:rPr>
          <w:lang w:val="fr-FR"/>
        </w:rPr>
        <w:t>récipient à pression</w:t>
      </w:r>
      <w:r w:rsidR="00703C78">
        <w:rPr>
          <w:lang w:val="fr-FR"/>
        </w:rPr>
        <w:t> »</w:t>
      </w:r>
      <w:r w:rsidR="00EF6384" w:rsidRPr="00EF6384">
        <w:rPr>
          <w:lang w:val="fr-FR"/>
        </w:rPr>
        <w:t xml:space="preserve"> par </w:t>
      </w:r>
      <w:r w:rsidR="00703C78">
        <w:rPr>
          <w:lang w:val="fr-FR"/>
        </w:rPr>
        <w:t>« </w:t>
      </w:r>
      <w:r w:rsidR="00EF6384" w:rsidRPr="00EF6384">
        <w:rPr>
          <w:lang w:val="fr-FR"/>
        </w:rPr>
        <w:t>enveloppe de la bouteille</w:t>
      </w:r>
      <w:r w:rsidR="00703C78">
        <w:rPr>
          <w:lang w:val="fr-FR"/>
        </w:rPr>
        <w:t> »</w:t>
      </w:r>
      <w:r w:rsidR="00EF6384" w:rsidRPr="00EF6384">
        <w:rPr>
          <w:lang w:val="fr-FR"/>
        </w:rPr>
        <w:t>.</w:t>
      </w:r>
    </w:p>
    <w:p w:rsidR="00EF6384" w:rsidRPr="00EF6384" w:rsidRDefault="00B3102C" w:rsidP="00B3102C">
      <w:pPr>
        <w:pStyle w:val="SingleTxt"/>
        <w:ind w:left="2218" w:hanging="951"/>
        <w:rPr>
          <w:lang w:val="fr-FR"/>
        </w:rPr>
      </w:pPr>
      <w:r>
        <w:rPr>
          <w:lang w:val="fr-FR"/>
        </w:rPr>
        <w:tab/>
      </w:r>
      <w:r>
        <w:rPr>
          <w:lang w:val="fr-FR"/>
        </w:rPr>
        <w:tab/>
      </w:r>
      <w:r w:rsidR="00EF6384" w:rsidRPr="00EF6384">
        <w:rPr>
          <w:lang w:val="fr-FR"/>
        </w:rPr>
        <w:t xml:space="preserve">Remplacer </w:t>
      </w:r>
      <w:r w:rsidR="00703C78">
        <w:rPr>
          <w:lang w:val="fr-FR"/>
        </w:rPr>
        <w:t>« </w:t>
      </w:r>
      <w:r w:rsidR="00EF6384" w:rsidRPr="00EF6384">
        <w:rPr>
          <w:lang w:val="fr-FR"/>
        </w:rPr>
        <w:t>compatible avec le récipient à pression</w:t>
      </w:r>
      <w:r w:rsidR="00703C78">
        <w:rPr>
          <w:lang w:val="fr-FR"/>
        </w:rPr>
        <w:t> »</w:t>
      </w:r>
      <w:r w:rsidR="00EF6384" w:rsidRPr="00EF6384">
        <w:rPr>
          <w:lang w:val="fr-FR"/>
        </w:rPr>
        <w:t xml:space="preserve"> par </w:t>
      </w:r>
      <w:r w:rsidR="00703C78">
        <w:rPr>
          <w:lang w:val="fr-FR"/>
        </w:rPr>
        <w:t>« </w:t>
      </w:r>
      <w:r w:rsidR="00EF6384" w:rsidRPr="00EF6384">
        <w:rPr>
          <w:lang w:val="fr-FR"/>
        </w:rPr>
        <w:t>compatible avec les parties de la bouteille qui sont en contact avec elle</w:t>
      </w:r>
      <w:r w:rsidR="00703C78">
        <w:rPr>
          <w:lang w:val="fr-FR"/>
        </w:rPr>
        <w:t> »</w:t>
      </w:r>
      <w:r w:rsidR="00EF6384" w:rsidRPr="00EF6384">
        <w:rPr>
          <w:lang w:val="fr-FR"/>
        </w:rPr>
        <w:t>.</w:t>
      </w:r>
    </w:p>
    <w:p w:rsidR="00EF6384" w:rsidRPr="00EF6384" w:rsidRDefault="00EF6384" w:rsidP="00B3102C">
      <w:pPr>
        <w:pStyle w:val="SingleTxt"/>
        <w:ind w:left="2218" w:hanging="951"/>
        <w:rPr>
          <w:lang w:val="fr-FR"/>
        </w:rPr>
      </w:pPr>
      <w:r w:rsidRPr="00EF6384">
        <w:rPr>
          <w:lang w:val="fr-FR"/>
        </w:rPr>
        <w:t>6.2.1.2.1</w:t>
      </w:r>
      <w:r w:rsidRPr="00EF6384">
        <w:rPr>
          <w:lang w:val="fr-FR"/>
        </w:rPr>
        <w:tab/>
        <w:t xml:space="preserve">Après </w:t>
      </w:r>
      <w:r w:rsidR="00703C78">
        <w:rPr>
          <w:lang w:val="fr-FR"/>
        </w:rPr>
        <w:t>« </w:t>
      </w:r>
      <w:r w:rsidRPr="00EF6384">
        <w:rPr>
          <w:lang w:val="fr-FR"/>
        </w:rPr>
        <w:t>Les parties des récipients à pression</w:t>
      </w:r>
      <w:r w:rsidR="00703C78">
        <w:rPr>
          <w:lang w:val="fr-FR"/>
        </w:rPr>
        <w:t> »</w:t>
      </w:r>
      <w:r w:rsidRPr="00EF6384">
        <w:rPr>
          <w:lang w:val="fr-FR"/>
        </w:rPr>
        <w:t xml:space="preserve"> supprimer </w:t>
      </w:r>
      <w:r w:rsidR="00703C78">
        <w:rPr>
          <w:lang w:val="fr-FR"/>
        </w:rPr>
        <w:t>« </w:t>
      </w:r>
      <w:r w:rsidRPr="00EF6384">
        <w:rPr>
          <w:lang w:val="fr-FR"/>
        </w:rPr>
        <w:t>et de leurs fermetures</w:t>
      </w:r>
      <w:r w:rsidR="00703C78">
        <w:rPr>
          <w:lang w:val="fr-FR"/>
        </w:rPr>
        <w:t> »</w:t>
      </w:r>
      <w:r w:rsidRPr="00EF6384">
        <w:rPr>
          <w:lang w:val="fr-FR"/>
        </w:rPr>
        <w:t xml:space="preserve">. </w:t>
      </w:r>
    </w:p>
    <w:p w:rsidR="00EF6384" w:rsidRPr="00EF6384" w:rsidRDefault="00EF6384" w:rsidP="00B3102C">
      <w:pPr>
        <w:pStyle w:val="SingleTxt"/>
        <w:ind w:left="2218" w:hanging="951"/>
        <w:rPr>
          <w:lang w:val="fr-FR"/>
        </w:rPr>
      </w:pPr>
      <w:r w:rsidRPr="00EF6384">
        <w:rPr>
          <w:lang w:val="fr-FR"/>
        </w:rPr>
        <w:t>6.2.1.2.2</w:t>
      </w:r>
      <w:r w:rsidRPr="00EF6384">
        <w:rPr>
          <w:lang w:val="fr-FR"/>
        </w:rPr>
        <w:tab/>
        <w:t xml:space="preserve">Au début de la première phrase, après </w:t>
      </w:r>
      <w:r w:rsidR="00703C78">
        <w:rPr>
          <w:lang w:val="fr-FR"/>
        </w:rPr>
        <w:t>« </w:t>
      </w:r>
      <w:r w:rsidRPr="00EF6384">
        <w:rPr>
          <w:lang w:val="fr-CH"/>
        </w:rPr>
        <w:t xml:space="preserve">Les </w:t>
      </w:r>
      <w:r w:rsidRPr="00EF6384">
        <w:rPr>
          <w:lang w:val="fr-FR"/>
        </w:rPr>
        <w:t>récipients à pression</w:t>
      </w:r>
      <w:r w:rsidR="00703C78">
        <w:rPr>
          <w:lang w:val="fr-FR"/>
        </w:rPr>
        <w:t> »</w:t>
      </w:r>
      <w:r w:rsidRPr="00EF6384">
        <w:rPr>
          <w:lang w:val="fr-FR"/>
        </w:rPr>
        <w:t xml:space="preserve">, supprimer </w:t>
      </w:r>
      <w:r w:rsidR="00703C78">
        <w:rPr>
          <w:lang w:val="fr-FR"/>
        </w:rPr>
        <w:t>« </w:t>
      </w:r>
      <w:r w:rsidRPr="00EF6384">
        <w:rPr>
          <w:lang w:val="fr-FR"/>
        </w:rPr>
        <w:t>et leurs fermetures</w:t>
      </w:r>
      <w:r w:rsidR="00703C78">
        <w:rPr>
          <w:lang w:val="fr-FR"/>
        </w:rPr>
        <w:t> »</w:t>
      </w:r>
      <w:r w:rsidRPr="00EF6384">
        <w:rPr>
          <w:lang w:val="fr-FR"/>
        </w:rPr>
        <w:t xml:space="preserve">. </w:t>
      </w:r>
    </w:p>
    <w:p w:rsidR="00EF6384" w:rsidRPr="00EF6384" w:rsidRDefault="00EF6384" w:rsidP="00B3102C">
      <w:pPr>
        <w:pStyle w:val="SingleTxt"/>
        <w:ind w:left="2218" w:hanging="951"/>
        <w:rPr>
          <w:lang w:val="fr-FR"/>
        </w:rPr>
      </w:pPr>
      <w:r w:rsidRPr="00EF6384">
        <w:rPr>
          <w:lang w:val="fr-FR"/>
        </w:rPr>
        <w:t>6.2.1.3.1</w:t>
      </w:r>
      <w:r w:rsidRPr="00EF6384">
        <w:rPr>
          <w:lang w:val="fr-FR"/>
        </w:rPr>
        <w:tab/>
        <w:t xml:space="preserve">Remplacer </w:t>
      </w:r>
      <w:r w:rsidR="00703C78">
        <w:rPr>
          <w:lang w:val="fr-FR"/>
        </w:rPr>
        <w:t>« À</w:t>
      </w:r>
      <w:r w:rsidRPr="00EF6384">
        <w:rPr>
          <w:lang w:val="fr-FR"/>
        </w:rPr>
        <w:t xml:space="preserve"> l’exception des dispositifs de décompression</w:t>
      </w:r>
      <w:r w:rsidR="00703C78">
        <w:rPr>
          <w:lang w:val="fr-FR"/>
        </w:rPr>
        <w:t> »</w:t>
      </w:r>
      <w:r w:rsidRPr="00EF6384">
        <w:rPr>
          <w:lang w:val="fr-FR"/>
        </w:rPr>
        <w:t xml:space="preserve"> par </w:t>
      </w:r>
      <w:r w:rsidR="00703C78">
        <w:rPr>
          <w:lang w:val="fr-FR"/>
        </w:rPr>
        <w:t>« À</w:t>
      </w:r>
      <w:r w:rsidRPr="00EF6384">
        <w:rPr>
          <w:lang w:val="fr-FR"/>
        </w:rPr>
        <w:t xml:space="preserve"> l’exception des matériaux poreux, absorbants ou adsorbants, des dispositifs de décompression, des manomètres ou indicateurs de pression</w:t>
      </w:r>
      <w:r w:rsidR="00703C78">
        <w:rPr>
          <w:lang w:val="fr-FR"/>
        </w:rPr>
        <w:t> »</w:t>
      </w:r>
      <w:r w:rsidRPr="00EF6384">
        <w:rPr>
          <w:lang w:val="fr-FR"/>
        </w:rPr>
        <w:t xml:space="preserve"> et remplacer </w:t>
      </w:r>
      <w:r w:rsidR="00703C78">
        <w:rPr>
          <w:lang w:val="fr-FR"/>
        </w:rPr>
        <w:t>« </w:t>
      </w:r>
      <w:r w:rsidRPr="00EF6384">
        <w:rPr>
          <w:lang w:val="fr-FR"/>
        </w:rPr>
        <w:t>les robinets, tubulures et autres équipements</w:t>
      </w:r>
      <w:r w:rsidR="00703C78">
        <w:rPr>
          <w:lang w:val="fr-FR"/>
        </w:rPr>
        <w:t> » par « </w:t>
      </w:r>
      <w:r w:rsidRPr="00EF6384">
        <w:rPr>
          <w:lang w:val="fr-FR"/>
        </w:rPr>
        <w:t>les équipements de service</w:t>
      </w:r>
      <w:r w:rsidR="00703C78">
        <w:rPr>
          <w:lang w:val="fr-FR"/>
        </w:rPr>
        <w:t> »</w:t>
      </w:r>
      <w:r w:rsidRPr="00EF6384">
        <w:rPr>
          <w:lang w:val="fr-FR"/>
        </w:rPr>
        <w:t xml:space="preserve">. </w:t>
      </w:r>
    </w:p>
    <w:p w:rsidR="00EF6384" w:rsidRPr="00EF6384" w:rsidRDefault="00EF6384" w:rsidP="00EF6384">
      <w:pPr>
        <w:pStyle w:val="SingleTxt"/>
        <w:rPr>
          <w:lang w:val="fr-FR"/>
        </w:rPr>
      </w:pPr>
      <w:r w:rsidRPr="00EF6384">
        <w:rPr>
          <w:lang w:val="fr-FR"/>
        </w:rPr>
        <w:t>6.2.1.3.2</w:t>
      </w:r>
      <w:r w:rsidRPr="00EF6384">
        <w:rPr>
          <w:lang w:val="fr-FR"/>
        </w:rPr>
        <w:tab/>
        <w:t>Remplacer la totalité du paragraphe comme suit</w:t>
      </w:r>
      <w:r w:rsidR="00684C99">
        <w:rPr>
          <w:lang w:val="fr-FR"/>
        </w:rPr>
        <w:t> </w:t>
      </w:r>
      <w:r w:rsidRPr="00EF6384">
        <w:rPr>
          <w:lang w:val="fr-FR"/>
        </w:rPr>
        <w:t>:</w:t>
      </w:r>
    </w:p>
    <w:p w:rsidR="00EF6384" w:rsidRDefault="00703C78" w:rsidP="00B3102C">
      <w:pPr>
        <w:pStyle w:val="SingleTxt"/>
        <w:ind w:left="2218" w:hanging="951"/>
        <w:rPr>
          <w:lang w:val="fr-FR"/>
        </w:rPr>
      </w:pPr>
      <w:r>
        <w:rPr>
          <w:lang w:val="fr-FR"/>
        </w:rPr>
        <w:t>« </w:t>
      </w:r>
      <w:r w:rsidR="00EF6384" w:rsidRPr="00EF6384">
        <w:rPr>
          <w:lang w:val="fr-FR"/>
        </w:rPr>
        <w:t>6.2.1.3.2</w:t>
      </w:r>
      <w:r w:rsidR="00EF6384" w:rsidRPr="00EF6384">
        <w:rPr>
          <w:lang w:val="fr-FR"/>
        </w:rPr>
        <w:tab/>
        <w:t>L’équipement de service doit être disposé ou conçu de façon à empêcher toute avarie et toute ouverture intempestive risquant de se traduire par la fuite du contenu du récipient à pression en conditions normales de manutention ou de transport. Les fermetures doivent être protégées de la même manière que ce qui est prescrit pour les robinets au paragraphe 4.1.6.8. Les parties du tuyau collecteur raccordées aux obturateurs doivent être suffisamment souples pour protéger les robinets et la tuyauterie contre une rupture par cisaillement ou une libération du contenu du récipient à pression</w:t>
      </w:r>
      <w:r>
        <w:rPr>
          <w:lang w:val="fr-FR"/>
        </w:rPr>
        <w:t> »</w:t>
      </w:r>
      <w:r w:rsidR="00EF6384" w:rsidRPr="00EF6384">
        <w:rPr>
          <w:lang w:val="fr-FR"/>
        </w:rPr>
        <w:t>.</w:t>
      </w:r>
    </w:p>
    <w:p w:rsidR="00636C70" w:rsidRPr="00636C70" w:rsidRDefault="00636C70" w:rsidP="00636C70">
      <w:pPr>
        <w:pStyle w:val="SingleTxt"/>
        <w:spacing w:after="0" w:line="120" w:lineRule="exact"/>
        <w:rPr>
          <w:sz w:val="10"/>
          <w:lang w:val="fr-FR"/>
        </w:rPr>
      </w:pPr>
    </w:p>
    <w:tbl>
      <w:tblPr>
        <w:tblW w:w="7574"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7574"/>
      </w:tblGrid>
      <w:tr w:rsidR="00636C70" w:rsidTr="00C30AB8">
        <w:tc>
          <w:tcPr>
            <w:tcW w:w="7574" w:type="dxa"/>
            <w:shd w:val="clear" w:color="auto" w:fill="auto"/>
          </w:tcPr>
          <w:p w:rsidR="00636C70" w:rsidRPr="00DE45B6" w:rsidRDefault="00636C70" w:rsidP="00C30AB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rPr>
            </w:pPr>
          </w:p>
          <w:p w:rsidR="00636C70" w:rsidRPr="00220A6E" w:rsidRDefault="00B3102C" w:rsidP="00C30AB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iCs/>
                <w:lang w:val="fr-FR"/>
              </w:rPr>
            </w:pPr>
            <w:r>
              <w:rPr>
                <w:iCs/>
                <w:lang w:val="fr-FR"/>
              </w:rPr>
              <w:tab/>
            </w:r>
            <w:r w:rsidR="00636C70" w:rsidRPr="00636C70">
              <w:rPr>
                <w:iCs/>
                <w:lang w:val="fr-FR"/>
              </w:rPr>
              <w:t>La dernière phrase selon laquelle les robinets doivent pouvoir être verrouillés de manière à prévenir toute ouverture intempestive était irréaliste et a donc été remplacée par la prescription plus générale «</w:t>
            </w:r>
            <w:r w:rsidR="00C91FA8">
              <w:rPr>
                <w:iCs/>
                <w:lang w:val="fr-FR"/>
              </w:rPr>
              <w:t> </w:t>
            </w:r>
            <w:r w:rsidR="00636C70" w:rsidRPr="00636C70">
              <w:rPr>
                <w:iCs/>
                <w:lang w:val="fr-FR"/>
              </w:rPr>
              <w:t>disposé ou conçu de façon à empêch</w:t>
            </w:r>
            <w:r w:rsidR="00F36D20">
              <w:rPr>
                <w:iCs/>
                <w:lang w:val="fr-FR"/>
              </w:rPr>
              <w:t>er toute ouverture intempestive</w:t>
            </w:r>
            <w:r w:rsidR="00AF4DC6">
              <w:rPr>
                <w:iCs/>
                <w:lang w:val="fr-FR"/>
              </w:rPr>
              <w:t>…</w:t>
            </w:r>
            <w:r w:rsidR="00636C70" w:rsidRPr="00636C70">
              <w:rPr>
                <w:iCs/>
                <w:lang w:val="fr-FR"/>
              </w:rPr>
              <w:t> ».</w:t>
            </w:r>
          </w:p>
        </w:tc>
      </w:tr>
      <w:tr w:rsidR="00636C70" w:rsidTr="00C30AB8">
        <w:trPr>
          <w:trHeight w:hRule="exact" w:val="115"/>
        </w:trPr>
        <w:tc>
          <w:tcPr>
            <w:tcW w:w="7574" w:type="dxa"/>
            <w:shd w:val="clear" w:color="auto" w:fill="auto"/>
          </w:tcPr>
          <w:p w:rsidR="00636C70" w:rsidRDefault="00636C70" w:rsidP="00C30AB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bl>
    <w:p w:rsidR="00636C70" w:rsidRPr="00636C70" w:rsidRDefault="00636C70" w:rsidP="00636C70">
      <w:pPr>
        <w:pStyle w:val="SingleTxt"/>
        <w:spacing w:after="0" w:line="120" w:lineRule="exact"/>
        <w:rPr>
          <w:sz w:val="10"/>
          <w:lang w:val="fr-FR"/>
        </w:rPr>
      </w:pPr>
    </w:p>
    <w:p w:rsidR="00636C70" w:rsidRPr="00636C70" w:rsidRDefault="00636C70" w:rsidP="00636C70">
      <w:pPr>
        <w:pStyle w:val="SingleTxt"/>
        <w:spacing w:after="0" w:line="120" w:lineRule="exact"/>
        <w:rPr>
          <w:sz w:val="10"/>
          <w:lang w:val="fr-FR"/>
        </w:rPr>
      </w:pPr>
    </w:p>
    <w:p w:rsidR="00EF6384" w:rsidRPr="00EF6384" w:rsidRDefault="00EF6384" w:rsidP="00046602">
      <w:pPr>
        <w:pStyle w:val="SingleTxt"/>
        <w:ind w:left="2218" w:hanging="951"/>
        <w:rPr>
          <w:lang w:val="fr-FR"/>
        </w:rPr>
      </w:pPr>
      <w:r w:rsidRPr="00EF6384">
        <w:rPr>
          <w:lang w:val="fr-FR"/>
        </w:rPr>
        <w:lastRenderedPageBreak/>
        <w:t>6.2.1.3.3</w:t>
      </w:r>
      <w:r w:rsidRPr="00EF6384">
        <w:rPr>
          <w:lang w:val="fr-FR"/>
        </w:rPr>
        <w:tab/>
        <w:t xml:space="preserve">Remplacer </w:t>
      </w:r>
      <w:r w:rsidR="00703C78">
        <w:rPr>
          <w:lang w:val="fr-FR"/>
        </w:rPr>
        <w:t>« </w:t>
      </w:r>
      <w:r w:rsidRPr="00EF6384">
        <w:rPr>
          <w:lang w:val="fr-FR"/>
        </w:rPr>
        <w:t>doivent être équipés de dispositifs</w:t>
      </w:r>
      <w:r w:rsidR="00703C78">
        <w:rPr>
          <w:lang w:val="fr-FR"/>
        </w:rPr>
        <w:t> »</w:t>
      </w:r>
      <w:r w:rsidRPr="00EF6384">
        <w:rPr>
          <w:lang w:val="fr-FR"/>
        </w:rPr>
        <w:t xml:space="preserve"> par </w:t>
      </w:r>
      <w:r w:rsidR="00703C78">
        <w:rPr>
          <w:lang w:val="fr-FR"/>
        </w:rPr>
        <w:t>« </w:t>
      </w:r>
      <w:r w:rsidRPr="00EF6384">
        <w:rPr>
          <w:lang w:val="fr-FR"/>
        </w:rPr>
        <w:t>doivent être équipés de dispositifs de manutention</w:t>
      </w:r>
      <w:r w:rsidR="00703C78">
        <w:rPr>
          <w:lang w:val="fr-FR"/>
        </w:rPr>
        <w:t> »</w:t>
      </w:r>
      <w:r w:rsidRPr="00EF6384">
        <w:rPr>
          <w:lang w:val="fr-FR"/>
        </w:rPr>
        <w:t>.</w:t>
      </w:r>
    </w:p>
    <w:p w:rsidR="00EF6384" w:rsidRPr="00EF6384" w:rsidRDefault="00EF6384" w:rsidP="00EF6384">
      <w:pPr>
        <w:pStyle w:val="SingleTxt"/>
        <w:rPr>
          <w:lang w:val="fr-FR"/>
        </w:rPr>
      </w:pPr>
      <w:r w:rsidRPr="00EF6384">
        <w:rPr>
          <w:lang w:val="fr-FR"/>
        </w:rPr>
        <w:t>6.2.1.4.2</w:t>
      </w:r>
      <w:r w:rsidRPr="00EF6384">
        <w:rPr>
          <w:lang w:val="fr-FR"/>
        </w:rPr>
        <w:tab/>
      </w:r>
      <w:r w:rsidR="00703C78">
        <w:rPr>
          <w:lang w:val="fr-FR"/>
        </w:rPr>
        <w:t>À</w:t>
      </w:r>
      <w:r w:rsidRPr="00EF6384">
        <w:rPr>
          <w:lang w:val="fr-FR"/>
        </w:rPr>
        <w:t xml:space="preserve"> la fin, ajouter une nouvelle disposition 6.2.1.4.3 ainsi conçue</w:t>
      </w:r>
      <w:r w:rsidR="00703C78">
        <w:rPr>
          <w:lang w:val="fr-FR"/>
        </w:rPr>
        <w:t> </w:t>
      </w:r>
      <w:r w:rsidR="00684C99">
        <w:rPr>
          <w:lang w:val="fr-FR"/>
        </w:rPr>
        <w:t>:</w:t>
      </w:r>
    </w:p>
    <w:p w:rsidR="00EF6384" w:rsidRPr="00EF6384" w:rsidRDefault="00EF6384" w:rsidP="00046602">
      <w:pPr>
        <w:pStyle w:val="SingleTxt"/>
        <w:ind w:left="2218" w:hanging="951"/>
        <w:rPr>
          <w:lang w:val="fr-FR"/>
        </w:rPr>
      </w:pPr>
      <w:r w:rsidRPr="00EF6384">
        <w:rPr>
          <w:lang w:val="fr-FR"/>
        </w:rPr>
        <w:t>6.2.1.4.3</w:t>
      </w:r>
      <w:r w:rsidRPr="00EF6384">
        <w:rPr>
          <w:lang w:val="fr-FR"/>
        </w:rPr>
        <w:tab/>
        <w:t>Dans le cas des bouteilles rechargeables, des fûts à pression et des tubes, on peut procéder séparément à l’évaluation de la conformité de l’enveloppe et de la ou des fermeture(s). Aucune évaluation supplémentaire de l’assemblage final n’est alors requise</w:t>
      </w:r>
      <w:r w:rsidR="00703C78">
        <w:rPr>
          <w:lang w:val="fr-FR"/>
        </w:rPr>
        <w:t>.</w:t>
      </w:r>
    </w:p>
    <w:p w:rsidR="00EF6384" w:rsidRPr="00EF6384" w:rsidRDefault="00046602" w:rsidP="00046602">
      <w:pPr>
        <w:pStyle w:val="SingleTxt"/>
        <w:ind w:left="2218" w:hanging="951"/>
        <w:rPr>
          <w:lang w:val="fr-FR"/>
        </w:rPr>
      </w:pPr>
      <w:r>
        <w:rPr>
          <w:lang w:val="fr-FR"/>
        </w:rPr>
        <w:tab/>
      </w:r>
      <w:r>
        <w:rPr>
          <w:lang w:val="fr-FR"/>
        </w:rPr>
        <w:tab/>
      </w:r>
      <w:r w:rsidR="00EF6384" w:rsidRPr="00EF6384">
        <w:rPr>
          <w:lang w:val="fr-FR"/>
        </w:rPr>
        <w:t xml:space="preserve">S’agissant des cadres de bouteilles, les enveloppes des bouteilles et le(s) robinet(s) peuvent être évalués séparément mais il faut procéder à une évaluation supplémentaire de l’assemblage final. </w:t>
      </w:r>
    </w:p>
    <w:p w:rsidR="00EF6384" w:rsidRPr="00EF6384" w:rsidRDefault="00046602" w:rsidP="00046602">
      <w:pPr>
        <w:pStyle w:val="SingleTxt"/>
        <w:ind w:left="2218" w:hanging="951"/>
        <w:rPr>
          <w:lang w:val="fr-FR"/>
        </w:rPr>
      </w:pPr>
      <w:r>
        <w:rPr>
          <w:lang w:val="fr-FR"/>
        </w:rPr>
        <w:tab/>
      </w:r>
      <w:r>
        <w:rPr>
          <w:lang w:val="fr-FR"/>
        </w:rPr>
        <w:tab/>
      </w:r>
      <w:r w:rsidR="00EF6384" w:rsidRPr="00EF6384">
        <w:rPr>
          <w:lang w:val="fr-FR"/>
        </w:rPr>
        <w:t xml:space="preserve">S’agissant des récipients cryogéniques, les fermetures peuvent être évaluées séparément mais une évaluation supplémentaire de l’assemblage complet est requise. </w:t>
      </w:r>
    </w:p>
    <w:p w:rsidR="00046602" w:rsidRDefault="00046602" w:rsidP="009D3681">
      <w:pPr>
        <w:pStyle w:val="SingleTxt"/>
        <w:keepNext/>
        <w:keepLines/>
        <w:ind w:left="2217" w:hanging="950"/>
        <w:rPr>
          <w:lang w:val="fr-FR"/>
        </w:rPr>
      </w:pPr>
      <w:r>
        <w:rPr>
          <w:lang w:val="fr-FR"/>
        </w:rPr>
        <w:tab/>
      </w:r>
      <w:r>
        <w:rPr>
          <w:lang w:val="fr-FR"/>
        </w:rPr>
        <w:tab/>
      </w:r>
      <w:r w:rsidR="00EF6384" w:rsidRPr="00EF6384">
        <w:rPr>
          <w:lang w:val="fr-FR"/>
        </w:rPr>
        <w:t>Dans le cas des bouteilles d’acétylène, l’évaluation de la conformité doit consister en</w:t>
      </w:r>
      <w:r w:rsidR="00703C78">
        <w:rPr>
          <w:lang w:val="fr-FR"/>
        </w:rPr>
        <w:t> </w:t>
      </w:r>
      <w:r w:rsidR="00684C99">
        <w:rPr>
          <w:lang w:val="fr-FR"/>
        </w:rPr>
        <w:t>:</w:t>
      </w:r>
    </w:p>
    <w:p w:rsidR="00EF6384" w:rsidRPr="00EF6384" w:rsidRDefault="00046602" w:rsidP="00046602">
      <w:pPr>
        <w:pStyle w:val="SingleTxt"/>
        <w:ind w:left="2693" w:hanging="1426"/>
        <w:rPr>
          <w:lang w:val="fr-FR"/>
        </w:rPr>
      </w:pPr>
      <w:r>
        <w:rPr>
          <w:lang w:val="fr-FR"/>
        </w:rPr>
        <w:tab/>
      </w:r>
      <w:r>
        <w:rPr>
          <w:lang w:val="fr-FR"/>
        </w:rPr>
        <w:tab/>
        <w:t>a)</w:t>
      </w:r>
      <w:r>
        <w:rPr>
          <w:lang w:val="fr-FR"/>
        </w:rPr>
        <w:tab/>
      </w:r>
      <w:r w:rsidR="00EF6384" w:rsidRPr="00EF6384">
        <w:rPr>
          <w:lang w:val="fr-FR"/>
        </w:rPr>
        <w:t>une évaluation de conformité portant à la fois sur l’enveloppe de la bouteille et sur la matière poreuse qu’elle contient; ou</w:t>
      </w:r>
    </w:p>
    <w:p w:rsidR="00EF6384" w:rsidRDefault="00703C78" w:rsidP="00046602">
      <w:pPr>
        <w:pStyle w:val="SingleTxt"/>
        <w:ind w:left="2693" w:hanging="1426"/>
        <w:rPr>
          <w:lang w:val="fr-FR"/>
        </w:rPr>
      </w:pPr>
      <w:r>
        <w:rPr>
          <w:lang w:val="fr-FR"/>
        </w:rPr>
        <w:tab/>
      </w:r>
      <w:r w:rsidR="00046602">
        <w:rPr>
          <w:lang w:val="fr-FR"/>
        </w:rPr>
        <w:tab/>
        <w:t>b)</w:t>
      </w:r>
      <w:r w:rsidR="00046602">
        <w:rPr>
          <w:lang w:val="fr-FR"/>
        </w:rPr>
        <w:tab/>
      </w:r>
      <w:r w:rsidR="00EF6384" w:rsidRPr="00EF6384">
        <w:rPr>
          <w:lang w:val="fr-FR"/>
        </w:rPr>
        <w:t>des évaluations de conformité séparées portant sur l’enveloppe de la bouteille vide et sur l’enveloppe de la bouteille avec la matière poreuse qu’elle contient.</w:t>
      </w:r>
    </w:p>
    <w:p w:rsidR="00636C70" w:rsidRPr="00636C70" w:rsidRDefault="00636C70" w:rsidP="00636C70">
      <w:pPr>
        <w:pStyle w:val="SingleTxt"/>
        <w:spacing w:after="0" w:line="120" w:lineRule="exact"/>
        <w:rPr>
          <w:sz w:val="10"/>
          <w:lang w:val="fr-FR"/>
        </w:rPr>
      </w:pPr>
    </w:p>
    <w:tbl>
      <w:tblPr>
        <w:tblW w:w="7574"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7574"/>
      </w:tblGrid>
      <w:tr w:rsidR="00636C70" w:rsidTr="00C30AB8">
        <w:tc>
          <w:tcPr>
            <w:tcW w:w="7574" w:type="dxa"/>
            <w:shd w:val="clear" w:color="auto" w:fill="auto"/>
          </w:tcPr>
          <w:p w:rsidR="00636C70" w:rsidRPr="00DE45B6" w:rsidRDefault="00636C70" w:rsidP="00C30AB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rPr>
            </w:pPr>
          </w:p>
          <w:p w:rsidR="00636C70" w:rsidRPr="00220A6E" w:rsidRDefault="00046602" w:rsidP="00C30AB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iCs/>
                <w:lang w:val="fr-FR"/>
              </w:rPr>
            </w:pPr>
            <w:r>
              <w:rPr>
                <w:iCs/>
                <w:lang w:val="fr-FR"/>
              </w:rPr>
              <w:tab/>
            </w:r>
            <w:r w:rsidR="00636C70" w:rsidRPr="00636C70">
              <w:rPr>
                <w:iCs/>
                <w:lang w:val="fr-FR"/>
              </w:rPr>
              <w:t>Ces dispositions clarifient l’évaluation séparée et rendent superflus les prescriptions relatives à l’évaluation de conformité séparées qui figurent au paragraphe 6.2.3.6.1.</w:t>
            </w:r>
          </w:p>
        </w:tc>
      </w:tr>
      <w:tr w:rsidR="00636C70" w:rsidTr="00C30AB8">
        <w:trPr>
          <w:trHeight w:hRule="exact" w:val="115"/>
        </w:trPr>
        <w:tc>
          <w:tcPr>
            <w:tcW w:w="7574" w:type="dxa"/>
            <w:shd w:val="clear" w:color="auto" w:fill="auto"/>
          </w:tcPr>
          <w:p w:rsidR="00636C70" w:rsidRDefault="00636C70" w:rsidP="00C30AB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bl>
    <w:p w:rsidR="00636C70" w:rsidRPr="00636C70" w:rsidRDefault="00636C70" w:rsidP="00636C70">
      <w:pPr>
        <w:pStyle w:val="SingleTxt"/>
        <w:spacing w:after="0" w:line="120" w:lineRule="exact"/>
        <w:rPr>
          <w:sz w:val="10"/>
          <w:lang w:val="fr-FR"/>
        </w:rPr>
      </w:pPr>
    </w:p>
    <w:p w:rsidR="00636C70" w:rsidRPr="00636C70" w:rsidRDefault="00636C70" w:rsidP="00636C70">
      <w:pPr>
        <w:pStyle w:val="SingleTxt"/>
        <w:spacing w:after="0" w:line="120" w:lineRule="exact"/>
        <w:rPr>
          <w:sz w:val="10"/>
          <w:lang w:val="fr-FR"/>
        </w:rPr>
      </w:pPr>
    </w:p>
    <w:p w:rsidR="00EF6384" w:rsidRPr="00EF6384" w:rsidRDefault="00EF6384" w:rsidP="00BD3AB8">
      <w:pPr>
        <w:pStyle w:val="SingleTxt"/>
        <w:ind w:left="2218" w:hanging="951"/>
        <w:rPr>
          <w:iCs/>
          <w:lang w:val="fr-FR"/>
        </w:rPr>
      </w:pPr>
      <w:r w:rsidRPr="00EF6384">
        <w:rPr>
          <w:iCs/>
          <w:lang w:val="fr-FR"/>
        </w:rPr>
        <w:t>6.2.1.5.1</w:t>
      </w:r>
      <w:r w:rsidRPr="00EF6384">
        <w:rPr>
          <w:iCs/>
          <w:lang w:val="fr-FR"/>
        </w:rPr>
        <w:tab/>
        <w:t xml:space="preserve">Dans la première phrase, remplacer </w:t>
      </w:r>
      <w:r w:rsidR="00703C78">
        <w:rPr>
          <w:iCs/>
          <w:lang w:val="fr-FR"/>
        </w:rPr>
        <w:t>« </w:t>
      </w:r>
      <w:r w:rsidRPr="00EF6384">
        <w:rPr>
          <w:iCs/>
          <w:lang w:val="fr-FR"/>
        </w:rPr>
        <w:t>des récipients cryogéniques fermés et des dispositifs de stockage à hydrure métallique,</w:t>
      </w:r>
      <w:r w:rsidR="00703C78">
        <w:rPr>
          <w:iCs/>
          <w:lang w:val="fr-FR"/>
        </w:rPr>
        <w:t> »</w:t>
      </w:r>
      <w:r w:rsidRPr="00EF6384">
        <w:rPr>
          <w:iCs/>
          <w:lang w:val="fr-FR"/>
        </w:rPr>
        <w:t xml:space="preserve"> par </w:t>
      </w:r>
      <w:r w:rsidR="00703C78">
        <w:rPr>
          <w:iCs/>
          <w:lang w:val="fr-FR"/>
        </w:rPr>
        <w:t>« </w:t>
      </w:r>
      <w:r w:rsidRPr="00EF6384">
        <w:rPr>
          <w:iCs/>
          <w:lang w:val="fr-FR"/>
        </w:rPr>
        <w:t>des récipients cryogéniques fermés, des dispositifs de stockage à hydrure métallique et des cadres de bouteilles,</w:t>
      </w:r>
      <w:r w:rsidR="00703C78">
        <w:rPr>
          <w:iCs/>
          <w:lang w:val="fr-FR"/>
        </w:rPr>
        <w:t> »</w:t>
      </w:r>
      <w:r w:rsidRPr="00EF6384">
        <w:rPr>
          <w:iCs/>
          <w:lang w:val="fr-FR"/>
        </w:rPr>
        <w:t xml:space="preserve"> et après </w:t>
      </w:r>
      <w:r w:rsidR="00703C78">
        <w:rPr>
          <w:iCs/>
          <w:lang w:val="fr-FR"/>
        </w:rPr>
        <w:t>« </w:t>
      </w:r>
      <w:r w:rsidRPr="00EF6384">
        <w:rPr>
          <w:iCs/>
          <w:lang w:val="fr-FR"/>
        </w:rPr>
        <w:t>normes de conception qui leur sont applicables</w:t>
      </w:r>
      <w:r w:rsidR="00703C78">
        <w:rPr>
          <w:iCs/>
          <w:lang w:val="fr-FR"/>
        </w:rPr>
        <w:t> »</w:t>
      </w:r>
      <w:r w:rsidRPr="00EF6384">
        <w:rPr>
          <w:iCs/>
          <w:lang w:val="fr-FR"/>
        </w:rPr>
        <w:t xml:space="preserve">, ajouter </w:t>
      </w:r>
      <w:r w:rsidR="00703C78">
        <w:rPr>
          <w:iCs/>
          <w:lang w:val="fr-FR"/>
        </w:rPr>
        <w:t>« </w:t>
      </w:r>
      <w:r w:rsidRPr="00EF6384">
        <w:rPr>
          <w:iCs/>
          <w:lang w:val="fr-FR"/>
        </w:rPr>
        <w:t>ou à des codes techniques reconnus</w:t>
      </w:r>
      <w:r w:rsidR="00703C78">
        <w:rPr>
          <w:iCs/>
          <w:lang w:val="fr-FR"/>
        </w:rPr>
        <w:t> »</w:t>
      </w:r>
      <w:r w:rsidRPr="00EF6384">
        <w:rPr>
          <w:iCs/>
          <w:lang w:val="fr-FR"/>
        </w:rPr>
        <w:t>.</w:t>
      </w:r>
      <w:r w:rsidRPr="00EF6384">
        <w:rPr>
          <w:iCs/>
          <w:u w:val="single"/>
          <w:lang w:val="fr-FR"/>
        </w:rPr>
        <w:t xml:space="preserve"> </w:t>
      </w:r>
    </w:p>
    <w:p w:rsidR="00EF6384" w:rsidRPr="00EF6384" w:rsidRDefault="00BD3AB8" w:rsidP="00BD3AB8">
      <w:pPr>
        <w:pStyle w:val="SingleTxt"/>
        <w:ind w:left="2218" w:hanging="951"/>
        <w:rPr>
          <w:iCs/>
          <w:lang w:val="fr-FR"/>
        </w:rPr>
      </w:pPr>
      <w:r>
        <w:rPr>
          <w:iCs/>
          <w:lang w:val="fr-FR"/>
        </w:rPr>
        <w:tab/>
      </w:r>
      <w:r>
        <w:rPr>
          <w:iCs/>
          <w:lang w:val="fr-FR"/>
        </w:rPr>
        <w:tab/>
      </w:r>
      <w:r w:rsidR="00EF6384" w:rsidRPr="00EF6384">
        <w:rPr>
          <w:iCs/>
          <w:lang w:val="fr-FR"/>
        </w:rPr>
        <w:t>Dans</w:t>
      </w:r>
      <w:r w:rsidR="00703C78">
        <w:rPr>
          <w:iCs/>
          <w:lang w:val="fr-FR"/>
        </w:rPr>
        <w:t xml:space="preserve"> la ligne qui précède l’alinéa </w:t>
      </w:r>
      <w:r w:rsidR="00EF6384" w:rsidRPr="00EF6384">
        <w:rPr>
          <w:iCs/>
          <w:lang w:val="fr-FR"/>
        </w:rPr>
        <w:t xml:space="preserve">a), </w:t>
      </w:r>
      <w:proofErr w:type="gramStart"/>
      <w:r w:rsidR="00EF6384" w:rsidRPr="00EF6384">
        <w:rPr>
          <w:iCs/>
          <w:lang w:val="fr-FR"/>
        </w:rPr>
        <w:t>remplacer</w:t>
      </w:r>
      <w:proofErr w:type="gramEnd"/>
      <w:r w:rsidR="00EF6384" w:rsidRPr="00EF6384">
        <w:rPr>
          <w:iCs/>
          <w:lang w:val="fr-FR"/>
        </w:rPr>
        <w:t xml:space="preserve"> </w:t>
      </w:r>
      <w:r w:rsidR="00703C78">
        <w:rPr>
          <w:iCs/>
          <w:lang w:val="fr-FR"/>
        </w:rPr>
        <w:t>« </w:t>
      </w:r>
      <w:r w:rsidR="00EF6384" w:rsidRPr="00EF6384">
        <w:rPr>
          <w:iCs/>
          <w:lang w:val="fr-FR"/>
        </w:rPr>
        <w:t>récipients à pression</w:t>
      </w:r>
      <w:r w:rsidR="00703C78">
        <w:rPr>
          <w:iCs/>
          <w:lang w:val="fr-FR"/>
        </w:rPr>
        <w:t> »</w:t>
      </w:r>
      <w:r w:rsidR="00EF6384" w:rsidRPr="00EF6384">
        <w:rPr>
          <w:iCs/>
          <w:lang w:val="fr-FR"/>
        </w:rPr>
        <w:t xml:space="preserve"> par </w:t>
      </w:r>
      <w:r w:rsidR="00703C78">
        <w:rPr>
          <w:iCs/>
          <w:lang w:val="fr-FR"/>
        </w:rPr>
        <w:t>« </w:t>
      </w:r>
      <w:r w:rsidR="00EF6384" w:rsidRPr="00EF6384">
        <w:rPr>
          <w:iCs/>
          <w:lang w:val="fr-FR"/>
        </w:rPr>
        <w:t>enveloppes des récipients à pression</w:t>
      </w:r>
      <w:r w:rsidR="00703C78">
        <w:rPr>
          <w:iCs/>
          <w:lang w:val="fr-FR"/>
        </w:rPr>
        <w:t> »</w:t>
      </w:r>
      <w:r w:rsidR="00EF6384" w:rsidRPr="00EF6384">
        <w:rPr>
          <w:iCs/>
          <w:lang w:val="fr-FR"/>
        </w:rPr>
        <w:t>.</w:t>
      </w:r>
    </w:p>
    <w:p w:rsidR="00EF6384" w:rsidRPr="00EF6384" w:rsidRDefault="00BD3AB8" w:rsidP="00BD3AB8">
      <w:pPr>
        <w:pStyle w:val="SingleTxt"/>
        <w:ind w:left="1742" w:hanging="475"/>
        <w:rPr>
          <w:iCs/>
          <w:lang w:val="fr-FR"/>
        </w:rPr>
      </w:pPr>
      <w:r>
        <w:rPr>
          <w:iCs/>
          <w:lang w:val="fr-FR"/>
        </w:rPr>
        <w:tab/>
      </w:r>
      <w:r>
        <w:rPr>
          <w:iCs/>
          <w:lang w:val="fr-FR"/>
        </w:rPr>
        <w:tab/>
      </w:r>
      <w:r>
        <w:rPr>
          <w:iCs/>
          <w:lang w:val="fr-FR"/>
        </w:rPr>
        <w:tab/>
      </w:r>
      <w:r w:rsidR="00703C78">
        <w:rPr>
          <w:iCs/>
          <w:lang w:val="fr-FR"/>
        </w:rPr>
        <w:t>Alinéa </w:t>
      </w:r>
      <w:r w:rsidR="00EF6384" w:rsidRPr="00EF6384">
        <w:rPr>
          <w:iCs/>
          <w:lang w:val="fr-FR"/>
        </w:rPr>
        <w:t>d)</w:t>
      </w:r>
      <w:r w:rsidR="00EF6384" w:rsidRPr="00EF6384">
        <w:rPr>
          <w:iCs/>
          <w:lang w:val="fr-FR"/>
        </w:rPr>
        <w:tab/>
      </w:r>
      <w:r>
        <w:rPr>
          <w:iCs/>
          <w:lang w:val="fr-FR"/>
        </w:rPr>
        <w:t>À</w:t>
      </w:r>
      <w:r w:rsidR="00EF6384" w:rsidRPr="00EF6384">
        <w:rPr>
          <w:iCs/>
          <w:lang w:val="fr-FR"/>
        </w:rPr>
        <w:t xml:space="preserve"> la fin, supprimer </w:t>
      </w:r>
      <w:r w:rsidR="00703C78">
        <w:rPr>
          <w:iCs/>
          <w:lang w:val="fr-FR"/>
        </w:rPr>
        <w:t>« </w:t>
      </w:r>
      <w:r w:rsidR="00EF6384" w:rsidRPr="00EF6384">
        <w:rPr>
          <w:iCs/>
          <w:lang w:val="fr-FR"/>
        </w:rPr>
        <w:t>des récipients à pression</w:t>
      </w:r>
      <w:r w:rsidR="00703C78">
        <w:rPr>
          <w:iCs/>
          <w:lang w:val="fr-FR"/>
        </w:rPr>
        <w:t> »</w:t>
      </w:r>
      <w:r w:rsidR="00EF6384" w:rsidRPr="00EF6384">
        <w:rPr>
          <w:iCs/>
          <w:lang w:val="fr-FR"/>
        </w:rPr>
        <w:t>.</w:t>
      </w:r>
    </w:p>
    <w:p w:rsidR="00EF6384" w:rsidRPr="00EF6384" w:rsidRDefault="00BD3AB8" w:rsidP="00BD3AB8">
      <w:pPr>
        <w:pStyle w:val="SingleTxt"/>
        <w:ind w:left="3658" w:hanging="2391"/>
        <w:rPr>
          <w:iCs/>
          <w:lang w:val="fr-FR"/>
        </w:rPr>
      </w:pPr>
      <w:r>
        <w:rPr>
          <w:iCs/>
          <w:lang w:val="fr-FR"/>
        </w:rPr>
        <w:tab/>
      </w:r>
      <w:r>
        <w:rPr>
          <w:iCs/>
          <w:lang w:val="fr-FR"/>
        </w:rPr>
        <w:tab/>
      </w:r>
      <w:r>
        <w:rPr>
          <w:iCs/>
          <w:lang w:val="fr-FR"/>
        </w:rPr>
        <w:tab/>
      </w:r>
      <w:r w:rsidR="00703C78">
        <w:rPr>
          <w:iCs/>
          <w:lang w:val="fr-FR"/>
        </w:rPr>
        <w:t>Alinéa </w:t>
      </w:r>
      <w:r w:rsidR="00EF6384" w:rsidRPr="00EF6384">
        <w:rPr>
          <w:iCs/>
          <w:lang w:val="fr-FR"/>
        </w:rPr>
        <w:t>e)</w:t>
      </w:r>
      <w:r w:rsidR="00EF6384" w:rsidRPr="00EF6384">
        <w:rPr>
          <w:iCs/>
          <w:lang w:val="fr-FR"/>
        </w:rPr>
        <w:tab/>
        <w:t xml:space="preserve">Remplacer </w:t>
      </w:r>
      <w:r w:rsidR="00703C78">
        <w:rPr>
          <w:iCs/>
          <w:lang w:val="fr-FR"/>
        </w:rPr>
        <w:t>« </w:t>
      </w:r>
      <w:r w:rsidR="00EF6384" w:rsidRPr="00EF6384">
        <w:rPr>
          <w:iCs/>
          <w:lang w:val="fr-FR"/>
        </w:rPr>
        <w:t>filetage des goulots</w:t>
      </w:r>
      <w:r w:rsidR="00703C78">
        <w:rPr>
          <w:iCs/>
          <w:lang w:val="fr-FR"/>
        </w:rPr>
        <w:t> »</w:t>
      </w:r>
      <w:r w:rsidR="00EF6384" w:rsidRPr="00EF6384">
        <w:rPr>
          <w:iCs/>
          <w:lang w:val="fr-FR"/>
        </w:rPr>
        <w:t xml:space="preserve"> par </w:t>
      </w:r>
      <w:r w:rsidR="00F63983">
        <w:rPr>
          <w:iCs/>
          <w:lang w:val="fr-FR"/>
        </w:rPr>
        <w:t>« </w:t>
      </w:r>
      <w:r w:rsidR="00EF6384" w:rsidRPr="00EF6384">
        <w:rPr>
          <w:iCs/>
          <w:lang w:val="fr-FR"/>
        </w:rPr>
        <w:t>filetage utilisé pour ajuster la fermeture</w:t>
      </w:r>
      <w:r w:rsidR="00F63983">
        <w:rPr>
          <w:iCs/>
          <w:lang w:val="fr-FR"/>
        </w:rPr>
        <w:t> »</w:t>
      </w:r>
      <w:r w:rsidR="00EF6384" w:rsidRPr="00EF6384">
        <w:rPr>
          <w:iCs/>
          <w:lang w:val="fr-FR"/>
        </w:rPr>
        <w:t>.</w:t>
      </w:r>
    </w:p>
    <w:p w:rsidR="00EF6384" w:rsidRPr="00EF6384" w:rsidRDefault="00BD3AB8" w:rsidP="00BD3AB8">
      <w:pPr>
        <w:pStyle w:val="SingleTxt"/>
        <w:ind w:left="2218" w:hanging="951"/>
        <w:rPr>
          <w:iCs/>
          <w:lang w:val="fr-FR"/>
        </w:rPr>
      </w:pPr>
      <w:r>
        <w:rPr>
          <w:iCs/>
          <w:lang w:val="fr-FR"/>
        </w:rPr>
        <w:tab/>
      </w:r>
      <w:r>
        <w:rPr>
          <w:iCs/>
          <w:lang w:val="fr-FR"/>
        </w:rPr>
        <w:tab/>
      </w:r>
      <w:r w:rsidR="00703C78">
        <w:rPr>
          <w:iCs/>
          <w:lang w:val="fr-FR"/>
        </w:rPr>
        <w:t>Dans la ligne qui suit l’alinéa </w:t>
      </w:r>
      <w:r w:rsidR="00EF6384" w:rsidRPr="00EF6384">
        <w:rPr>
          <w:iCs/>
          <w:lang w:val="fr-FR"/>
        </w:rPr>
        <w:t xml:space="preserve">f), remplacer </w:t>
      </w:r>
      <w:r w:rsidR="00703C78">
        <w:rPr>
          <w:iCs/>
          <w:lang w:val="fr-FR"/>
        </w:rPr>
        <w:t>« </w:t>
      </w:r>
      <w:r w:rsidR="00EF6384" w:rsidRPr="00EF6384">
        <w:rPr>
          <w:iCs/>
          <w:lang w:val="fr-FR"/>
        </w:rPr>
        <w:t>récipients à pression</w:t>
      </w:r>
      <w:r w:rsidR="00703C78">
        <w:rPr>
          <w:iCs/>
          <w:lang w:val="fr-FR"/>
        </w:rPr>
        <w:t> »</w:t>
      </w:r>
      <w:r w:rsidR="00EF6384" w:rsidRPr="00EF6384">
        <w:rPr>
          <w:iCs/>
          <w:lang w:val="fr-FR"/>
        </w:rPr>
        <w:t xml:space="preserve"> par </w:t>
      </w:r>
      <w:r w:rsidR="00703C78">
        <w:rPr>
          <w:iCs/>
          <w:lang w:val="fr-FR"/>
        </w:rPr>
        <w:t>« </w:t>
      </w:r>
      <w:r w:rsidR="00EF6384" w:rsidRPr="00EF6384">
        <w:rPr>
          <w:iCs/>
          <w:lang w:val="fr-FR"/>
        </w:rPr>
        <w:t>enveloppes des récipients à pression</w:t>
      </w:r>
      <w:r w:rsidR="00703C78">
        <w:rPr>
          <w:iCs/>
          <w:lang w:val="fr-FR"/>
        </w:rPr>
        <w:t> »</w:t>
      </w:r>
      <w:r w:rsidR="00EF6384" w:rsidRPr="00EF6384">
        <w:rPr>
          <w:iCs/>
          <w:lang w:val="fr-FR"/>
        </w:rPr>
        <w:t>.</w:t>
      </w:r>
    </w:p>
    <w:p w:rsidR="00EF6384" w:rsidRPr="00EF6384" w:rsidRDefault="00BD3AB8" w:rsidP="00BD3AB8">
      <w:pPr>
        <w:pStyle w:val="SingleTxt"/>
        <w:ind w:left="3658" w:hanging="2391"/>
        <w:rPr>
          <w:iCs/>
          <w:lang w:val="fr-FR"/>
        </w:rPr>
      </w:pPr>
      <w:r>
        <w:rPr>
          <w:iCs/>
          <w:lang w:val="fr-FR"/>
        </w:rPr>
        <w:tab/>
      </w:r>
      <w:r>
        <w:rPr>
          <w:iCs/>
          <w:lang w:val="fr-FR"/>
        </w:rPr>
        <w:tab/>
      </w:r>
      <w:r>
        <w:rPr>
          <w:iCs/>
          <w:lang w:val="fr-FR"/>
        </w:rPr>
        <w:tab/>
      </w:r>
      <w:r w:rsidR="00703C78">
        <w:rPr>
          <w:iCs/>
          <w:lang w:val="fr-FR"/>
        </w:rPr>
        <w:t>Alinéa </w:t>
      </w:r>
      <w:r w:rsidR="00EF6384" w:rsidRPr="00EF6384">
        <w:rPr>
          <w:iCs/>
          <w:lang w:val="fr-FR"/>
        </w:rPr>
        <w:t>g)</w:t>
      </w:r>
      <w:r w:rsidR="00EF6384" w:rsidRPr="00EF6384">
        <w:rPr>
          <w:iCs/>
          <w:lang w:val="fr-FR"/>
        </w:rPr>
        <w:tab/>
        <w:t xml:space="preserve">Remplacer </w:t>
      </w:r>
      <w:r w:rsidR="00703C78">
        <w:rPr>
          <w:iCs/>
          <w:lang w:val="fr-FR"/>
        </w:rPr>
        <w:t>« </w:t>
      </w:r>
      <w:r w:rsidR="00EF6384" w:rsidRPr="00EF6384">
        <w:rPr>
          <w:iCs/>
          <w:lang w:val="fr-FR"/>
        </w:rPr>
        <w:t>récipients à pression</w:t>
      </w:r>
      <w:r w:rsidR="00703C78">
        <w:rPr>
          <w:iCs/>
          <w:lang w:val="fr-FR"/>
        </w:rPr>
        <w:t> »</w:t>
      </w:r>
      <w:r w:rsidR="00EF6384" w:rsidRPr="00EF6384">
        <w:rPr>
          <w:iCs/>
          <w:lang w:val="fr-FR"/>
        </w:rPr>
        <w:t xml:space="preserve"> par </w:t>
      </w:r>
      <w:r w:rsidR="00703C78">
        <w:rPr>
          <w:iCs/>
          <w:lang w:val="fr-FR"/>
        </w:rPr>
        <w:t>« </w:t>
      </w:r>
      <w:r w:rsidR="00EF6384" w:rsidRPr="00EF6384">
        <w:rPr>
          <w:iCs/>
          <w:lang w:val="fr-FR"/>
        </w:rPr>
        <w:t>enveloppes des récipients à pression</w:t>
      </w:r>
      <w:r w:rsidR="00703C78">
        <w:rPr>
          <w:iCs/>
          <w:lang w:val="fr-FR"/>
        </w:rPr>
        <w:t> »</w:t>
      </w:r>
      <w:r w:rsidR="00EF6384" w:rsidRPr="00EF6384">
        <w:rPr>
          <w:iCs/>
          <w:lang w:val="fr-FR"/>
        </w:rPr>
        <w:t>.</w:t>
      </w:r>
    </w:p>
    <w:p w:rsidR="00EF6384" w:rsidRPr="00EF6384" w:rsidRDefault="00BD3AB8" w:rsidP="00BD3AB8">
      <w:pPr>
        <w:pStyle w:val="SingleTxt"/>
        <w:ind w:left="3658" w:hanging="2391"/>
        <w:rPr>
          <w:iCs/>
          <w:lang w:val="fr-FR"/>
        </w:rPr>
      </w:pPr>
      <w:r>
        <w:rPr>
          <w:iCs/>
          <w:lang w:val="fr-FR"/>
        </w:rPr>
        <w:tab/>
      </w:r>
      <w:r>
        <w:rPr>
          <w:iCs/>
          <w:lang w:val="fr-FR"/>
        </w:rPr>
        <w:tab/>
      </w:r>
      <w:r>
        <w:rPr>
          <w:iCs/>
          <w:lang w:val="fr-FR"/>
        </w:rPr>
        <w:tab/>
      </w:r>
      <w:r w:rsidR="00703C78">
        <w:rPr>
          <w:iCs/>
          <w:lang w:val="fr-FR"/>
        </w:rPr>
        <w:t>Alinéa </w:t>
      </w:r>
      <w:r w:rsidR="00EF6384" w:rsidRPr="00EF6384">
        <w:rPr>
          <w:iCs/>
          <w:lang w:val="fr-FR"/>
        </w:rPr>
        <w:t>h)</w:t>
      </w:r>
      <w:r w:rsidR="00EF6384" w:rsidRPr="00EF6384">
        <w:rPr>
          <w:iCs/>
          <w:lang w:val="fr-FR"/>
        </w:rPr>
        <w:tab/>
        <w:t xml:space="preserve">Dans les deux phrases, remplacer </w:t>
      </w:r>
      <w:r w:rsidR="00703C78">
        <w:rPr>
          <w:iCs/>
          <w:lang w:val="fr-FR"/>
        </w:rPr>
        <w:t>« </w:t>
      </w:r>
      <w:r w:rsidR="00EF6384" w:rsidRPr="00EF6384">
        <w:rPr>
          <w:iCs/>
          <w:lang w:val="fr-FR"/>
        </w:rPr>
        <w:t>récipients à pression</w:t>
      </w:r>
      <w:r w:rsidR="00703C78">
        <w:rPr>
          <w:iCs/>
          <w:lang w:val="fr-FR"/>
        </w:rPr>
        <w:t> »</w:t>
      </w:r>
      <w:r w:rsidR="00EF6384" w:rsidRPr="00EF6384">
        <w:rPr>
          <w:iCs/>
          <w:lang w:val="fr-FR"/>
        </w:rPr>
        <w:t xml:space="preserve"> par </w:t>
      </w:r>
      <w:r w:rsidR="00703C78">
        <w:rPr>
          <w:iCs/>
          <w:lang w:val="fr-FR"/>
        </w:rPr>
        <w:t>« </w:t>
      </w:r>
      <w:r w:rsidR="00EF6384" w:rsidRPr="00EF6384">
        <w:rPr>
          <w:iCs/>
          <w:lang w:val="fr-FR"/>
        </w:rPr>
        <w:t>enveloppes des récipients à pression</w:t>
      </w:r>
      <w:r w:rsidR="00703C78">
        <w:rPr>
          <w:iCs/>
          <w:lang w:val="fr-FR"/>
        </w:rPr>
        <w:t> »</w:t>
      </w:r>
      <w:r w:rsidR="00EF6384" w:rsidRPr="00EF6384">
        <w:rPr>
          <w:iCs/>
          <w:lang w:val="fr-FR"/>
        </w:rPr>
        <w:t>.</w:t>
      </w:r>
    </w:p>
    <w:p w:rsidR="00EF6384" w:rsidRPr="00EF6384" w:rsidRDefault="00BD3AB8" w:rsidP="007F5546">
      <w:pPr>
        <w:pStyle w:val="SingleTxt"/>
        <w:ind w:left="3658" w:hanging="2391"/>
        <w:rPr>
          <w:iCs/>
          <w:lang w:val="fr-FR"/>
        </w:rPr>
      </w:pPr>
      <w:r>
        <w:rPr>
          <w:iCs/>
          <w:lang w:val="fr-FR"/>
        </w:rPr>
        <w:tab/>
      </w:r>
      <w:r>
        <w:rPr>
          <w:iCs/>
          <w:lang w:val="fr-FR"/>
        </w:rPr>
        <w:tab/>
      </w:r>
      <w:r>
        <w:rPr>
          <w:iCs/>
          <w:lang w:val="fr-FR"/>
        </w:rPr>
        <w:tab/>
      </w:r>
      <w:r w:rsidR="00703C78">
        <w:rPr>
          <w:iCs/>
          <w:lang w:val="fr-FR"/>
        </w:rPr>
        <w:t>Alinéa </w:t>
      </w:r>
      <w:r w:rsidR="00EF6384" w:rsidRPr="00EF6384">
        <w:rPr>
          <w:iCs/>
          <w:lang w:val="fr-FR"/>
        </w:rPr>
        <w:t>i)</w:t>
      </w:r>
      <w:r w:rsidR="00EF6384" w:rsidRPr="00EF6384">
        <w:rPr>
          <w:iCs/>
          <w:lang w:val="fr-FR"/>
        </w:rPr>
        <w:tab/>
        <w:t xml:space="preserve">Remplacer </w:t>
      </w:r>
      <w:r w:rsidR="00703C78">
        <w:rPr>
          <w:iCs/>
          <w:lang w:val="fr-FR"/>
        </w:rPr>
        <w:t>« </w:t>
      </w:r>
      <w:r w:rsidR="00EF6384" w:rsidRPr="00EF6384">
        <w:rPr>
          <w:iCs/>
          <w:lang w:val="fr-FR"/>
        </w:rPr>
        <w:t>récipients à pression</w:t>
      </w:r>
      <w:r w:rsidR="00703C78">
        <w:rPr>
          <w:iCs/>
          <w:lang w:val="fr-FR"/>
        </w:rPr>
        <w:t> »</w:t>
      </w:r>
      <w:r w:rsidR="00EF6384" w:rsidRPr="00EF6384">
        <w:rPr>
          <w:iCs/>
          <w:lang w:val="fr-FR"/>
        </w:rPr>
        <w:t xml:space="preserve"> par </w:t>
      </w:r>
      <w:r w:rsidR="00703C78">
        <w:rPr>
          <w:iCs/>
          <w:lang w:val="fr-FR"/>
        </w:rPr>
        <w:t>« </w:t>
      </w:r>
      <w:r w:rsidR="00EF6384" w:rsidRPr="00EF6384">
        <w:rPr>
          <w:iCs/>
          <w:lang w:val="fr-FR"/>
        </w:rPr>
        <w:t>enveloppes des récipients à pression</w:t>
      </w:r>
      <w:r w:rsidR="00703C78">
        <w:rPr>
          <w:iCs/>
          <w:lang w:val="fr-FR"/>
        </w:rPr>
        <w:t> »</w:t>
      </w:r>
      <w:r w:rsidR="00EF6384" w:rsidRPr="00EF6384">
        <w:rPr>
          <w:iCs/>
          <w:lang w:val="fr-FR"/>
        </w:rPr>
        <w:t>.</w:t>
      </w:r>
    </w:p>
    <w:p w:rsidR="00EF6384" w:rsidRPr="00EF6384" w:rsidRDefault="00BD3AB8" w:rsidP="00BD3AB8">
      <w:pPr>
        <w:pStyle w:val="SingleTxt"/>
        <w:ind w:left="3658" w:hanging="2391"/>
        <w:rPr>
          <w:iCs/>
          <w:lang w:val="fr-FR"/>
        </w:rPr>
      </w:pPr>
      <w:r>
        <w:rPr>
          <w:iCs/>
          <w:lang w:val="fr-FR"/>
        </w:rPr>
        <w:tab/>
      </w:r>
      <w:r>
        <w:rPr>
          <w:iCs/>
          <w:lang w:val="fr-FR"/>
        </w:rPr>
        <w:tab/>
      </w:r>
      <w:r>
        <w:rPr>
          <w:iCs/>
          <w:lang w:val="fr-FR"/>
        </w:rPr>
        <w:tab/>
      </w:r>
      <w:r w:rsidR="00EF6384" w:rsidRPr="00EF6384">
        <w:rPr>
          <w:iCs/>
          <w:lang w:val="fr-FR"/>
        </w:rPr>
        <w:t>Alinéa j)</w:t>
      </w:r>
      <w:r w:rsidR="00EF6384" w:rsidRPr="00EF6384">
        <w:rPr>
          <w:iCs/>
          <w:lang w:val="fr-FR"/>
        </w:rPr>
        <w:tab/>
        <w:t xml:space="preserve">Remplacer </w:t>
      </w:r>
      <w:r w:rsidR="00703C78">
        <w:rPr>
          <w:iCs/>
          <w:lang w:val="fr-FR"/>
        </w:rPr>
        <w:t>« </w:t>
      </w:r>
      <w:r w:rsidR="00EF6384" w:rsidRPr="00EF6384">
        <w:rPr>
          <w:iCs/>
          <w:lang w:val="fr-FR"/>
        </w:rPr>
        <w:t>récipients à pression</w:t>
      </w:r>
      <w:r w:rsidR="00703C78">
        <w:rPr>
          <w:iCs/>
          <w:lang w:val="fr-FR"/>
        </w:rPr>
        <w:t> »</w:t>
      </w:r>
      <w:r w:rsidR="00EF6384" w:rsidRPr="00EF6384">
        <w:rPr>
          <w:iCs/>
          <w:lang w:val="fr-FR"/>
        </w:rPr>
        <w:t xml:space="preserve"> par </w:t>
      </w:r>
      <w:r w:rsidR="00703C78">
        <w:rPr>
          <w:iCs/>
          <w:lang w:val="fr-FR"/>
        </w:rPr>
        <w:t>« </w:t>
      </w:r>
      <w:r w:rsidR="00EF6384" w:rsidRPr="00EF6384">
        <w:rPr>
          <w:iCs/>
          <w:lang w:val="fr-FR"/>
        </w:rPr>
        <w:t>enveloppes des bouteilles</w:t>
      </w:r>
      <w:r w:rsidR="00703C78">
        <w:rPr>
          <w:iCs/>
          <w:lang w:val="fr-FR"/>
        </w:rPr>
        <w:t> »</w:t>
      </w:r>
      <w:r w:rsidR="00EF6384" w:rsidRPr="00EF6384">
        <w:rPr>
          <w:iCs/>
          <w:lang w:val="fr-FR"/>
        </w:rPr>
        <w:t>.</w:t>
      </w:r>
    </w:p>
    <w:p w:rsidR="00EF6384" w:rsidRPr="00EF6384" w:rsidRDefault="00BD3AB8" w:rsidP="00EF6384">
      <w:pPr>
        <w:pStyle w:val="SingleTxt"/>
        <w:rPr>
          <w:iCs/>
          <w:lang w:val="fr-FR"/>
        </w:rPr>
      </w:pPr>
      <w:r>
        <w:rPr>
          <w:iCs/>
          <w:lang w:val="fr-FR"/>
        </w:rPr>
        <w:lastRenderedPageBreak/>
        <w:tab/>
      </w:r>
      <w:r w:rsidR="004F2FAD">
        <w:rPr>
          <w:iCs/>
          <w:lang w:val="fr-FR"/>
        </w:rPr>
        <w:tab/>
      </w:r>
      <w:r w:rsidR="00703C78">
        <w:rPr>
          <w:iCs/>
          <w:lang w:val="fr-FR"/>
        </w:rPr>
        <w:t>Après l’alinéa </w:t>
      </w:r>
      <w:r w:rsidR="00EF6384" w:rsidRPr="00EF6384">
        <w:rPr>
          <w:iCs/>
          <w:lang w:val="fr-FR"/>
        </w:rPr>
        <w:t>j), ajouter la nouvelle disposition suivante.</w:t>
      </w:r>
    </w:p>
    <w:p w:rsidR="00EF6384" w:rsidRPr="00EF6384" w:rsidRDefault="00BD3AB8" w:rsidP="007F5546">
      <w:pPr>
        <w:pStyle w:val="SingleTxt"/>
        <w:keepNext/>
        <w:keepLines/>
        <w:rPr>
          <w:iCs/>
          <w:lang w:val="fr-FR"/>
        </w:rPr>
      </w:pPr>
      <w:r>
        <w:rPr>
          <w:iCs/>
          <w:lang w:val="fr-FR"/>
        </w:rPr>
        <w:tab/>
      </w:r>
      <w:r w:rsidR="004F2FAD">
        <w:rPr>
          <w:iCs/>
          <w:lang w:val="fr-FR"/>
        </w:rPr>
        <w:tab/>
      </w:r>
      <w:r w:rsidR="00703C78">
        <w:rPr>
          <w:iCs/>
          <w:lang w:val="fr-FR"/>
        </w:rPr>
        <w:t>« </w:t>
      </w:r>
      <w:r w:rsidR="00EF6384" w:rsidRPr="00EF6384">
        <w:rPr>
          <w:iCs/>
          <w:lang w:val="fr-FR"/>
        </w:rPr>
        <w:t>Sur un échantillon suffisant de fermetures</w:t>
      </w:r>
      <w:r w:rsidR="00703C78">
        <w:rPr>
          <w:iCs/>
          <w:lang w:val="fr-FR"/>
        </w:rPr>
        <w:t> </w:t>
      </w:r>
      <w:r w:rsidR="00684C99">
        <w:rPr>
          <w:iCs/>
          <w:lang w:val="fr-FR"/>
        </w:rPr>
        <w:t>:</w:t>
      </w:r>
    </w:p>
    <w:p w:rsidR="00EF6384" w:rsidRPr="00EF6384" w:rsidRDefault="00BD3AB8" w:rsidP="00EF6384">
      <w:pPr>
        <w:pStyle w:val="SingleTxt"/>
        <w:rPr>
          <w:lang w:val="fr-FR"/>
        </w:rPr>
      </w:pPr>
      <w:r>
        <w:rPr>
          <w:iCs/>
          <w:lang w:val="fr-FR"/>
        </w:rPr>
        <w:tab/>
      </w:r>
      <w:r>
        <w:rPr>
          <w:iCs/>
          <w:lang w:val="fr-FR"/>
        </w:rPr>
        <w:tab/>
      </w:r>
      <w:r w:rsidR="004F2FAD">
        <w:rPr>
          <w:iCs/>
          <w:lang w:val="fr-FR"/>
        </w:rPr>
        <w:tab/>
      </w:r>
      <w:r w:rsidR="00703C78">
        <w:rPr>
          <w:iCs/>
          <w:lang w:val="fr-FR"/>
        </w:rPr>
        <w:t>Alinéa </w:t>
      </w:r>
      <w:r w:rsidR="00EF6384" w:rsidRPr="00EF6384">
        <w:rPr>
          <w:iCs/>
          <w:lang w:val="fr-FR"/>
        </w:rPr>
        <w:t>k)</w:t>
      </w:r>
      <w:r w:rsidR="00EF6384" w:rsidRPr="00EF6384">
        <w:rPr>
          <w:iCs/>
          <w:lang w:val="fr-FR"/>
        </w:rPr>
        <w:tab/>
        <w:t>Vérification des matériaux métalliques et non-métalliques</w:t>
      </w:r>
      <w:r w:rsidR="00EF6384" w:rsidRPr="00EF6384">
        <w:rPr>
          <w:lang w:val="fr-FR"/>
        </w:rPr>
        <w:t>;</w:t>
      </w:r>
    </w:p>
    <w:p w:rsidR="00EF6384" w:rsidRPr="00EF6384" w:rsidRDefault="00BD3AB8" w:rsidP="00EF6384">
      <w:pPr>
        <w:pStyle w:val="SingleTxt"/>
        <w:rPr>
          <w:lang w:val="fr-FR"/>
        </w:rPr>
      </w:pPr>
      <w:r>
        <w:rPr>
          <w:lang w:val="fr-FR"/>
        </w:rPr>
        <w:tab/>
      </w:r>
      <w:r>
        <w:rPr>
          <w:lang w:val="fr-FR"/>
        </w:rPr>
        <w:tab/>
      </w:r>
      <w:r w:rsidR="004F2FAD">
        <w:rPr>
          <w:lang w:val="fr-FR"/>
        </w:rPr>
        <w:tab/>
      </w:r>
      <w:r w:rsidR="00703C78">
        <w:rPr>
          <w:lang w:val="fr-FR"/>
        </w:rPr>
        <w:t>Alinéa </w:t>
      </w:r>
      <w:r w:rsidR="00EF6384" w:rsidRPr="00EF6384">
        <w:rPr>
          <w:lang w:val="fr-FR"/>
        </w:rPr>
        <w:t>l)</w:t>
      </w:r>
      <w:r w:rsidR="00EF6384" w:rsidRPr="00EF6384">
        <w:rPr>
          <w:lang w:val="fr-FR"/>
        </w:rPr>
        <w:tab/>
        <w:t>Vérification des dimensions;</w:t>
      </w:r>
    </w:p>
    <w:p w:rsidR="00EF6384" w:rsidRPr="00EF6384" w:rsidRDefault="00BD3AB8" w:rsidP="00EF6384">
      <w:pPr>
        <w:pStyle w:val="SingleTxt"/>
        <w:rPr>
          <w:lang w:val="fr-FR"/>
        </w:rPr>
      </w:pPr>
      <w:r>
        <w:rPr>
          <w:iCs/>
          <w:lang w:val="fr-FR"/>
        </w:rPr>
        <w:tab/>
      </w:r>
      <w:r>
        <w:rPr>
          <w:iCs/>
          <w:lang w:val="fr-FR"/>
        </w:rPr>
        <w:tab/>
      </w:r>
      <w:r w:rsidR="004F2FAD">
        <w:rPr>
          <w:iCs/>
          <w:lang w:val="fr-FR"/>
        </w:rPr>
        <w:tab/>
      </w:r>
      <w:r w:rsidR="00703C78">
        <w:rPr>
          <w:iCs/>
          <w:lang w:val="fr-FR"/>
        </w:rPr>
        <w:t>Alinéa </w:t>
      </w:r>
      <w:r w:rsidR="00EF6384" w:rsidRPr="00EF6384">
        <w:rPr>
          <w:iCs/>
          <w:lang w:val="fr-FR"/>
        </w:rPr>
        <w:t>m)</w:t>
      </w:r>
      <w:r w:rsidR="00EF6384" w:rsidRPr="00EF6384">
        <w:rPr>
          <w:iCs/>
          <w:lang w:val="fr-FR"/>
        </w:rPr>
        <w:tab/>
        <w:t>Vérification de la propreté</w:t>
      </w:r>
      <w:r w:rsidR="00EF6384" w:rsidRPr="00EF6384">
        <w:rPr>
          <w:lang w:val="fr-FR"/>
        </w:rPr>
        <w:t>;</w:t>
      </w:r>
    </w:p>
    <w:p w:rsidR="00EF6384" w:rsidRPr="00EF6384" w:rsidRDefault="00BD3AB8" w:rsidP="00EF6384">
      <w:pPr>
        <w:pStyle w:val="SingleTxt"/>
        <w:rPr>
          <w:lang w:val="fr-FR"/>
        </w:rPr>
      </w:pPr>
      <w:r>
        <w:rPr>
          <w:lang w:val="fr-FR"/>
        </w:rPr>
        <w:tab/>
      </w:r>
      <w:r>
        <w:rPr>
          <w:lang w:val="fr-FR"/>
        </w:rPr>
        <w:tab/>
      </w:r>
      <w:r w:rsidR="004F2FAD">
        <w:rPr>
          <w:lang w:val="fr-FR"/>
        </w:rPr>
        <w:tab/>
      </w:r>
      <w:r w:rsidR="00703C78">
        <w:rPr>
          <w:lang w:val="fr-FR"/>
        </w:rPr>
        <w:t>Alinéa </w:t>
      </w:r>
      <w:r w:rsidR="00EF6384" w:rsidRPr="00EF6384">
        <w:rPr>
          <w:lang w:val="fr-FR"/>
        </w:rPr>
        <w:t>n)</w:t>
      </w:r>
      <w:r w:rsidR="00EF6384" w:rsidRPr="00EF6384">
        <w:rPr>
          <w:lang w:val="fr-FR"/>
        </w:rPr>
        <w:tab/>
        <w:t>Inspection de l’assemblage complet;</w:t>
      </w:r>
    </w:p>
    <w:p w:rsidR="00EF6384" w:rsidRPr="00EF6384" w:rsidRDefault="00BD3AB8" w:rsidP="00EF6384">
      <w:pPr>
        <w:pStyle w:val="SingleTxt"/>
        <w:rPr>
          <w:lang w:val="fr-FR"/>
        </w:rPr>
      </w:pPr>
      <w:r>
        <w:rPr>
          <w:lang w:val="fr-FR"/>
        </w:rPr>
        <w:tab/>
      </w:r>
      <w:r>
        <w:rPr>
          <w:lang w:val="fr-FR"/>
        </w:rPr>
        <w:tab/>
      </w:r>
      <w:r w:rsidR="004F2FAD">
        <w:rPr>
          <w:lang w:val="fr-FR"/>
        </w:rPr>
        <w:tab/>
      </w:r>
      <w:r w:rsidR="00703C78">
        <w:rPr>
          <w:lang w:val="fr-FR"/>
        </w:rPr>
        <w:t>Aliné</w:t>
      </w:r>
      <w:r w:rsidR="007146DC">
        <w:rPr>
          <w:lang w:val="fr-FR"/>
        </w:rPr>
        <w:t>a</w:t>
      </w:r>
      <w:r w:rsidR="00703C78">
        <w:rPr>
          <w:lang w:val="fr-FR"/>
        </w:rPr>
        <w:t> </w:t>
      </w:r>
      <w:r w:rsidR="00EF6384" w:rsidRPr="00EF6384">
        <w:rPr>
          <w:lang w:val="fr-FR"/>
        </w:rPr>
        <w:t>o)</w:t>
      </w:r>
      <w:r w:rsidR="00EF6384" w:rsidRPr="00EF6384">
        <w:rPr>
          <w:lang w:val="fr-FR"/>
        </w:rPr>
        <w:tab/>
        <w:t xml:space="preserve">Vérification de la conformité des marques </w:t>
      </w:r>
    </w:p>
    <w:p w:rsidR="00EF6384" w:rsidRPr="00EF6384" w:rsidRDefault="00BD3AB8" w:rsidP="007F5546">
      <w:pPr>
        <w:pStyle w:val="SingleTxt"/>
        <w:keepNext/>
        <w:keepLines/>
        <w:rPr>
          <w:iCs/>
          <w:lang w:val="fr-FR"/>
        </w:rPr>
      </w:pPr>
      <w:r>
        <w:rPr>
          <w:iCs/>
          <w:lang w:val="fr-FR"/>
        </w:rPr>
        <w:tab/>
      </w:r>
      <w:r w:rsidR="004F2FAD">
        <w:rPr>
          <w:iCs/>
          <w:lang w:val="fr-FR"/>
        </w:rPr>
        <w:tab/>
      </w:r>
      <w:r w:rsidR="00EF6384" w:rsidRPr="00EF6384">
        <w:rPr>
          <w:iCs/>
          <w:lang w:val="fr-FR"/>
        </w:rPr>
        <w:t>Pour toutes les fermetures</w:t>
      </w:r>
      <w:r w:rsidR="00703C78">
        <w:rPr>
          <w:iCs/>
          <w:lang w:val="fr-FR"/>
        </w:rPr>
        <w:t> </w:t>
      </w:r>
      <w:r w:rsidR="00684C99">
        <w:rPr>
          <w:iCs/>
          <w:lang w:val="fr-FR"/>
        </w:rPr>
        <w:t>:</w:t>
      </w:r>
    </w:p>
    <w:p w:rsidR="00EF6384" w:rsidRPr="00EF6384" w:rsidRDefault="00BD3AB8" w:rsidP="00EF6384">
      <w:pPr>
        <w:pStyle w:val="SingleTxt"/>
        <w:rPr>
          <w:iCs/>
          <w:lang w:val="fr-FR"/>
        </w:rPr>
      </w:pPr>
      <w:r>
        <w:rPr>
          <w:iCs/>
          <w:lang w:val="fr-FR"/>
        </w:rPr>
        <w:tab/>
      </w:r>
      <w:r>
        <w:rPr>
          <w:iCs/>
          <w:lang w:val="fr-FR"/>
        </w:rPr>
        <w:tab/>
      </w:r>
      <w:r w:rsidR="004F2FAD">
        <w:rPr>
          <w:iCs/>
          <w:lang w:val="fr-FR"/>
        </w:rPr>
        <w:tab/>
      </w:r>
      <w:r w:rsidR="009D3681">
        <w:rPr>
          <w:lang w:val="fr-FR"/>
        </w:rPr>
        <w:t>Alinéa </w:t>
      </w:r>
      <w:r w:rsidR="00EF6384" w:rsidRPr="00EF6384">
        <w:rPr>
          <w:iCs/>
          <w:lang w:val="fr-FR"/>
        </w:rPr>
        <w:t>p)</w:t>
      </w:r>
      <w:r w:rsidR="00EF6384" w:rsidRPr="00EF6384">
        <w:rPr>
          <w:iCs/>
          <w:lang w:val="fr-FR"/>
        </w:rPr>
        <w:tab/>
        <w:t>Épreuve d’étanchéité;</w:t>
      </w:r>
    </w:p>
    <w:p w:rsidR="00EF6384" w:rsidRPr="00EF6384" w:rsidRDefault="00BD3AB8" w:rsidP="00EF6384">
      <w:pPr>
        <w:pStyle w:val="SingleTxt"/>
        <w:rPr>
          <w:iCs/>
          <w:lang w:val="fr-FR"/>
        </w:rPr>
      </w:pPr>
      <w:r>
        <w:rPr>
          <w:iCs/>
          <w:lang w:val="fr-FR"/>
        </w:rPr>
        <w:tab/>
      </w:r>
      <w:r>
        <w:rPr>
          <w:iCs/>
          <w:lang w:val="fr-FR"/>
        </w:rPr>
        <w:tab/>
      </w:r>
      <w:r w:rsidR="004F2FAD">
        <w:rPr>
          <w:iCs/>
          <w:lang w:val="fr-FR"/>
        </w:rPr>
        <w:tab/>
      </w:r>
      <w:r w:rsidR="009D3681">
        <w:rPr>
          <w:lang w:val="fr-FR"/>
        </w:rPr>
        <w:t>Alinéa </w:t>
      </w:r>
      <w:r w:rsidR="00EF6384" w:rsidRPr="00EF6384">
        <w:rPr>
          <w:iCs/>
          <w:lang w:val="fr-FR"/>
        </w:rPr>
        <w:t>q)</w:t>
      </w:r>
      <w:r w:rsidR="00EF6384" w:rsidRPr="00EF6384">
        <w:rPr>
          <w:iCs/>
          <w:lang w:val="fr-FR"/>
        </w:rPr>
        <w:tab/>
        <w:t>Vérification de la présence de marques</w:t>
      </w:r>
      <w:r w:rsidR="00703C78">
        <w:rPr>
          <w:iCs/>
          <w:lang w:val="fr-FR"/>
        </w:rPr>
        <w:t> »</w:t>
      </w:r>
      <w:r w:rsidR="00EF6384" w:rsidRPr="00EF6384">
        <w:rPr>
          <w:iCs/>
          <w:lang w:val="fr-FR"/>
        </w:rPr>
        <w:t>.</w:t>
      </w:r>
    </w:p>
    <w:p w:rsidR="00EF6384" w:rsidRPr="00EF6384" w:rsidRDefault="00EF6384" w:rsidP="00BD3AB8">
      <w:pPr>
        <w:pStyle w:val="SingleTxt"/>
        <w:ind w:left="2218" w:hanging="951"/>
        <w:rPr>
          <w:iCs/>
          <w:lang w:val="fr-FR"/>
        </w:rPr>
      </w:pPr>
      <w:r w:rsidRPr="00EF6384">
        <w:rPr>
          <w:lang w:val="fr-FR"/>
        </w:rPr>
        <w:t>6.2.1.5.2</w:t>
      </w:r>
      <w:r w:rsidRPr="00EF6384">
        <w:rPr>
          <w:lang w:val="fr-FR"/>
        </w:rPr>
        <w:tab/>
        <w:t xml:space="preserve">Remplacer la première phrase par </w:t>
      </w:r>
      <w:r w:rsidR="00307F0E">
        <w:rPr>
          <w:lang w:val="fr-FR"/>
        </w:rPr>
        <w:t>« </w:t>
      </w:r>
      <w:r w:rsidRPr="00EF6384">
        <w:rPr>
          <w:lang w:val="fr-FR"/>
        </w:rPr>
        <w:t>Pour les récipients cryogéniques fermés</w:t>
      </w:r>
      <w:r w:rsidRPr="00EF6384">
        <w:rPr>
          <w:iCs/>
          <w:lang w:val="fr-FR"/>
        </w:rPr>
        <w:t>, les inspections et épreuves pres</w:t>
      </w:r>
      <w:r w:rsidR="00B04AEC">
        <w:rPr>
          <w:iCs/>
          <w:lang w:val="fr-FR"/>
        </w:rPr>
        <w:t>crits aux paragraphes 6.2.1.5.1 </w:t>
      </w:r>
      <w:r w:rsidRPr="00EF6384">
        <w:rPr>
          <w:iCs/>
          <w:lang w:val="fr-FR"/>
        </w:rPr>
        <w:t>a), b), d), f), k), l), m), n) et o) doivent être effectués sur un nombre suffisant d’échantillons</w:t>
      </w:r>
      <w:r w:rsidR="00307F0E">
        <w:rPr>
          <w:iCs/>
          <w:lang w:val="fr-FR"/>
        </w:rPr>
        <w:t> »</w:t>
      </w:r>
      <w:r w:rsidRPr="00EF6384">
        <w:rPr>
          <w:iCs/>
          <w:lang w:val="fr-FR"/>
        </w:rPr>
        <w:t>.</w:t>
      </w:r>
    </w:p>
    <w:p w:rsidR="00EF6384" w:rsidRPr="00EF6384" w:rsidRDefault="004F2FAD" w:rsidP="004F2FAD">
      <w:pPr>
        <w:pStyle w:val="SingleTxt"/>
        <w:ind w:left="2218" w:hanging="951"/>
        <w:rPr>
          <w:lang w:val="fr-FR"/>
        </w:rPr>
      </w:pPr>
      <w:r>
        <w:rPr>
          <w:iCs/>
          <w:lang w:val="fr-FR"/>
        </w:rPr>
        <w:tab/>
      </w:r>
      <w:r>
        <w:rPr>
          <w:iCs/>
          <w:lang w:val="fr-FR"/>
        </w:rPr>
        <w:tab/>
      </w:r>
      <w:r w:rsidR="00307F0E">
        <w:rPr>
          <w:iCs/>
          <w:lang w:val="fr-FR"/>
        </w:rPr>
        <w:t>À</w:t>
      </w:r>
      <w:r w:rsidR="00EF6384" w:rsidRPr="00EF6384">
        <w:rPr>
          <w:iCs/>
          <w:lang w:val="fr-FR"/>
        </w:rPr>
        <w:t xml:space="preserve"> la fin du second paragraphe, ajouter la phrase </w:t>
      </w:r>
      <w:r w:rsidR="00307F0E">
        <w:rPr>
          <w:iCs/>
          <w:lang w:val="fr-FR"/>
        </w:rPr>
        <w:t>« </w:t>
      </w:r>
      <w:r w:rsidR="00EF6384" w:rsidRPr="00EF6384">
        <w:rPr>
          <w:iCs/>
          <w:lang w:val="fr-FR"/>
        </w:rPr>
        <w:t>Toutes les fermetures doivent subir des épreuves d’étanchéité</w:t>
      </w:r>
      <w:r w:rsidR="00307F0E">
        <w:rPr>
          <w:lang w:val="fr-FR"/>
        </w:rPr>
        <w:t> »</w:t>
      </w:r>
      <w:r w:rsidR="00EF6384" w:rsidRPr="00EF6384">
        <w:rPr>
          <w:lang w:val="fr-FR"/>
        </w:rPr>
        <w:t>.</w:t>
      </w:r>
    </w:p>
    <w:p w:rsidR="00EF6384" w:rsidRPr="00EF6384" w:rsidRDefault="00EF6384" w:rsidP="004F2FAD">
      <w:pPr>
        <w:pStyle w:val="SingleTxt"/>
        <w:ind w:left="2218" w:hanging="951"/>
        <w:rPr>
          <w:bCs/>
          <w:lang w:val="fr-FR"/>
        </w:rPr>
      </w:pPr>
      <w:r w:rsidRPr="00EF6384">
        <w:rPr>
          <w:bCs/>
          <w:lang w:val="fr-FR"/>
        </w:rPr>
        <w:t>6.2.1.5.3</w:t>
      </w:r>
      <w:r w:rsidRPr="00EF6384">
        <w:rPr>
          <w:bCs/>
          <w:lang w:val="fr-FR"/>
        </w:rPr>
        <w:tab/>
        <w:t xml:space="preserve">Dans la première phrase, </w:t>
      </w:r>
      <w:r w:rsidRPr="00EF6384">
        <w:rPr>
          <w:iCs/>
          <w:lang w:val="fr-FR"/>
        </w:rPr>
        <w:t xml:space="preserve">remplacer </w:t>
      </w:r>
      <w:r w:rsidR="00307F0E">
        <w:rPr>
          <w:iCs/>
          <w:lang w:val="fr-FR"/>
        </w:rPr>
        <w:t>« </w:t>
      </w:r>
      <w:r w:rsidRPr="00EF6384">
        <w:rPr>
          <w:iCs/>
          <w:lang w:val="fr-FR"/>
        </w:rPr>
        <w:t>récipients</w:t>
      </w:r>
      <w:r w:rsidR="00307F0E">
        <w:rPr>
          <w:iCs/>
          <w:lang w:val="fr-FR"/>
        </w:rPr>
        <w:t> »</w:t>
      </w:r>
      <w:r w:rsidRPr="00EF6384">
        <w:rPr>
          <w:iCs/>
          <w:lang w:val="fr-FR"/>
        </w:rPr>
        <w:t xml:space="preserve"> par </w:t>
      </w:r>
      <w:r w:rsidR="00307F0E">
        <w:rPr>
          <w:iCs/>
          <w:lang w:val="fr-FR"/>
        </w:rPr>
        <w:t>« </w:t>
      </w:r>
      <w:r w:rsidRPr="00EF6384">
        <w:rPr>
          <w:iCs/>
          <w:lang w:val="fr-FR"/>
        </w:rPr>
        <w:t>enveloppes des récipients à pression</w:t>
      </w:r>
      <w:r w:rsidR="00307F0E">
        <w:rPr>
          <w:iCs/>
          <w:lang w:val="fr-FR"/>
        </w:rPr>
        <w:t> »</w:t>
      </w:r>
      <w:r w:rsidRPr="00EF6384">
        <w:rPr>
          <w:iCs/>
          <w:lang w:val="fr-FR"/>
        </w:rPr>
        <w:t>.</w:t>
      </w:r>
    </w:p>
    <w:p w:rsidR="00EF6384" w:rsidRPr="00EF6384" w:rsidRDefault="00EF6384" w:rsidP="004F2FAD">
      <w:pPr>
        <w:pStyle w:val="SingleTxt"/>
        <w:ind w:left="2218" w:hanging="951"/>
        <w:rPr>
          <w:bCs/>
          <w:lang w:val="fr-FR"/>
        </w:rPr>
      </w:pPr>
      <w:r w:rsidRPr="00EF6384">
        <w:rPr>
          <w:bCs/>
          <w:lang w:val="fr-FR"/>
        </w:rPr>
        <w:t>6.2.1.5.3</w:t>
      </w:r>
      <w:r w:rsidRPr="00EF6384">
        <w:rPr>
          <w:bCs/>
          <w:lang w:val="fr-FR"/>
        </w:rPr>
        <w:tab/>
        <w:t>À la fin, ajouter le nouveau paragraphe 6.2.1.5.4 suivant, ainsi qu’un nouveau nota.</w:t>
      </w:r>
    </w:p>
    <w:p w:rsidR="00EF6384" w:rsidRPr="00EF6384" w:rsidRDefault="00307F0E" w:rsidP="004F2FAD">
      <w:pPr>
        <w:pStyle w:val="SingleTxt"/>
        <w:ind w:left="2218" w:hanging="951"/>
        <w:rPr>
          <w:lang w:val="fr-FR"/>
        </w:rPr>
      </w:pPr>
      <w:r>
        <w:rPr>
          <w:lang w:val="fr-FR"/>
        </w:rPr>
        <w:t>« </w:t>
      </w:r>
      <w:r w:rsidR="00EF6384" w:rsidRPr="00EF6384">
        <w:rPr>
          <w:lang w:val="fr-FR"/>
        </w:rPr>
        <w:t>6.2.1.5.4</w:t>
      </w:r>
      <w:r w:rsidR="00EF6384" w:rsidRPr="00EF6384">
        <w:rPr>
          <w:lang w:val="fr-FR"/>
        </w:rPr>
        <w:tab/>
        <w:t xml:space="preserve">Pour les cadres de bouteilles, toutes les enveloppes des bouteilles et toutes les fermetures doivent subir une inspection initiale ainsi que les épreuves prescrites au paragraphe 6.2.1.5.1. Un échantillon approprié de cadres doit être soumis à une épreuve de charge jusqu’à deux fois la masse brute maximale du cadre de bouteilles. </w:t>
      </w:r>
    </w:p>
    <w:p w:rsidR="00EF6384" w:rsidRPr="00EF6384" w:rsidRDefault="004F2FAD" w:rsidP="004F2FAD">
      <w:pPr>
        <w:pStyle w:val="SingleTxt"/>
        <w:ind w:left="2218" w:hanging="951"/>
        <w:rPr>
          <w:lang w:val="fr-FR"/>
        </w:rPr>
      </w:pPr>
      <w:r>
        <w:rPr>
          <w:lang w:val="fr-FR"/>
        </w:rPr>
        <w:tab/>
      </w:r>
      <w:r>
        <w:rPr>
          <w:lang w:val="fr-FR"/>
        </w:rPr>
        <w:tab/>
      </w:r>
      <w:r w:rsidR="00EF6384" w:rsidRPr="00EF6384">
        <w:rPr>
          <w:lang w:val="fr-FR"/>
        </w:rPr>
        <w:t>En outre, tous les tuyaux collecteurs des cadres de bouteilles doivent subir une épreuve de pression hydraulique et tous les cadres de bouteilles complets doivent être soumis à une épreuve d’étanchéité. Les fermetures doivent subir les épreuves conformément aux prescriptions du paragraphe 6.2.1.5.1.</w:t>
      </w:r>
    </w:p>
    <w:p w:rsidR="00EF6384" w:rsidRPr="004F2FAD" w:rsidRDefault="00AC7E83" w:rsidP="00AC7E83">
      <w:pPr>
        <w:pStyle w:val="SingleTxt"/>
        <w:ind w:left="2218" w:hanging="951"/>
      </w:pPr>
      <w:r>
        <w:rPr>
          <w:b/>
          <w:i/>
          <w:lang w:val="fr-FR"/>
        </w:rPr>
        <w:tab/>
      </w:r>
      <w:r>
        <w:rPr>
          <w:b/>
          <w:i/>
          <w:lang w:val="fr-FR"/>
        </w:rPr>
        <w:tab/>
      </w:r>
      <w:r w:rsidR="00EF6384" w:rsidRPr="00EF6384">
        <w:rPr>
          <w:b/>
          <w:i/>
          <w:lang w:val="fr-FR"/>
        </w:rPr>
        <w:t>NOTA</w:t>
      </w:r>
      <w:r w:rsidR="00307F0E">
        <w:rPr>
          <w:b/>
          <w:i/>
          <w:lang w:val="fr-FR"/>
        </w:rPr>
        <w:t> </w:t>
      </w:r>
      <w:r w:rsidR="00684C99" w:rsidRPr="00342BE0">
        <w:rPr>
          <w:i/>
        </w:rPr>
        <w:t>:</w:t>
      </w:r>
      <w:r w:rsidR="004F2FAD">
        <w:rPr>
          <w:i/>
          <w:lang w:val="fr-FR"/>
        </w:rPr>
        <w:t xml:space="preserve"> </w:t>
      </w:r>
      <w:r w:rsidR="00EF6384" w:rsidRPr="00EF6384">
        <w:rPr>
          <w:i/>
          <w:lang w:val="fr-FR"/>
        </w:rPr>
        <w:t xml:space="preserve">Avec l’accord de l’autorité compétente, l’épreuve de pression hydraulique peut être remplacée par une épreuve au moyen d’un gaz, lorsque cette opération </w:t>
      </w:r>
      <w:r w:rsidR="00091A19">
        <w:rPr>
          <w:i/>
          <w:lang w:val="fr-FR"/>
        </w:rPr>
        <w:t>n</w:t>
      </w:r>
      <w:r w:rsidR="00EF6384" w:rsidRPr="00EF6384">
        <w:rPr>
          <w:i/>
          <w:lang w:val="fr-FR"/>
        </w:rPr>
        <w:t>e présente pas de danger.</w:t>
      </w:r>
      <w:r w:rsidR="00307F0E">
        <w:rPr>
          <w:i/>
          <w:lang w:val="fr-FR"/>
        </w:rPr>
        <w:t> </w:t>
      </w:r>
      <w:r w:rsidR="00307F0E" w:rsidRPr="004F2FAD">
        <w:t>»</w:t>
      </w:r>
    </w:p>
    <w:p w:rsidR="00EF6384" w:rsidRPr="00EF6384" w:rsidRDefault="00307F0E" w:rsidP="00342BE0">
      <w:pPr>
        <w:pStyle w:val="SingleTxt"/>
        <w:keepNext/>
        <w:keepLines/>
        <w:rPr>
          <w:lang w:val="fr-FR"/>
        </w:rPr>
      </w:pPr>
      <w:r>
        <w:rPr>
          <w:lang w:val="fr-FR"/>
        </w:rPr>
        <w:t>6.2.1.6.1</w:t>
      </w:r>
      <w:r>
        <w:rPr>
          <w:lang w:val="fr-FR"/>
        </w:rPr>
        <w:tab/>
        <w:t>Remplacer les alinéas </w:t>
      </w:r>
      <w:r w:rsidR="00EF6384" w:rsidRPr="00EF6384">
        <w:rPr>
          <w:lang w:val="fr-FR"/>
        </w:rPr>
        <w:t>c), d) et e) comme suit</w:t>
      </w:r>
      <w:r>
        <w:rPr>
          <w:lang w:val="fr-FR"/>
        </w:rPr>
        <w:t> :</w:t>
      </w:r>
    </w:p>
    <w:p w:rsidR="00EF6384" w:rsidRPr="00EF6384" w:rsidRDefault="004F2FAD" w:rsidP="00342BE0">
      <w:pPr>
        <w:pStyle w:val="SingleTxt"/>
        <w:keepNext/>
        <w:keepLines/>
        <w:rPr>
          <w:lang w:val="fr-FR"/>
        </w:rPr>
      </w:pPr>
      <w:r>
        <w:rPr>
          <w:lang w:val="fr-FR"/>
        </w:rPr>
        <w:tab/>
      </w:r>
      <w:r>
        <w:rPr>
          <w:lang w:val="fr-FR"/>
        </w:rPr>
        <w:tab/>
      </w:r>
      <w:r w:rsidR="00307F0E">
        <w:rPr>
          <w:lang w:val="fr-FR"/>
        </w:rPr>
        <w:t>« </w:t>
      </w:r>
      <w:r w:rsidR="00EF6384" w:rsidRPr="00EF6384">
        <w:rPr>
          <w:lang w:val="fr-FR"/>
        </w:rPr>
        <w:t>c)</w:t>
      </w:r>
      <w:r w:rsidR="00EF6384" w:rsidRPr="00EF6384">
        <w:rPr>
          <w:lang w:val="fr-FR"/>
        </w:rPr>
        <w:tab/>
        <w:t>Contrôle du filetage du goulot si</w:t>
      </w:r>
      <w:r w:rsidR="00307F0E">
        <w:rPr>
          <w:lang w:val="fr-FR"/>
        </w:rPr>
        <w:t> </w:t>
      </w:r>
      <w:r w:rsidR="00684C99">
        <w:rPr>
          <w:lang w:val="fr-FR"/>
        </w:rPr>
        <w:t>:</w:t>
      </w:r>
    </w:p>
    <w:p w:rsidR="00EF6384" w:rsidRPr="00EF6384" w:rsidRDefault="004F2FAD" w:rsidP="00EF6384">
      <w:pPr>
        <w:pStyle w:val="SingleTxt"/>
        <w:rPr>
          <w:lang w:val="fr-FR"/>
        </w:rPr>
      </w:pPr>
      <w:r>
        <w:rPr>
          <w:lang w:val="fr-FR"/>
        </w:rPr>
        <w:tab/>
      </w:r>
      <w:r>
        <w:rPr>
          <w:lang w:val="fr-FR"/>
        </w:rPr>
        <w:tab/>
      </w:r>
      <w:r>
        <w:rPr>
          <w:lang w:val="fr-FR"/>
        </w:rPr>
        <w:tab/>
      </w:r>
      <w:r w:rsidR="00EF6384" w:rsidRPr="00EF6384">
        <w:rPr>
          <w:lang w:val="fr-FR"/>
        </w:rPr>
        <w:t>i)</w:t>
      </w:r>
      <w:r w:rsidR="00EF6384" w:rsidRPr="00EF6384">
        <w:rPr>
          <w:lang w:val="fr-FR"/>
        </w:rPr>
        <w:tab/>
        <w:t xml:space="preserve">il y a des signes de corrosion; ou </w:t>
      </w:r>
    </w:p>
    <w:p w:rsidR="00EF6384" w:rsidRPr="00EF6384" w:rsidRDefault="004F2FAD" w:rsidP="004F2FAD">
      <w:pPr>
        <w:pStyle w:val="SingleTxt"/>
        <w:ind w:left="3182" w:hanging="1915"/>
        <w:rPr>
          <w:lang w:val="fr-FR"/>
        </w:rPr>
      </w:pPr>
      <w:r>
        <w:rPr>
          <w:lang w:val="fr-FR"/>
        </w:rPr>
        <w:tab/>
      </w:r>
      <w:r>
        <w:rPr>
          <w:lang w:val="fr-FR"/>
        </w:rPr>
        <w:tab/>
      </w:r>
      <w:r>
        <w:rPr>
          <w:lang w:val="fr-FR"/>
        </w:rPr>
        <w:tab/>
      </w:r>
      <w:r w:rsidR="00EF6384" w:rsidRPr="00EF6384">
        <w:rPr>
          <w:lang w:val="fr-FR"/>
        </w:rPr>
        <w:t>ii)</w:t>
      </w:r>
      <w:r w:rsidR="00EF6384" w:rsidRPr="00EF6384">
        <w:rPr>
          <w:lang w:val="fr-FR"/>
        </w:rPr>
        <w:tab/>
        <w:t>si les fermetures ou d’autres équipements de service ont été démontés;</w:t>
      </w:r>
    </w:p>
    <w:p w:rsidR="00EF6384" w:rsidRPr="00EF6384" w:rsidRDefault="004F2FAD" w:rsidP="004F2FAD">
      <w:pPr>
        <w:pStyle w:val="SingleTxt"/>
        <w:ind w:left="2693" w:hanging="1426"/>
        <w:rPr>
          <w:lang w:val="fr-FR"/>
        </w:rPr>
      </w:pPr>
      <w:r>
        <w:rPr>
          <w:lang w:val="fr-FR"/>
        </w:rPr>
        <w:tab/>
      </w:r>
      <w:r>
        <w:rPr>
          <w:lang w:val="fr-FR"/>
        </w:rPr>
        <w:tab/>
      </w:r>
      <w:r w:rsidR="00EF6384" w:rsidRPr="00EF6384">
        <w:rPr>
          <w:lang w:val="fr-FR"/>
        </w:rPr>
        <w:t>d)</w:t>
      </w:r>
      <w:r w:rsidR="00EF6384" w:rsidRPr="00EF6384">
        <w:rPr>
          <w:lang w:val="fr-FR"/>
        </w:rPr>
        <w:tab/>
        <w:t>Épreuve de pression hydraulique sur l’enveloppe du récipient sous pression et, si nécessaire, vérification des caractéristiques du matériau par des épreuves appropriées;</w:t>
      </w:r>
    </w:p>
    <w:p w:rsidR="00EF6384" w:rsidRPr="00EF6384" w:rsidRDefault="004F2FAD" w:rsidP="004F2FAD">
      <w:pPr>
        <w:pStyle w:val="SingleTxt"/>
        <w:ind w:left="2693" w:hanging="1426"/>
        <w:rPr>
          <w:lang w:val="fr-FR"/>
        </w:rPr>
      </w:pPr>
      <w:r>
        <w:rPr>
          <w:lang w:val="fr-FR"/>
        </w:rPr>
        <w:tab/>
      </w:r>
      <w:r>
        <w:rPr>
          <w:lang w:val="fr-FR"/>
        </w:rPr>
        <w:tab/>
      </w:r>
      <w:r w:rsidR="00EF6384" w:rsidRPr="00EF6384">
        <w:rPr>
          <w:lang w:val="fr-FR"/>
        </w:rPr>
        <w:t>e)</w:t>
      </w:r>
      <w:r w:rsidR="00EF6384" w:rsidRPr="00EF6384">
        <w:rPr>
          <w:lang w:val="fr-FR"/>
        </w:rPr>
        <w:tab/>
        <w:t>Contrôle des équipements de service, s’ils doivent être remis en service.</w:t>
      </w:r>
    </w:p>
    <w:p w:rsidR="00EF6384" w:rsidRPr="00EF6384" w:rsidRDefault="004F2FAD" w:rsidP="004F2FAD">
      <w:pPr>
        <w:pStyle w:val="SingleTxt"/>
        <w:ind w:left="2693" w:hanging="1426"/>
        <w:rPr>
          <w:lang w:val="fr-FR"/>
        </w:rPr>
      </w:pPr>
      <w:r>
        <w:rPr>
          <w:lang w:val="fr-FR"/>
        </w:rPr>
        <w:lastRenderedPageBreak/>
        <w:tab/>
      </w:r>
      <w:r>
        <w:rPr>
          <w:lang w:val="fr-FR"/>
        </w:rPr>
        <w:tab/>
      </w:r>
      <w:r w:rsidR="00EF6384" w:rsidRPr="00EF6384">
        <w:rPr>
          <w:lang w:val="fr-FR"/>
        </w:rPr>
        <w:t>f)</w:t>
      </w:r>
      <w:r w:rsidR="00EF6384" w:rsidRPr="00EF6384">
        <w:rPr>
          <w:lang w:val="fr-FR"/>
        </w:rPr>
        <w:tab/>
        <w:t>Une épreuve d’étanchéité sur les cadres de bouteilles après réassemblage</w:t>
      </w:r>
      <w:r w:rsidR="00307F0E">
        <w:rPr>
          <w:lang w:val="fr-FR"/>
        </w:rPr>
        <w:t> »</w:t>
      </w:r>
      <w:r w:rsidR="00EF6384" w:rsidRPr="00EF6384">
        <w:rPr>
          <w:lang w:val="fr-FR"/>
        </w:rPr>
        <w:t>.</w:t>
      </w:r>
    </w:p>
    <w:p w:rsidR="00EF6384" w:rsidRPr="00EF6384" w:rsidRDefault="00AC7E83" w:rsidP="00AC7E83">
      <w:pPr>
        <w:pStyle w:val="SingleTxt"/>
        <w:ind w:left="2218" w:hanging="951"/>
        <w:rPr>
          <w:i/>
          <w:lang w:val="fr-FR"/>
        </w:rPr>
      </w:pPr>
      <w:r>
        <w:rPr>
          <w:b/>
          <w:i/>
          <w:lang w:val="fr-FR"/>
        </w:rPr>
        <w:tab/>
      </w:r>
      <w:r>
        <w:rPr>
          <w:b/>
          <w:i/>
          <w:lang w:val="fr-FR"/>
        </w:rPr>
        <w:tab/>
      </w:r>
      <w:r w:rsidR="004F2FAD">
        <w:rPr>
          <w:b/>
          <w:i/>
          <w:lang w:val="fr-FR"/>
        </w:rPr>
        <w:t>NOTA </w:t>
      </w:r>
      <w:r w:rsidR="00EF6384" w:rsidRPr="004F2FAD">
        <w:rPr>
          <w:b/>
          <w:i/>
        </w:rPr>
        <w:t>2</w:t>
      </w:r>
      <w:r w:rsidR="00307F0E" w:rsidRPr="004F2FAD">
        <w:t> </w:t>
      </w:r>
      <w:r w:rsidR="00684C99" w:rsidRPr="004F2FAD">
        <w:t>:</w:t>
      </w:r>
      <w:r w:rsidR="007F5546">
        <w:rPr>
          <w:lang w:val="fr-FR"/>
        </w:rPr>
        <w:t xml:space="preserve"> </w:t>
      </w:r>
      <w:r w:rsidR="00EF6384" w:rsidRPr="00EF6384">
        <w:rPr>
          <w:lang w:val="fr-FR"/>
        </w:rPr>
        <w:t xml:space="preserve">Remplacer </w:t>
      </w:r>
      <w:r w:rsidR="00307F0E">
        <w:rPr>
          <w:lang w:val="fr-FR"/>
        </w:rPr>
        <w:t>« </w:t>
      </w:r>
      <w:r w:rsidR="00EF6384" w:rsidRPr="00EF6384">
        <w:rPr>
          <w:i/>
          <w:lang w:val="fr-FR"/>
        </w:rPr>
        <w:t>l’épreuve de pression hydraulique des bouteilles ou des tubes</w:t>
      </w:r>
      <w:r w:rsidR="00307F0E">
        <w:rPr>
          <w:i/>
          <w:lang w:val="fr-FR"/>
        </w:rPr>
        <w:t> »</w:t>
      </w:r>
      <w:r w:rsidR="00EF6384" w:rsidRPr="00EF6384">
        <w:rPr>
          <w:i/>
          <w:lang w:val="fr-FR"/>
        </w:rPr>
        <w:t xml:space="preserve"> </w:t>
      </w:r>
      <w:r w:rsidR="00EF6384" w:rsidRPr="00EF6384">
        <w:rPr>
          <w:lang w:val="fr-FR"/>
        </w:rPr>
        <w:t xml:space="preserve">par </w:t>
      </w:r>
      <w:r w:rsidR="00307F0E">
        <w:rPr>
          <w:lang w:val="fr-FR"/>
        </w:rPr>
        <w:t>« </w:t>
      </w:r>
      <w:r w:rsidR="00EF6384" w:rsidRPr="00EF6384">
        <w:rPr>
          <w:i/>
          <w:lang w:val="fr-FR"/>
        </w:rPr>
        <w:t>l’épreuve de pression hydraulique des enveloppes des bouteilles ou des enveloppes des tubes</w:t>
      </w:r>
      <w:r w:rsidR="00307F0E">
        <w:rPr>
          <w:lang w:val="fr-FR"/>
        </w:rPr>
        <w:t> »</w:t>
      </w:r>
      <w:r w:rsidR="00EF6384" w:rsidRPr="00EF6384">
        <w:rPr>
          <w:lang w:val="fr-FR"/>
        </w:rPr>
        <w:t>.</w:t>
      </w:r>
    </w:p>
    <w:p w:rsidR="00EF6384" w:rsidRPr="00EF6384" w:rsidRDefault="00AC7E83" w:rsidP="00AC7E83">
      <w:pPr>
        <w:pStyle w:val="SingleTxt"/>
        <w:ind w:left="2218" w:hanging="951"/>
        <w:rPr>
          <w:i/>
          <w:lang w:val="fr-FR"/>
        </w:rPr>
      </w:pPr>
      <w:r>
        <w:rPr>
          <w:b/>
          <w:bCs/>
          <w:i/>
          <w:lang w:val="fr-FR"/>
        </w:rPr>
        <w:tab/>
      </w:r>
      <w:r>
        <w:rPr>
          <w:b/>
          <w:bCs/>
          <w:i/>
          <w:lang w:val="fr-FR"/>
        </w:rPr>
        <w:tab/>
      </w:r>
      <w:r w:rsidR="004F2FAD">
        <w:rPr>
          <w:b/>
          <w:bCs/>
          <w:i/>
          <w:lang w:val="fr-FR"/>
        </w:rPr>
        <w:t>NOTA </w:t>
      </w:r>
      <w:r w:rsidR="00EF6384" w:rsidRPr="00EF6384">
        <w:rPr>
          <w:b/>
          <w:bCs/>
          <w:i/>
          <w:lang w:val="fr-FR"/>
        </w:rPr>
        <w:t>3</w:t>
      </w:r>
      <w:r w:rsidR="004212F1">
        <w:t> </w:t>
      </w:r>
      <w:r w:rsidR="00684C99" w:rsidRPr="004F2FAD">
        <w:t>:</w:t>
      </w:r>
      <w:r w:rsidR="004F2FAD">
        <w:rPr>
          <w:b/>
          <w:bCs/>
          <w:i/>
          <w:lang w:val="fr-FR"/>
        </w:rPr>
        <w:t xml:space="preserve"> </w:t>
      </w:r>
      <w:r w:rsidR="00EF6384" w:rsidRPr="00EF6384">
        <w:rPr>
          <w:bCs/>
          <w:lang w:val="fr-FR"/>
        </w:rPr>
        <w:t xml:space="preserve">Remplacer </w:t>
      </w:r>
      <w:r w:rsidR="00307F0E">
        <w:rPr>
          <w:bCs/>
          <w:lang w:val="fr-FR"/>
        </w:rPr>
        <w:t>« </w:t>
      </w:r>
      <w:r w:rsidR="00EF6384" w:rsidRPr="00EF6384">
        <w:rPr>
          <w:bCs/>
          <w:i/>
          <w:lang w:val="fr-FR"/>
        </w:rPr>
        <w:t>bouteilles à gaz sans soudure en alliage d’aluminium</w:t>
      </w:r>
      <w:r w:rsidR="00307F0E">
        <w:rPr>
          <w:bCs/>
          <w:i/>
          <w:lang w:val="fr-FR"/>
        </w:rPr>
        <w:t> »</w:t>
      </w:r>
      <w:r w:rsidR="00EF6384" w:rsidRPr="00EF6384">
        <w:rPr>
          <w:bCs/>
          <w:i/>
          <w:lang w:val="fr-FR"/>
        </w:rPr>
        <w:t xml:space="preserve"> par </w:t>
      </w:r>
      <w:r w:rsidR="00307F0E">
        <w:rPr>
          <w:bCs/>
          <w:i/>
          <w:lang w:val="fr-FR"/>
        </w:rPr>
        <w:t>« </w:t>
      </w:r>
      <w:r w:rsidR="00EF6384" w:rsidRPr="00EF6384">
        <w:rPr>
          <w:bCs/>
          <w:i/>
          <w:lang w:val="fr-FR"/>
        </w:rPr>
        <w:t>enveloppes des</w:t>
      </w:r>
      <w:r w:rsidR="00EF6384" w:rsidRPr="00EF6384">
        <w:rPr>
          <w:bCs/>
          <w:lang w:val="fr-FR"/>
        </w:rPr>
        <w:t xml:space="preserve"> </w:t>
      </w:r>
      <w:r w:rsidR="00EF6384" w:rsidRPr="00EF6384">
        <w:rPr>
          <w:bCs/>
          <w:i/>
          <w:lang w:val="fr-FR"/>
        </w:rPr>
        <w:t>bouteilles à gaz sans soudure en alliage d’aluminium</w:t>
      </w:r>
      <w:r w:rsidR="00307F0E">
        <w:rPr>
          <w:bCs/>
          <w:i/>
          <w:lang w:val="fr-FR"/>
        </w:rPr>
        <w:t> »</w:t>
      </w:r>
      <w:r w:rsidR="00EF6384" w:rsidRPr="00EF6384">
        <w:rPr>
          <w:bCs/>
          <w:lang w:val="fr-FR"/>
        </w:rPr>
        <w:t xml:space="preserve"> et remplacer </w:t>
      </w:r>
      <w:r w:rsidR="00307F0E">
        <w:rPr>
          <w:bCs/>
          <w:lang w:val="fr-FR"/>
        </w:rPr>
        <w:t>« </w:t>
      </w:r>
      <w:r w:rsidR="00EF6384" w:rsidRPr="00EF6384">
        <w:rPr>
          <w:bCs/>
          <w:i/>
          <w:lang w:val="fr-FR"/>
        </w:rPr>
        <w:t>bouteilles à gaz en acier</w:t>
      </w:r>
      <w:r w:rsidR="00307F0E">
        <w:rPr>
          <w:bCs/>
          <w:i/>
          <w:lang w:val="fr-FR"/>
        </w:rPr>
        <w:t> »</w:t>
      </w:r>
      <w:r w:rsidR="00EF6384" w:rsidRPr="00EF6384">
        <w:rPr>
          <w:bCs/>
          <w:i/>
          <w:lang w:val="fr-FR"/>
        </w:rPr>
        <w:t xml:space="preserve"> </w:t>
      </w:r>
      <w:r w:rsidR="00EF6384" w:rsidRPr="00EF6384">
        <w:rPr>
          <w:bCs/>
          <w:lang w:val="fr-FR"/>
        </w:rPr>
        <w:t>par</w:t>
      </w:r>
      <w:r w:rsidR="00EF6384" w:rsidRPr="00EF6384">
        <w:rPr>
          <w:bCs/>
          <w:i/>
          <w:lang w:val="fr-FR"/>
        </w:rPr>
        <w:t xml:space="preserve"> </w:t>
      </w:r>
      <w:r w:rsidR="00307F0E">
        <w:rPr>
          <w:bCs/>
          <w:i/>
          <w:lang w:val="fr-FR"/>
        </w:rPr>
        <w:t>« </w:t>
      </w:r>
      <w:r w:rsidR="00EF6384" w:rsidRPr="00EF6384">
        <w:rPr>
          <w:bCs/>
          <w:i/>
          <w:lang w:val="fr-FR"/>
        </w:rPr>
        <w:t>enveloppes des bouteilles à gaz en acier</w:t>
      </w:r>
      <w:r w:rsidR="00307F0E">
        <w:rPr>
          <w:bCs/>
          <w:i/>
          <w:lang w:val="fr-FR"/>
        </w:rPr>
        <w:t> »</w:t>
      </w:r>
      <w:r w:rsidR="00EF6384" w:rsidRPr="00EF6384">
        <w:rPr>
          <w:bCs/>
          <w:i/>
          <w:lang w:val="fr-FR"/>
        </w:rPr>
        <w:t>.</w:t>
      </w:r>
    </w:p>
    <w:p w:rsidR="00EF6384" w:rsidRPr="00EF6384" w:rsidRDefault="00AC7E83" w:rsidP="00EF6384">
      <w:pPr>
        <w:pStyle w:val="SingleTxt"/>
        <w:rPr>
          <w:i/>
          <w:iCs/>
          <w:lang w:val="fr-FR"/>
        </w:rPr>
      </w:pPr>
      <w:r>
        <w:rPr>
          <w:lang w:val="fr-FR"/>
        </w:rPr>
        <w:tab/>
      </w:r>
      <w:r>
        <w:rPr>
          <w:lang w:val="fr-FR"/>
        </w:rPr>
        <w:tab/>
      </w:r>
      <w:r w:rsidR="00EF6384" w:rsidRPr="00EF6384">
        <w:rPr>
          <w:lang w:val="fr-FR"/>
        </w:rPr>
        <w:t xml:space="preserve">Après le </w:t>
      </w:r>
      <w:r w:rsidR="004F2FAD">
        <w:rPr>
          <w:b/>
          <w:i/>
          <w:lang w:val="fr-FR"/>
        </w:rPr>
        <w:t>NOTA </w:t>
      </w:r>
      <w:r w:rsidR="00EF6384" w:rsidRPr="00EF6384">
        <w:rPr>
          <w:b/>
          <w:i/>
          <w:lang w:val="fr-FR"/>
        </w:rPr>
        <w:t>4</w:t>
      </w:r>
      <w:r w:rsidR="004F2FAD">
        <w:rPr>
          <w:b/>
          <w:i/>
          <w:lang w:val="fr-FR"/>
        </w:rPr>
        <w:t> </w:t>
      </w:r>
      <w:r w:rsidR="00684C99" w:rsidRPr="004F2FAD">
        <w:t>:</w:t>
      </w:r>
      <w:r w:rsidR="004F2FAD">
        <w:rPr>
          <w:i/>
          <w:lang w:val="fr-FR"/>
        </w:rPr>
        <w:t xml:space="preserve"> </w:t>
      </w:r>
      <w:r w:rsidR="00EF6384" w:rsidRPr="00EF6384">
        <w:rPr>
          <w:lang w:val="fr-FR"/>
        </w:rPr>
        <w:t xml:space="preserve">Ajouter un nouveau </w:t>
      </w:r>
      <w:r w:rsidR="00EF6384" w:rsidRPr="00EF6384">
        <w:rPr>
          <w:b/>
          <w:i/>
          <w:lang w:val="fr-FR"/>
        </w:rPr>
        <w:t>NOTA</w:t>
      </w:r>
      <w:r w:rsidR="004F2FAD">
        <w:rPr>
          <w:b/>
          <w:i/>
          <w:lang w:val="fr-FR"/>
        </w:rPr>
        <w:t> </w:t>
      </w:r>
      <w:r w:rsidR="00EF6384" w:rsidRPr="007F5546">
        <w:rPr>
          <w:b/>
          <w:i/>
          <w:lang w:val="fr-FR"/>
        </w:rPr>
        <w:t>5</w:t>
      </w:r>
      <w:r w:rsidR="00EF6384" w:rsidRPr="004F2FAD">
        <w:t xml:space="preserve">. </w:t>
      </w:r>
    </w:p>
    <w:p w:rsidR="00EF6384" w:rsidRPr="00EF6384" w:rsidRDefault="00AC7E83" w:rsidP="00AC7E83">
      <w:pPr>
        <w:pStyle w:val="SingleTxt"/>
        <w:ind w:left="2218" w:hanging="951"/>
        <w:rPr>
          <w:i/>
          <w:iCs/>
          <w:lang w:val="fr-FR"/>
        </w:rPr>
      </w:pPr>
      <w:r>
        <w:rPr>
          <w:b/>
          <w:i/>
          <w:iCs/>
          <w:lang w:val="fr-FR"/>
        </w:rPr>
        <w:tab/>
      </w:r>
      <w:r>
        <w:rPr>
          <w:b/>
          <w:i/>
          <w:iCs/>
          <w:lang w:val="fr-FR"/>
        </w:rPr>
        <w:tab/>
      </w:r>
      <w:r w:rsidR="004F2FAD">
        <w:rPr>
          <w:b/>
          <w:i/>
          <w:iCs/>
          <w:lang w:val="fr-FR"/>
        </w:rPr>
        <w:t>NOTA </w:t>
      </w:r>
      <w:r w:rsidR="00EF6384" w:rsidRPr="00EF6384">
        <w:rPr>
          <w:b/>
          <w:i/>
          <w:iCs/>
          <w:lang w:val="fr-FR"/>
        </w:rPr>
        <w:t>5</w:t>
      </w:r>
      <w:r w:rsidR="004F2FAD">
        <w:rPr>
          <w:b/>
          <w:i/>
          <w:iCs/>
          <w:lang w:val="fr-FR"/>
        </w:rPr>
        <w:t> </w:t>
      </w:r>
      <w:r w:rsidR="00684C99" w:rsidRPr="007046BB">
        <w:rPr>
          <w:i/>
        </w:rPr>
        <w:t>:</w:t>
      </w:r>
      <w:r w:rsidR="004F2FAD">
        <w:rPr>
          <w:i/>
          <w:iCs/>
          <w:lang w:val="fr-FR"/>
        </w:rPr>
        <w:t xml:space="preserve"> </w:t>
      </w:r>
      <w:r w:rsidR="00EF6384" w:rsidRPr="00EF6384">
        <w:rPr>
          <w:i/>
          <w:iCs/>
          <w:lang w:val="fr-FR"/>
        </w:rPr>
        <w:t>Pour les cadres de bouteilles l’épreuve de pression h</w:t>
      </w:r>
      <w:r w:rsidR="00307F0E">
        <w:rPr>
          <w:i/>
          <w:iCs/>
          <w:lang w:val="fr-FR"/>
        </w:rPr>
        <w:t>ydraulique prescrite à l’alinéa </w:t>
      </w:r>
      <w:r w:rsidR="00EF6384" w:rsidRPr="00EF6384">
        <w:rPr>
          <w:i/>
          <w:iCs/>
          <w:lang w:val="fr-FR"/>
        </w:rPr>
        <w:t>d) ci-dessus doit être effectuée sur les enveloppes des bouteilles et sur le tuyau collecteur.</w:t>
      </w:r>
    </w:p>
    <w:p w:rsidR="00EF6384" w:rsidRPr="00EF6384" w:rsidRDefault="00EF6384" w:rsidP="00EF6384">
      <w:pPr>
        <w:pStyle w:val="SingleTxt"/>
        <w:rPr>
          <w:lang w:val="fr-FR"/>
        </w:rPr>
      </w:pPr>
      <w:r w:rsidRPr="00EF6384">
        <w:rPr>
          <w:lang w:val="fr-FR"/>
        </w:rPr>
        <w:t>6.2.1.6.2</w:t>
      </w:r>
      <w:r w:rsidRPr="00EF6384">
        <w:rPr>
          <w:lang w:val="fr-FR"/>
        </w:rPr>
        <w:tab/>
        <w:t xml:space="preserve">Remplacer </w:t>
      </w:r>
      <w:r w:rsidR="00307F0E">
        <w:rPr>
          <w:lang w:val="fr-FR"/>
        </w:rPr>
        <w:t>« </w:t>
      </w:r>
      <w:r w:rsidRPr="00EF6384">
        <w:rPr>
          <w:lang w:val="fr-FR"/>
        </w:rPr>
        <w:t>récipients à pression</w:t>
      </w:r>
      <w:r w:rsidR="00307F0E">
        <w:rPr>
          <w:lang w:val="fr-FR"/>
        </w:rPr>
        <w:t> »</w:t>
      </w:r>
      <w:r w:rsidRPr="00EF6384">
        <w:rPr>
          <w:lang w:val="fr-FR"/>
        </w:rPr>
        <w:t xml:space="preserve"> par </w:t>
      </w:r>
      <w:r w:rsidR="00307F0E">
        <w:rPr>
          <w:lang w:val="fr-FR"/>
        </w:rPr>
        <w:t>« </w:t>
      </w:r>
      <w:r w:rsidRPr="00EF6384">
        <w:rPr>
          <w:lang w:val="fr-FR"/>
        </w:rPr>
        <w:t>bouteilles</w:t>
      </w:r>
      <w:r w:rsidR="00307F0E">
        <w:rPr>
          <w:lang w:val="fr-FR"/>
        </w:rPr>
        <w:t> »</w:t>
      </w:r>
      <w:r w:rsidRPr="00EF6384">
        <w:rPr>
          <w:lang w:val="fr-FR"/>
        </w:rPr>
        <w:t>.</w:t>
      </w:r>
    </w:p>
    <w:p w:rsidR="00EF6384" w:rsidRPr="00EF6384" w:rsidRDefault="00EF6384" w:rsidP="004F2FAD">
      <w:pPr>
        <w:pStyle w:val="SingleTxt"/>
        <w:ind w:left="2218" w:hanging="951"/>
        <w:rPr>
          <w:bCs/>
          <w:lang w:val="fr-FR"/>
        </w:rPr>
      </w:pPr>
      <w:r w:rsidRPr="00EF6384">
        <w:rPr>
          <w:bCs/>
          <w:lang w:val="fr-FR"/>
        </w:rPr>
        <w:t>6.2.2.1.1</w:t>
      </w:r>
      <w:r w:rsidRPr="00EF6384">
        <w:rPr>
          <w:bCs/>
          <w:lang w:val="fr-FR"/>
        </w:rPr>
        <w:tab/>
        <w:t xml:space="preserve">Dans la première phrase, remplacer </w:t>
      </w:r>
      <w:r w:rsidR="00307F0E">
        <w:rPr>
          <w:bCs/>
          <w:lang w:val="fr-FR"/>
        </w:rPr>
        <w:t>« </w:t>
      </w:r>
      <w:r w:rsidRPr="00EF6384">
        <w:rPr>
          <w:bCs/>
          <w:lang w:val="fr-FR"/>
        </w:rPr>
        <w:t>bouteilles UN</w:t>
      </w:r>
      <w:r w:rsidR="00307F0E">
        <w:rPr>
          <w:bCs/>
          <w:lang w:val="fr-FR"/>
        </w:rPr>
        <w:t> »</w:t>
      </w:r>
      <w:r w:rsidRPr="00EF6384">
        <w:rPr>
          <w:bCs/>
          <w:lang w:val="fr-FR"/>
        </w:rPr>
        <w:t xml:space="preserve"> par </w:t>
      </w:r>
      <w:r w:rsidR="00307F0E">
        <w:rPr>
          <w:bCs/>
          <w:lang w:val="fr-FR"/>
        </w:rPr>
        <w:t>« </w:t>
      </w:r>
      <w:r w:rsidRPr="00EF6384">
        <w:rPr>
          <w:bCs/>
          <w:lang w:val="fr-FR"/>
        </w:rPr>
        <w:t>enveloppes des bouteilles UN</w:t>
      </w:r>
      <w:r w:rsidR="00307F0E">
        <w:rPr>
          <w:bCs/>
          <w:lang w:val="fr-FR"/>
        </w:rPr>
        <w:t> »</w:t>
      </w:r>
      <w:r w:rsidRPr="00EF6384">
        <w:rPr>
          <w:bCs/>
          <w:lang w:val="fr-FR"/>
        </w:rPr>
        <w:t>.</w:t>
      </w:r>
    </w:p>
    <w:p w:rsidR="00EF6384" w:rsidRPr="00EF6384" w:rsidRDefault="004F2FAD" w:rsidP="004F2FAD">
      <w:pPr>
        <w:pStyle w:val="SingleTxt"/>
        <w:ind w:left="2218" w:hanging="951"/>
        <w:rPr>
          <w:bCs/>
          <w:lang w:val="fr-FR"/>
        </w:rPr>
      </w:pPr>
      <w:r>
        <w:rPr>
          <w:bCs/>
          <w:lang w:val="fr-FR"/>
        </w:rPr>
        <w:tab/>
      </w:r>
      <w:r>
        <w:rPr>
          <w:bCs/>
          <w:lang w:val="fr-FR"/>
        </w:rPr>
        <w:tab/>
      </w:r>
      <w:r w:rsidR="00EF6384" w:rsidRPr="00EF6384">
        <w:rPr>
          <w:bCs/>
          <w:lang w:val="fr-FR"/>
        </w:rPr>
        <w:t>Dans le tableau, supprimer toute la rangée commençant par ISO 11118</w:t>
      </w:r>
      <w:r w:rsidR="00684C99">
        <w:rPr>
          <w:bCs/>
          <w:lang w:val="fr-FR"/>
        </w:rPr>
        <w:t>:</w:t>
      </w:r>
      <w:r w:rsidR="00EF6384" w:rsidRPr="00EF6384">
        <w:rPr>
          <w:bCs/>
          <w:lang w:val="fr-FR"/>
        </w:rPr>
        <w:t>1999</w:t>
      </w:r>
    </w:p>
    <w:p w:rsidR="00636C70" w:rsidRPr="00636C70" w:rsidRDefault="00636C70" w:rsidP="00636C70">
      <w:pPr>
        <w:pStyle w:val="SingleTxt"/>
        <w:spacing w:after="0" w:line="120" w:lineRule="exact"/>
        <w:rPr>
          <w:bCs/>
          <w:sz w:val="10"/>
          <w:lang w:val="fr-FR"/>
        </w:rPr>
      </w:pPr>
    </w:p>
    <w:tbl>
      <w:tblPr>
        <w:tblW w:w="7574"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7574"/>
      </w:tblGrid>
      <w:tr w:rsidR="00636C70" w:rsidTr="00C30AB8">
        <w:tc>
          <w:tcPr>
            <w:tcW w:w="7574" w:type="dxa"/>
            <w:shd w:val="clear" w:color="auto" w:fill="auto"/>
          </w:tcPr>
          <w:p w:rsidR="00636C70" w:rsidRPr="00DE45B6" w:rsidRDefault="00636C70" w:rsidP="00C30AB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rPr>
            </w:pPr>
          </w:p>
          <w:p w:rsidR="00636C70" w:rsidRPr="00220A6E" w:rsidRDefault="004F2FAD" w:rsidP="00C30AB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iCs/>
                <w:lang w:val="fr-FR"/>
              </w:rPr>
            </w:pPr>
            <w:r>
              <w:rPr>
                <w:bCs/>
                <w:iCs/>
                <w:lang w:val="fr-FR"/>
              </w:rPr>
              <w:tab/>
            </w:r>
            <w:r w:rsidR="00636C70" w:rsidRPr="00636C70">
              <w:rPr>
                <w:bCs/>
                <w:iCs/>
                <w:lang w:val="fr-FR"/>
              </w:rPr>
              <w:t>Il est proposé de placer cette norme dans un nouveau paragraphe 6.2.2.1.8 en même temps que la norme pertinente applicable au robinet ISO 13340:2001.</w:t>
            </w:r>
          </w:p>
        </w:tc>
      </w:tr>
      <w:tr w:rsidR="00636C70" w:rsidTr="00C30AB8">
        <w:trPr>
          <w:trHeight w:hRule="exact" w:val="115"/>
        </w:trPr>
        <w:tc>
          <w:tcPr>
            <w:tcW w:w="7574" w:type="dxa"/>
            <w:shd w:val="clear" w:color="auto" w:fill="auto"/>
          </w:tcPr>
          <w:p w:rsidR="00636C70" w:rsidRDefault="00636C70" w:rsidP="00C30AB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bl>
    <w:p w:rsidR="00636C70" w:rsidRPr="00636C70" w:rsidRDefault="00636C70" w:rsidP="00636C70">
      <w:pPr>
        <w:pStyle w:val="SingleTxt"/>
        <w:spacing w:after="0" w:line="120" w:lineRule="exact"/>
        <w:rPr>
          <w:bCs/>
          <w:sz w:val="10"/>
          <w:lang w:val="fr-FR"/>
        </w:rPr>
      </w:pPr>
    </w:p>
    <w:p w:rsidR="00636C70" w:rsidRPr="00636C70" w:rsidRDefault="00636C70" w:rsidP="00636C70">
      <w:pPr>
        <w:pStyle w:val="SingleTxt"/>
        <w:spacing w:after="0" w:line="120" w:lineRule="exact"/>
        <w:rPr>
          <w:bCs/>
          <w:sz w:val="10"/>
          <w:lang w:val="fr-FR"/>
        </w:rPr>
      </w:pPr>
    </w:p>
    <w:p w:rsidR="00EF6384" w:rsidRPr="00EF6384" w:rsidRDefault="00AC7E83" w:rsidP="00AC7E83">
      <w:pPr>
        <w:pStyle w:val="SingleTxt"/>
        <w:ind w:left="2218" w:hanging="951"/>
        <w:rPr>
          <w:lang w:val="fr-FR"/>
        </w:rPr>
      </w:pPr>
      <w:r>
        <w:rPr>
          <w:b/>
          <w:i/>
          <w:lang w:val="fr-FR"/>
        </w:rPr>
        <w:tab/>
      </w:r>
      <w:r>
        <w:rPr>
          <w:b/>
          <w:i/>
          <w:lang w:val="fr-FR"/>
        </w:rPr>
        <w:tab/>
      </w:r>
      <w:r w:rsidR="004F2FAD">
        <w:rPr>
          <w:b/>
          <w:i/>
          <w:lang w:val="fr-FR"/>
        </w:rPr>
        <w:t>NOTA </w:t>
      </w:r>
      <w:r w:rsidR="00EF6384" w:rsidRPr="00EF6384">
        <w:rPr>
          <w:b/>
          <w:i/>
          <w:lang w:val="fr-FR"/>
        </w:rPr>
        <w:t>1</w:t>
      </w:r>
      <w:r w:rsidR="004F2FAD">
        <w:rPr>
          <w:lang w:val="fr-FR"/>
        </w:rPr>
        <w:t xml:space="preserve"> : </w:t>
      </w:r>
      <w:r w:rsidR="00EF6384" w:rsidRPr="00EF6384">
        <w:rPr>
          <w:lang w:val="fr-FR"/>
        </w:rPr>
        <w:t xml:space="preserve">Remplacer </w:t>
      </w:r>
      <w:r w:rsidR="00307F0E">
        <w:rPr>
          <w:lang w:val="fr-FR"/>
        </w:rPr>
        <w:t>« </w:t>
      </w:r>
      <w:r w:rsidR="00EF6384" w:rsidRPr="00EF6384">
        <w:rPr>
          <w:i/>
          <w:lang w:val="fr-FR"/>
        </w:rPr>
        <w:t>bouteilles à gaz composites</w:t>
      </w:r>
      <w:r w:rsidR="00307F0E">
        <w:rPr>
          <w:i/>
          <w:lang w:val="fr-FR"/>
        </w:rPr>
        <w:t> </w:t>
      </w:r>
      <w:r w:rsidR="00307F0E" w:rsidRPr="00AE3F87">
        <w:t>»</w:t>
      </w:r>
      <w:r w:rsidR="00EF6384" w:rsidRPr="00EF6384">
        <w:rPr>
          <w:lang w:val="fr-FR"/>
        </w:rPr>
        <w:t xml:space="preserve"> par </w:t>
      </w:r>
      <w:r w:rsidR="00307F0E" w:rsidRPr="00AE3F87">
        <w:t>«</w:t>
      </w:r>
      <w:r w:rsidR="00307F0E">
        <w:rPr>
          <w:lang w:val="fr-FR"/>
        </w:rPr>
        <w:t> </w:t>
      </w:r>
      <w:r w:rsidR="00EF6384" w:rsidRPr="00EF6384">
        <w:rPr>
          <w:i/>
          <w:lang w:val="fr-CH"/>
        </w:rPr>
        <w:t xml:space="preserve">enveloppes des </w:t>
      </w:r>
      <w:r w:rsidR="00EF6384" w:rsidRPr="00EF6384">
        <w:rPr>
          <w:i/>
          <w:lang w:val="fr-FR"/>
        </w:rPr>
        <w:t>bouteilles à gaz composites</w:t>
      </w:r>
      <w:r w:rsidR="00307F0E">
        <w:rPr>
          <w:i/>
          <w:lang w:val="fr-FR"/>
        </w:rPr>
        <w:t> </w:t>
      </w:r>
      <w:r w:rsidR="00307F0E" w:rsidRPr="00AE3F87">
        <w:t>»</w:t>
      </w:r>
      <w:r w:rsidR="00EF6384" w:rsidRPr="00AE3F87">
        <w:t>.</w:t>
      </w:r>
    </w:p>
    <w:p w:rsidR="00EF6384" w:rsidRPr="00EF6384" w:rsidRDefault="00AC7E83" w:rsidP="00AC7E83">
      <w:pPr>
        <w:pStyle w:val="SingleTxt"/>
        <w:ind w:left="2218" w:hanging="951"/>
        <w:rPr>
          <w:lang w:val="fr-FR"/>
        </w:rPr>
      </w:pPr>
      <w:r>
        <w:rPr>
          <w:b/>
          <w:i/>
          <w:lang w:val="fr-FR"/>
        </w:rPr>
        <w:tab/>
      </w:r>
      <w:r>
        <w:rPr>
          <w:b/>
          <w:i/>
          <w:lang w:val="fr-FR"/>
        </w:rPr>
        <w:tab/>
      </w:r>
      <w:r w:rsidR="004F2FAD">
        <w:rPr>
          <w:b/>
          <w:i/>
          <w:lang w:val="fr-FR"/>
        </w:rPr>
        <w:t>NOTA </w:t>
      </w:r>
      <w:r w:rsidR="00EF6384" w:rsidRPr="004F2FAD">
        <w:rPr>
          <w:b/>
          <w:i/>
        </w:rPr>
        <w:t>2</w:t>
      </w:r>
      <w:r w:rsidR="004F2FAD">
        <w:t> :</w:t>
      </w:r>
      <w:r w:rsidR="00FB0D79">
        <w:t xml:space="preserve"> </w:t>
      </w:r>
      <w:r w:rsidR="00EF6384" w:rsidRPr="004F2FAD">
        <w:t>Remplacer</w:t>
      </w:r>
      <w:r w:rsidR="00EF6384" w:rsidRPr="00EF6384">
        <w:rPr>
          <w:lang w:val="fr-FR"/>
        </w:rPr>
        <w:t xml:space="preserve"> </w:t>
      </w:r>
      <w:r w:rsidR="00307F0E" w:rsidRPr="00AE3F87">
        <w:t>«</w:t>
      </w:r>
      <w:r w:rsidR="00307F0E">
        <w:rPr>
          <w:lang w:val="fr-FR"/>
        </w:rPr>
        <w:t> </w:t>
      </w:r>
      <w:r w:rsidR="00EF6384" w:rsidRPr="00EF6384">
        <w:rPr>
          <w:i/>
          <w:lang w:val="fr-FR"/>
        </w:rPr>
        <w:t>bouteilles à gaz composites</w:t>
      </w:r>
      <w:r w:rsidR="00307F0E">
        <w:rPr>
          <w:i/>
          <w:lang w:val="fr-FR"/>
        </w:rPr>
        <w:t> </w:t>
      </w:r>
      <w:r w:rsidR="00307F0E" w:rsidRPr="00AE3F87">
        <w:t>»</w:t>
      </w:r>
      <w:r w:rsidR="00EF6384" w:rsidRPr="00EF6384">
        <w:rPr>
          <w:lang w:val="fr-FR"/>
        </w:rPr>
        <w:t xml:space="preserve"> par </w:t>
      </w:r>
      <w:r w:rsidR="00307F0E">
        <w:rPr>
          <w:lang w:val="fr-FR"/>
        </w:rPr>
        <w:t>« </w:t>
      </w:r>
      <w:r w:rsidR="00EF6384" w:rsidRPr="00EF6384">
        <w:rPr>
          <w:i/>
          <w:lang w:val="fr-CH"/>
        </w:rPr>
        <w:t xml:space="preserve">enveloppes des </w:t>
      </w:r>
      <w:r w:rsidR="00EF6384" w:rsidRPr="00EF6384">
        <w:rPr>
          <w:i/>
          <w:lang w:val="fr-FR"/>
        </w:rPr>
        <w:t>bouteilles à gaz composites</w:t>
      </w:r>
      <w:r w:rsidR="00307F0E">
        <w:rPr>
          <w:i/>
          <w:lang w:val="fr-FR"/>
        </w:rPr>
        <w:t> </w:t>
      </w:r>
      <w:r w:rsidR="00307F0E" w:rsidRPr="00AE3F87">
        <w:t>»</w:t>
      </w:r>
      <w:r w:rsidR="00EF6384" w:rsidRPr="00EF6384">
        <w:rPr>
          <w:lang w:val="fr-FR"/>
        </w:rPr>
        <w:t>, deux fois.</w:t>
      </w:r>
    </w:p>
    <w:p w:rsidR="00EF6384" w:rsidRPr="00EF6384" w:rsidRDefault="00EF6384" w:rsidP="004F2FAD">
      <w:pPr>
        <w:pStyle w:val="SingleTxt"/>
        <w:ind w:left="2218" w:hanging="951"/>
        <w:rPr>
          <w:b/>
          <w:u w:val="single"/>
          <w:lang w:val="fr-FR"/>
        </w:rPr>
      </w:pPr>
      <w:r w:rsidRPr="00EF6384">
        <w:rPr>
          <w:lang w:val="fr-FR"/>
        </w:rPr>
        <w:t>6.2.2.1.2</w:t>
      </w:r>
      <w:r w:rsidRPr="00EF6384">
        <w:rPr>
          <w:lang w:val="fr-FR"/>
        </w:rPr>
        <w:tab/>
        <w:t xml:space="preserve">Dans la première phrase, remplacer </w:t>
      </w:r>
      <w:r w:rsidR="00307F0E">
        <w:rPr>
          <w:lang w:val="fr-FR"/>
        </w:rPr>
        <w:t>« </w:t>
      </w:r>
      <w:r w:rsidRPr="00EF6384">
        <w:rPr>
          <w:lang w:val="fr-FR"/>
        </w:rPr>
        <w:t>tubes UN</w:t>
      </w:r>
      <w:r w:rsidR="00307F0E">
        <w:rPr>
          <w:lang w:val="fr-FR"/>
        </w:rPr>
        <w:t> »</w:t>
      </w:r>
      <w:r w:rsidRPr="00EF6384">
        <w:rPr>
          <w:lang w:val="fr-FR"/>
        </w:rPr>
        <w:t xml:space="preserve"> par </w:t>
      </w:r>
      <w:r w:rsidR="00307F0E">
        <w:rPr>
          <w:lang w:val="fr-FR"/>
        </w:rPr>
        <w:t>« </w:t>
      </w:r>
      <w:r w:rsidRPr="00EF6384">
        <w:rPr>
          <w:lang w:val="fr-FR"/>
        </w:rPr>
        <w:t>enveloppes des tubes UN</w:t>
      </w:r>
      <w:r w:rsidR="00307F0E">
        <w:rPr>
          <w:lang w:val="fr-FR"/>
        </w:rPr>
        <w:t> »</w:t>
      </w:r>
      <w:r w:rsidRPr="00EF6384">
        <w:rPr>
          <w:lang w:val="fr-FR"/>
        </w:rPr>
        <w:t>.</w:t>
      </w:r>
      <w:r w:rsidRPr="00EF6384">
        <w:rPr>
          <w:b/>
          <w:u w:val="single"/>
          <w:lang w:val="fr-FR"/>
        </w:rPr>
        <w:t xml:space="preserve"> </w:t>
      </w:r>
    </w:p>
    <w:p w:rsidR="00EF6384" w:rsidRPr="00EF6384" w:rsidRDefault="00EF6384" w:rsidP="004212F1">
      <w:pPr>
        <w:pStyle w:val="SingleTxt"/>
        <w:ind w:left="2218" w:hanging="951"/>
        <w:rPr>
          <w:lang w:val="fr-FR"/>
        </w:rPr>
      </w:pPr>
      <w:r w:rsidRPr="00EF6384">
        <w:rPr>
          <w:lang w:val="fr-FR"/>
        </w:rPr>
        <w:t>6.2.2.1.3</w:t>
      </w:r>
      <w:r w:rsidRPr="00EF6384">
        <w:rPr>
          <w:lang w:val="fr-FR"/>
        </w:rPr>
        <w:tab/>
        <w:t xml:space="preserve">Dans la ligne qui précède le deuxième tableau, remplacer </w:t>
      </w:r>
      <w:r w:rsidR="00307F0E">
        <w:rPr>
          <w:lang w:val="fr-FR"/>
        </w:rPr>
        <w:t>« </w:t>
      </w:r>
      <w:r w:rsidRPr="00EF6384">
        <w:rPr>
          <w:lang w:val="fr-FR"/>
        </w:rPr>
        <w:t>Pour la matière poreuse dans les bouteilles</w:t>
      </w:r>
      <w:r w:rsidR="00307F0E">
        <w:rPr>
          <w:lang w:val="fr-FR"/>
        </w:rPr>
        <w:t> </w:t>
      </w:r>
      <w:r w:rsidR="00684C99">
        <w:rPr>
          <w:lang w:val="fr-FR"/>
        </w:rPr>
        <w:t>:</w:t>
      </w:r>
      <w:r w:rsidR="00307F0E">
        <w:rPr>
          <w:lang w:val="fr-FR"/>
        </w:rPr>
        <w:t> »</w:t>
      </w:r>
      <w:r w:rsidRPr="00EF6384">
        <w:rPr>
          <w:lang w:val="fr-FR"/>
        </w:rPr>
        <w:t xml:space="preserve"> par </w:t>
      </w:r>
      <w:r w:rsidR="00307F0E">
        <w:rPr>
          <w:lang w:val="fr-FR"/>
        </w:rPr>
        <w:t>« </w:t>
      </w:r>
      <w:r w:rsidRPr="00EF6384">
        <w:rPr>
          <w:lang w:val="fr-FR"/>
        </w:rPr>
        <w:t>Pour les bouteilles d’acétylène</w:t>
      </w:r>
      <w:r w:rsidR="00307F0E">
        <w:rPr>
          <w:lang w:val="fr-FR"/>
        </w:rPr>
        <w:t> »</w:t>
      </w:r>
      <w:r w:rsidRPr="00EF6384">
        <w:rPr>
          <w:lang w:val="fr-FR"/>
        </w:rPr>
        <w:t>.</w:t>
      </w:r>
    </w:p>
    <w:p w:rsidR="00EF6384" w:rsidRPr="00EF6384" w:rsidRDefault="00EF6384" w:rsidP="004212F1">
      <w:pPr>
        <w:pStyle w:val="SingleTxt"/>
        <w:ind w:left="2218" w:hanging="951"/>
        <w:rPr>
          <w:lang w:val="fr-FR"/>
        </w:rPr>
      </w:pPr>
      <w:r w:rsidRPr="00EF6384">
        <w:rPr>
          <w:lang w:val="fr-FR"/>
        </w:rPr>
        <w:t>6.2.2.1.4</w:t>
      </w:r>
      <w:r w:rsidRPr="00EF6384">
        <w:rPr>
          <w:lang w:val="fr-FR"/>
        </w:rPr>
        <w:tab/>
        <w:t xml:space="preserve">Remplacer </w:t>
      </w:r>
      <w:r w:rsidR="00307F0E">
        <w:rPr>
          <w:lang w:val="fr-FR"/>
        </w:rPr>
        <w:t>« </w:t>
      </w:r>
      <w:r w:rsidRPr="00EF6384">
        <w:rPr>
          <w:lang w:val="fr-FR"/>
        </w:rPr>
        <w:t>récipients cryogéniques UN</w:t>
      </w:r>
      <w:r w:rsidR="00307F0E">
        <w:rPr>
          <w:lang w:val="fr-FR"/>
        </w:rPr>
        <w:t> »</w:t>
      </w:r>
      <w:r w:rsidRPr="00EF6384">
        <w:rPr>
          <w:lang w:val="fr-FR"/>
        </w:rPr>
        <w:t xml:space="preserve"> par </w:t>
      </w:r>
      <w:r w:rsidR="00307F0E">
        <w:rPr>
          <w:lang w:val="fr-FR"/>
        </w:rPr>
        <w:t>« </w:t>
      </w:r>
      <w:r w:rsidRPr="00EF6384">
        <w:rPr>
          <w:lang w:val="fr-FR"/>
        </w:rPr>
        <w:t>récipients cryogéniques fermés UN</w:t>
      </w:r>
      <w:r w:rsidR="00307F0E">
        <w:rPr>
          <w:lang w:val="fr-FR"/>
        </w:rPr>
        <w:t> »</w:t>
      </w:r>
      <w:r w:rsidRPr="00EF6384">
        <w:rPr>
          <w:lang w:val="fr-FR"/>
        </w:rPr>
        <w:t>.</w:t>
      </w:r>
    </w:p>
    <w:p w:rsidR="00EF6384" w:rsidRPr="00EF6384" w:rsidRDefault="00EF6384" w:rsidP="004212F1">
      <w:pPr>
        <w:pStyle w:val="SingleTxt"/>
        <w:ind w:left="2218" w:hanging="951"/>
        <w:rPr>
          <w:lang w:val="fr-FR"/>
        </w:rPr>
      </w:pPr>
      <w:r w:rsidRPr="00EF6384">
        <w:rPr>
          <w:lang w:val="fr-FR"/>
        </w:rPr>
        <w:t xml:space="preserve">6.2.2.1.6 </w:t>
      </w:r>
      <w:r w:rsidRPr="00EF6384">
        <w:rPr>
          <w:lang w:val="fr-FR"/>
        </w:rPr>
        <w:tab/>
        <w:t xml:space="preserve">Dans la première phrase, remplacer </w:t>
      </w:r>
      <w:r w:rsidR="00307F0E">
        <w:rPr>
          <w:lang w:val="fr-FR"/>
        </w:rPr>
        <w:t>« </w:t>
      </w:r>
      <w:r w:rsidRPr="00EF6384">
        <w:rPr>
          <w:lang w:val="fr-FR"/>
        </w:rPr>
        <w:t>La norme ci-après</w:t>
      </w:r>
      <w:r w:rsidR="00307F0E">
        <w:rPr>
          <w:lang w:val="fr-FR"/>
        </w:rPr>
        <w:t> »</w:t>
      </w:r>
      <w:r w:rsidRPr="00EF6384">
        <w:rPr>
          <w:lang w:val="fr-FR"/>
        </w:rPr>
        <w:t xml:space="preserve"> par </w:t>
      </w:r>
      <w:r w:rsidR="00307F0E">
        <w:rPr>
          <w:lang w:val="fr-FR"/>
        </w:rPr>
        <w:t>« </w:t>
      </w:r>
      <w:r w:rsidRPr="00EF6384">
        <w:rPr>
          <w:lang w:val="fr-FR"/>
        </w:rPr>
        <w:t>La norme suivante</w:t>
      </w:r>
      <w:r w:rsidR="00307F0E">
        <w:rPr>
          <w:lang w:val="fr-FR"/>
        </w:rPr>
        <w:t> »</w:t>
      </w:r>
      <w:r w:rsidRPr="00EF6384">
        <w:rPr>
          <w:lang w:val="fr-FR"/>
        </w:rPr>
        <w:t xml:space="preserve">. </w:t>
      </w:r>
    </w:p>
    <w:p w:rsidR="00EF6384" w:rsidRPr="00EF6384" w:rsidRDefault="004212F1" w:rsidP="004212F1">
      <w:pPr>
        <w:pStyle w:val="SingleTxt"/>
        <w:ind w:left="2218" w:hanging="951"/>
        <w:rPr>
          <w:lang w:val="fr-FR"/>
        </w:rPr>
      </w:pPr>
      <w:r>
        <w:rPr>
          <w:lang w:val="fr-FR"/>
        </w:rPr>
        <w:tab/>
      </w:r>
      <w:r>
        <w:rPr>
          <w:lang w:val="fr-FR"/>
        </w:rPr>
        <w:tab/>
      </w:r>
      <w:r w:rsidR="00EF6384" w:rsidRPr="00EF6384">
        <w:rPr>
          <w:lang w:val="fr-FR"/>
        </w:rPr>
        <w:t xml:space="preserve">Dans la deuxième phrase, remplacer </w:t>
      </w:r>
      <w:r w:rsidR="00307F0E">
        <w:rPr>
          <w:lang w:val="fr-FR"/>
        </w:rPr>
        <w:t>« </w:t>
      </w:r>
      <w:r w:rsidR="00EF6384" w:rsidRPr="00EF6384">
        <w:rPr>
          <w:lang w:val="fr-FR"/>
        </w:rPr>
        <w:t>bouteille UN</w:t>
      </w:r>
      <w:r w:rsidR="00307F0E">
        <w:rPr>
          <w:lang w:val="fr-FR"/>
        </w:rPr>
        <w:t> »</w:t>
      </w:r>
      <w:r w:rsidR="00EF6384" w:rsidRPr="00EF6384">
        <w:rPr>
          <w:lang w:val="fr-FR"/>
        </w:rPr>
        <w:t xml:space="preserve"> par </w:t>
      </w:r>
      <w:r w:rsidR="00307F0E">
        <w:rPr>
          <w:lang w:val="fr-FR"/>
        </w:rPr>
        <w:t>« </w:t>
      </w:r>
      <w:r w:rsidR="00EF6384" w:rsidRPr="00EF6384">
        <w:rPr>
          <w:lang w:val="fr-FR"/>
        </w:rPr>
        <w:t>bouteille UN ou enveloppe de bouteille UN</w:t>
      </w:r>
      <w:r w:rsidR="00307F0E">
        <w:rPr>
          <w:lang w:val="fr-FR"/>
        </w:rPr>
        <w:t> »</w:t>
      </w:r>
      <w:r w:rsidR="00EF6384" w:rsidRPr="00EF6384">
        <w:rPr>
          <w:lang w:val="fr-FR"/>
        </w:rPr>
        <w:t xml:space="preserve">. </w:t>
      </w:r>
    </w:p>
    <w:p w:rsidR="00EF6384" w:rsidRPr="00EF6384" w:rsidRDefault="007A6976" w:rsidP="00EF6384">
      <w:pPr>
        <w:pStyle w:val="SingleTxt"/>
        <w:rPr>
          <w:lang w:val="fr-FR"/>
        </w:rPr>
      </w:pPr>
      <w:r>
        <w:rPr>
          <w:b/>
          <w:i/>
          <w:lang w:val="fr-FR"/>
        </w:rPr>
        <w:tab/>
      </w:r>
      <w:r>
        <w:rPr>
          <w:b/>
          <w:i/>
          <w:lang w:val="fr-FR"/>
        </w:rPr>
        <w:tab/>
      </w:r>
      <w:r w:rsidR="00EF6384" w:rsidRPr="00EF6384">
        <w:rPr>
          <w:b/>
          <w:i/>
          <w:lang w:val="fr-FR"/>
        </w:rPr>
        <w:t>NOTA</w:t>
      </w:r>
      <w:r w:rsidR="00EF6384" w:rsidRPr="00EF6384">
        <w:rPr>
          <w:b/>
          <w:i/>
          <w:lang w:val="fr-FR"/>
        </w:rPr>
        <w:tab/>
      </w:r>
      <w:r w:rsidR="00EF6384" w:rsidRPr="00EF6384">
        <w:rPr>
          <w:lang w:val="fr-FR"/>
        </w:rPr>
        <w:t>Remplacer le nota par </w:t>
      </w:r>
      <w:r w:rsidR="00684C99">
        <w:rPr>
          <w:lang w:val="fr-FR"/>
        </w:rPr>
        <w:t>:</w:t>
      </w:r>
      <w:r w:rsidR="00EF6384" w:rsidRPr="00EF6384">
        <w:rPr>
          <w:lang w:val="fr-FR"/>
        </w:rPr>
        <w:t xml:space="preserve"> </w:t>
      </w:r>
    </w:p>
    <w:p w:rsidR="00EF6384" w:rsidRPr="00EF6384" w:rsidRDefault="00FB0D79" w:rsidP="00FB0D79">
      <w:pPr>
        <w:pStyle w:val="SingleTxt"/>
        <w:ind w:left="2218" w:hanging="951"/>
        <w:rPr>
          <w:i/>
          <w:lang w:val="fr-FR"/>
        </w:rPr>
      </w:pPr>
      <w:r>
        <w:rPr>
          <w:lang w:val="fr-FR"/>
        </w:rPr>
        <w:tab/>
      </w:r>
      <w:r>
        <w:rPr>
          <w:lang w:val="fr-FR"/>
        </w:rPr>
        <w:tab/>
      </w:r>
      <w:r w:rsidR="00307F0E" w:rsidRPr="005C3EBC">
        <w:rPr>
          <w:lang w:val="fr-FR"/>
        </w:rPr>
        <w:t>«</w:t>
      </w:r>
      <w:r w:rsidR="00307F0E">
        <w:rPr>
          <w:b/>
          <w:i/>
          <w:lang w:val="fr-FR"/>
        </w:rPr>
        <w:t> </w:t>
      </w:r>
      <w:r w:rsidR="00EF6384" w:rsidRPr="00EF6384">
        <w:rPr>
          <w:b/>
          <w:i/>
          <w:lang w:val="fr-FR"/>
        </w:rPr>
        <w:t>NOTA</w:t>
      </w:r>
      <w:r w:rsidR="007A6976">
        <w:rPr>
          <w:i/>
          <w:lang w:val="fr-FR"/>
        </w:rPr>
        <w:t> </w:t>
      </w:r>
      <w:r w:rsidR="00684C99" w:rsidRPr="008D4CD1">
        <w:rPr>
          <w:i/>
          <w:lang w:val="fr-FR"/>
        </w:rPr>
        <w:t>:</w:t>
      </w:r>
      <w:r w:rsidR="00EF6384" w:rsidRPr="005C3EBC">
        <w:rPr>
          <w:lang w:val="fr-FR"/>
        </w:rPr>
        <w:t xml:space="preserve"> </w:t>
      </w:r>
      <w:r w:rsidR="00EF6384" w:rsidRPr="00EF6384">
        <w:rPr>
          <w:i/>
          <w:lang w:val="fr-FR"/>
        </w:rPr>
        <w:t xml:space="preserve">Pour changer une ou plusieurs bouteilles ou enveloppes de bouteilles ayant le même modèle type, y compris la même pression d’épreuve, dans un cadre de bouteilles UN, il n’est pas nécessaire de refaire la certification du cadre existant. L’équipement de service du cadre de </w:t>
      </w:r>
      <w:r w:rsidR="00EF6384" w:rsidRPr="007B2B90">
        <w:rPr>
          <w:i/>
          <w:lang w:val="fr-CH"/>
        </w:rPr>
        <w:t>bouteilles</w:t>
      </w:r>
      <w:r w:rsidR="00EF6384" w:rsidRPr="00EF6384">
        <w:rPr>
          <w:i/>
          <w:lang w:val="fr-FR"/>
        </w:rPr>
        <w:t xml:space="preserve"> peut aussi être remplacé sans qu’il soit besoin de procéder à une nouvelle évaluation de conformité s’il est conforme au certificat d’homologation de type</w:t>
      </w:r>
      <w:r w:rsidR="00307F0E">
        <w:rPr>
          <w:i/>
          <w:lang w:val="fr-FR"/>
        </w:rPr>
        <w:t> </w:t>
      </w:r>
      <w:r w:rsidR="00307F0E" w:rsidRPr="005C3EBC">
        <w:rPr>
          <w:lang w:val="fr-FR"/>
        </w:rPr>
        <w:t>»</w:t>
      </w:r>
      <w:r w:rsidR="00EF6384" w:rsidRPr="005C3EBC">
        <w:rPr>
          <w:lang w:val="fr-FR"/>
        </w:rPr>
        <w:t>.</w:t>
      </w:r>
    </w:p>
    <w:p w:rsidR="00EF6384" w:rsidRPr="00EF6384" w:rsidRDefault="00EF6384" w:rsidP="005C3EBC">
      <w:pPr>
        <w:pStyle w:val="SingleTxt"/>
        <w:keepNext/>
        <w:keepLines/>
        <w:rPr>
          <w:lang w:val="fr-FR"/>
        </w:rPr>
      </w:pPr>
      <w:r w:rsidRPr="00EF6384">
        <w:rPr>
          <w:lang w:val="fr-FR"/>
        </w:rPr>
        <w:lastRenderedPageBreak/>
        <w:t>6.2.2.1.7</w:t>
      </w:r>
      <w:r w:rsidRPr="00EF6384">
        <w:rPr>
          <w:lang w:val="fr-FR"/>
        </w:rPr>
        <w:tab/>
      </w:r>
      <w:r w:rsidR="005C3EBC">
        <w:rPr>
          <w:lang w:val="fr-FR"/>
        </w:rPr>
        <w:t>À</w:t>
      </w:r>
      <w:r w:rsidRPr="00EF6384">
        <w:rPr>
          <w:lang w:val="fr-FR"/>
        </w:rPr>
        <w:t xml:space="preserve"> la fin, ajouter un nouveau paragraphe et tableau 6.2.2.1.8 ainsi conçus</w:t>
      </w:r>
      <w:r w:rsidR="007B2B90">
        <w:rPr>
          <w:lang w:val="fr-FR"/>
        </w:rPr>
        <w:t> </w:t>
      </w:r>
      <w:r w:rsidR="00684C99">
        <w:rPr>
          <w:lang w:val="fr-FR"/>
        </w:rPr>
        <w:t>:</w:t>
      </w:r>
    </w:p>
    <w:p w:rsidR="00EF6384" w:rsidRPr="00EF6384" w:rsidRDefault="00307F0E" w:rsidP="005C3EBC">
      <w:pPr>
        <w:pStyle w:val="SingleTxt"/>
        <w:ind w:left="2218" w:hanging="951"/>
        <w:rPr>
          <w:lang w:val="fr-FR"/>
        </w:rPr>
      </w:pPr>
      <w:r>
        <w:rPr>
          <w:lang w:val="fr-FR"/>
        </w:rPr>
        <w:t>« </w:t>
      </w:r>
      <w:r w:rsidR="00EF6384" w:rsidRPr="00EF6384">
        <w:rPr>
          <w:lang w:val="fr-FR"/>
        </w:rPr>
        <w:t>6.2.2.1.8</w:t>
      </w:r>
      <w:r w:rsidR="00EF6384" w:rsidRPr="00EF6384">
        <w:rPr>
          <w:lang w:val="fr-FR"/>
        </w:rPr>
        <w:tab/>
        <w:t>Les normes ci-après s’appliquent à la conception, à la construction ainsi qu’aux contrôles et aux épreuves initiaux des bouteilles non rechargeables portant la marque “ UN </w:t>
      </w:r>
      <w:r w:rsidR="007B2B90" w:rsidRPr="0076376C">
        <w:rPr>
          <w:lang w:val="fr-FR"/>
        </w:rPr>
        <w:t>”</w:t>
      </w:r>
      <w:r w:rsidR="00EF6384" w:rsidRPr="00EF6384">
        <w:rPr>
          <w:lang w:val="fr-FR"/>
        </w:rPr>
        <w:t xml:space="preserve">, si ce n’est que les prescriptions relatives au contrôle et à l’agrément du système d’évaluation de conformité doivent être conformes au 6.2.2.5. </w:t>
      </w:r>
    </w:p>
    <w:tbl>
      <w:tblPr>
        <w:tblW w:w="0" w:type="auto"/>
        <w:tblInd w:w="1267" w:type="dxa"/>
        <w:tblLayout w:type="fixed"/>
        <w:tblLook w:val="04A0"/>
      </w:tblPr>
      <w:tblGrid>
        <w:gridCol w:w="1843"/>
        <w:gridCol w:w="3686"/>
        <w:gridCol w:w="2132"/>
      </w:tblGrid>
      <w:tr w:rsidR="00EF6384" w:rsidRPr="00B30642" w:rsidTr="009E2F39">
        <w:trPr>
          <w:cantSplit/>
          <w:tblHeader/>
        </w:trPr>
        <w:tc>
          <w:tcPr>
            <w:tcW w:w="1843" w:type="dxa"/>
            <w:tcBorders>
              <w:top w:val="single" w:sz="4" w:space="0" w:color="auto"/>
              <w:left w:val="single" w:sz="4" w:space="0" w:color="auto"/>
              <w:bottom w:val="single" w:sz="12" w:space="0" w:color="auto"/>
              <w:right w:val="single" w:sz="4" w:space="0" w:color="auto"/>
            </w:tcBorders>
            <w:shd w:val="clear" w:color="auto" w:fill="auto"/>
            <w:vAlign w:val="bottom"/>
            <w:hideMark/>
          </w:tcPr>
          <w:p w:rsidR="00EF6384" w:rsidRPr="00B30642" w:rsidRDefault="00B30642" w:rsidP="00B30642">
            <w:pPr>
              <w:pStyle w:val="SingleTxt"/>
              <w:suppressAutoHyphens/>
              <w:spacing w:before="80" w:after="80" w:line="210" w:lineRule="exact"/>
              <w:ind w:left="0" w:right="115"/>
              <w:jc w:val="left"/>
              <w:rPr>
                <w:b/>
                <w:sz w:val="16"/>
                <w:szCs w:val="16"/>
                <w:lang w:val="en-GB"/>
              </w:rPr>
            </w:pPr>
            <w:r w:rsidRPr="00B30642">
              <w:rPr>
                <w:sz w:val="16"/>
                <w:szCs w:val="16"/>
                <w:lang w:val="en-GB"/>
              </w:rPr>
              <w:t>“</w:t>
            </w:r>
            <w:proofErr w:type="spellStart"/>
            <w:r>
              <w:rPr>
                <w:b/>
                <w:sz w:val="16"/>
                <w:szCs w:val="16"/>
                <w:lang w:val="en-GB"/>
              </w:rPr>
              <w:t>N</w:t>
            </w:r>
            <w:r w:rsidR="00EF6384" w:rsidRPr="00B30642">
              <w:rPr>
                <w:b/>
                <w:sz w:val="16"/>
                <w:szCs w:val="16"/>
                <w:lang w:val="en-GB"/>
              </w:rPr>
              <w:t>orme</w:t>
            </w:r>
            <w:proofErr w:type="spellEnd"/>
          </w:p>
        </w:tc>
        <w:tc>
          <w:tcPr>
            <w:tcW w:w="3686" w:type="dxa"/>
            <w:tcBorders>
              <w:top w:val="single" w:sz="4" w:space="0" w:color="auto"/>
              <w:left w:val="single" w:sz="4" w:space="0" w:color="auto"/>
              <w:bottom w:val="single" w:sz="12" w:space="0" w:color="auto"/>
              <w:right w:val="single" w:sz="4" w:space="0" w:color="auto"/>
            </w:tcBorders>
            <w:shd w:val="clear" w:color="auto" w:fill="auto"/>
            <w:vAlign w:val="bottom"/>
            <w:hideMark/>
          </w:tcPr>
          <w:p w:rsidR="00EF6384" w:rsidRPr="00B30642" w:rsidRDefault="00EF6384" w:rsidP="00D758D1">
            <w:pPr>
              <w:pStyle w:val="SingleTxt"/>
              <w:suppressAutoHyphens/>
              <w:spacing w:before="80" w:after="80" w:line="210" w:lineRule="exact"/>
              <w:ind w:left="0" w:right="115"/>
              <w:jc w:val="left"/>
              <w:rPr>
                <w:b/>
                <w:sz w:val="16"/>
                <w:szCs w:val="16"/>
                <w:lang w:val="en-GB"/>
              </w:rPr>
            </w:pPr>
            <w:r w:rsidRPr="00B30642">
              <w:rPr>
                <w:b/>
                <w:sz w:val="16"/>
                <w:szCs w:val="16"/>
                <w:lang w:val="en-GB"/>
              </w:rPr>
              <w:t>Titre</w:t>
            </w:r>
          </w:p>
        </w:tc>
        <w:tc>
          <w:tcPr>
            <w:tcW w:w="2132" w:type="dxa"/>
            <w:tcBorders>
              <w:top w:val="single" w:sz="4" w:space="0" w:color="auto"/>
              <w:left w:val="single" w:sz="4" w:space="0" w:color="auto"/>
              <w:bottom w:val="single" w:sz="12" w:space="0" w:color="auto"/>
              <w:right w:val="single" w:sz="4" w:space="0" w:color="auto"/>
            </w:tcBorders>
            <w:shd w:val="clear" w:color="auto" w:fill="auto"/>
            <w:vAlign w:val="bottom"/>
            <w:hideMark/>
          </w:tcPr>
          <w:p w:rsidR="00EF6384" w:rsidRPr="00B30642" w:rsidRDefault="00EF6384" w:rsidP="00D758D1">
            <w:pPr>
              <w:pStyle w:val="SingleTxt"/>
              <w:suppressAutoHyphens/>
              <w:spacing w:before="80" w:after="80" w:line="210" w:lineRule="exact"/>
              <w:ind w:left="0" w:right="115"/>
              <w:jc w:val="left"/>
              <w:rPr>
                <w:b/>
                <w:sz w:val="16"/>
                <w:szCs w:val="16"/>
                <w:lang w:val="en-GB"/>
              </w:rPr>
            </w:pPr>
            <w:r w:rsidRPr="00B30642">
              <w:rPr>
                <w:b/>
                <w:sz w:val="16"/>
                <w:szCs w:val="16"/>
                <w:lang w:val="en-GB"/>
              </w:rPr>
              <w:t xml:space="preserve">Applicable </w:t>
            </w:r>
            <w:r w:rsidR="00D758D1" w:rsidRPr="00B30642">
              <w:rPr>
                <w:b/>
                <w:sz w:val="16"/>
                <w:szCs w:val="16"/>
                <w:lang w:val="en-GB"/>
              </w:rPr>
              <w:br/>
            </w:r>
            <w:r w:rsidRPr="00B30642">
              <w:rPr>
                <w:b/>
                <w:sz w:val="16"/>
                <w:szCs w:val="16"/>
                <w:lang w:val="en-GB"/>
              </w:rPr>
              <w:t>à la fabrication</w:t>
            </w:r>
          </w:p>
        </w:tc>
      </w:tr>
      <w:tr w:rsidR="00D758D1" w:rsidRPr="00D758D1" w:rsidTr="009E2F39">
        <w:trPr>
          <w:cantSplit/>
          <w:trHeight w:hRule="exact" w:val="115"/>
          <w:tblHeader/>
        </w:trPr>
        <w:tc>
          <w:tcPr>
            <w:tcW w:w="1843" w:type="dxa"/>
            <w:tcBorders>
              <w:top w:val="single" w:sz="12" w:space="0" w:color="auto"/>
              <w:left w:val="single" w:sz="4" w:space="0" w:color="auto"/>
              <w:right w:val="single" w:sz="4" w:space="0" w:color="auto"/>
            </w:tcBorders>
            <w:shd w:val="clear" w:color="auto" w:fill="auto"/>
            <w:vAlign w:val="bottom"/>
          </w:tcPr>
          <w:p w:rsidR="00D758D1" w:rsidRPr="00D758D1" w:rsidRDefault="00D758D1" w:rsidP="00D758D1">
            <w:pPr>
              <w:pStyle w:val="SingleTxt"/>
              <w:suppressAutoHyphens/>
              <w:spacing w:before="80" w:after="80" w:line="210" w:lineRule="exact"/>
              <w:ind w:left="0" w:right="115"/>
              <w:rPr>
                <w:lang w:val="en-GB"/>
              </w:rPr>
            </w:pPr>
          </w:p>
        </w:tc>
        <w:tc>
          <w:tcPr>
            <w:tcW w:w="3686" w:type="dxa"/>
            <w:tcBorders>
              <w:top w:val="single" w:sz="12" w:space="0" w:color="auto"/>
              <w:left w:val="single" w:sz="4" w:space="0" w:color="auto"/>
              <w:right w:val="single" w:sz="4" w:space="0" w:color="auto"/>
            </w:tcBorders>
            <w:shd w:val="clear" w:color="auto" w:fill="auto"/>
            <w:vAlign w:val="bottom"/>
          </w:tcPr>
          <w:p w:rsidR="00D758D1" w:rsidRPr="00D758D1" w:rsidRDefault="00D758D1" w:rsidP="00D758D1">
            <w:pPr>
              <w:pStyle w:val="SingleTxt"/>
              <w:suppressAutoHyphens/>
              <w:spacing w:before="40" w:after="80" w:line="210" w:lineRule="exact"/>
              <w:ind w:left="0" w:right="397"/>
              <w:jc w:val="left"/>
              <w:rPr>
                <w:lang w:val="fr-FR"/>
              </w:rPr>
            </w:pPr>
          </w:p>
        </w:tc>
        <w:tc>
          <w:tcPr>
            <w:tcW w:w="2132" w:type="dxa"/>
            <w:tcBorders>
              <w:top w:val="single" w:sz="12" w:space="0" w:color="auto"/>
              <w:left w:val="single" w:sz="4" w:space="0" w:color="auto"/>
              <w:right w:val="single" w:sz="4" w:space="0" w:color="auto"/>
            </w:tcBorders>
            <w:shd w:val="clear" w:color="auto" w:fill="auto"/>
            <w:vAlign w:val="bottom"/>
          </w:tcPr>
          <w:p w:rsidR="00D758D1" w:rsidRPr="00D758D1" w:rsidRDefault="00D758D1" w:rsidP="00D758D1">
            <w:pPr>
              <w:pStyle w:val="SingleTxt"/>
              <w:suppressAutoHyphens/>
              <w:spacing w:before="40" w:after="80" w:line="210" w:lineRule="exact"/>
              <w:ind w:left="0" w:right="397"/>
              <w:jc w:val="left"/>
              <w:rPr>
                <w:lang w:val="en-GB"/>
              </w:rPr>
            </w:pPr>
          </w:p>
        </w:tc>
      </w:tr>
      <w:tr w:rsidR="00EF6384" w:rsidRPr="00D758D1" w:rsidTr="009E2F39">
        <w:trPr>
          <w:cantSplit/>
        </w:trPr>
        <w:tc>
          <w:tcPr>
            <w:tcW w:w="1843" w:type="dxa"/>
            <w:tcBorders>
              <w:left w:val="single" w:sz="4" w:space="0" w:color="auto"/>
              <w:right w:val="single" w:sz="4" w:space="0" w:color="auto"/>
            </w:tcBorders>
            <w:shd w:val="clear" w:color="auto" w:fill="auto"/>
            <w:hideMark/>
          </w:tcPr>
          <w:p w:rsidR="00EF6384" w:rsidRPr="00D758D1" w:rsidRDefault="0065016B" w:rsidP="00A051CB">
            <w:pPr>
              <w:pStyle w:val="SingleTxt"/>
              <w:tabs>
                <w:tab w:val="left" w:pos="288"/>
                <w:tab w:val="left" w:pos="576"/>
                <w:tab w:val="left" w:pos="864"/>
                <w:tab w:val="left" w:pos="1152"/>
              </w:tabs>
              <w:suppressAutoHyphens/>
              <w:spacing w:before="40" w:after="80" w:line="210" w:lineRule="exact"/>
              <w:ind w:left="0" w:right="115"/>
              <w:jc w:val="left"/>
              <w:rPr>
                <w:lang w:val="en-GB"/>
              </w:rPr>
            </w:pPr>
            <w:r>
              <w:rPr>
                <w:lang w:val="en-GB"/>
              </w:rPr>
              <w:t>ISO </w:t>
            </w:r>
            <w:r w:rsidR="00EF6384" w:rsidRPr="00D758D1">
              <w:rPr>
                <w:lang w:val="en-GB"/>
              </w:rPr>
              <w:t>11118</w:t>
            </w:r>
            <w:r w:rsidR="00684C99" w:rsidRPr="00D758D1">
              <w:rPr>
                <w:lang w:val="en-GB"/>
              </w:rPr>
              <w:t>:</w:t>
            </w:r>
            <w:r w:rsidR="00EF6384" w:rsidRPr="00D758D1">
              <w:rPr>
                <w:lang w:val="en-GB"/>
              </w:rPr>
              <w:t>1999</w:t>
            </w:r>
          </w:p>
        </w:tc>
        <w:tc>
          <w:tcPr>
            <w:tcW w:w="3686" w:type="dxa"/>
            <w:tcBorders>
              <w:left w:val="single" w:sz="4" w:space="0" w:color="auto"/>
              <w:right w:val="single" w:sz="4" w:space="0" w:color="auto"/>
            </w:tcBorders>
            <w:shd w:val="clear" w:color="auto" w:fill="auto"/>
            <w:hideMark/>
          </w:tcPr>
          <w:p w:rsidR="00EF6384" w:rsidRPr="00D758D1" w:rsidRDefault="00EF6384" w:rsidP="00A051CB">
            <w:pPr>
              <w:pStyle w:val="SingleTxt"/>
              <w:tabs>
                <w:tab w:val="left" w:pos="288"/>
                <w:tab w:val="left" w:pos="576"/>
                <w:tab w:val="left" w:pos="864"/>
                <w:tab w:val="left" w:pos="1152"/>
              </w:tabs>
              <w:suppressAutoHyphens/>
              <w:spacing w:before="40" w:after="80" w:line="210" w:lineRule="exact"/>
              <w:ind w:left="0" w:right="115"/>
              <w:jc w:val="left"/>
              <w:rPr>
                <w:lang w:val="fr-FR"/>
              </w:rPr>
            </w:pPr>
            <w:r w:rsidRPr="00D758D1">
              <w:rPr>
                <w:lang w:val="fr-FR"/>
              </w:rPr>
              <w:t xml:space="preserve">Bouteilles à gaz </w:t>
            </w:r>
            <w:r w:rsidR="006C7999">
              <w:rPr>
                <w:lang w:val="fr-FR"/>
              </w:rPr>
              <w:t xml:space="preserve">– </w:t>
            </w:r>
            <w:r w:rsidRPr="00D758D1">
              <w:rPr>
                <w:lang w:val="fr-FR"/>
              </w:rPr>
              <w:t xml:space="preserve">Bouteilles à gaz métalliques non rechargeables </w:t>
            </w:r>
            <w:r w:rsidR="006C7999">
              <w:rPr>
                <w:lang w:val="fr-FR"/>
              </w:rPr>
              <w:t>–</w:t>
            </w:r>
            <w:r w:rsidRPr="00D758D1">
              <w:rPr>
                <w:lang w:val="fr-FR"/>
              </w:rPr>
              <w:t xml:space="preserve"> Spécification et méthodes d’essai </w:t>
            </w:r>
          </w:p>
        </w:tc>
        <w:tc>
          <w:tcPr>
            <w:tcW w:w="2132" w:type="dxa"/>
            <w:tcBorders>
              <w:left w:val="single" w:sz="4" w:space="0" w:color="auto"/>
              <w:right w:val="single" w:sz="4" w:space="0" w:color="auto"/>
            </w:tcBorders>
            <w:shd w:val="clear" w:color="auto" w:fill="auto"/>
            <w:hideMark/>
          </w:tcPr>
          <w:p w:rsidR="00EF6384" w:rsidRPr="00D758D1" w:rsidRDefault="00EF6384" w:rsidP="00A051CB">
            <w:pPr>
              <w:pStyle w:val="SingleTxt"/>
              <w:tabs>
                <w:tab w:val="left" w:pos="288"/>
                <w:tab w:val="left" w:pos="576"/>
                <w:tab w:val="left" w:pos="864"/>
                <w:tab w:val="left" w:pos="1152"/>
              </w:tabs>
              <w:suppressAutoHyphens/>
              <w:spacing w:before="40" w:after="80" w:line="210" w:lineRule="exact"/>
              <w:ind w:left="0" w:right="115"/>
              <w:jc w:val="left"/>
              <w:rPr>
                <w:lang w:val="en-GB"/>
              </w:rPr>
            </w:pPr>
            <w:proofErr w:type="spellStart"/>
            <w:r w:rsidRPr="00D758D1">
              <w:rPr>
                <w:lang w:val="en-GB"/>
              </w:rPr>
              <w:t>Jusqu’à</w:t>
            </w:r>
            <w:proofErr w:type="spellEnd"/>
            <w:r w:rsidRPr="00D758D1">
              <w:rPr>
                <w:lang w:val="en-GB"/>
              </w:rPr>
              <w:t xml:space="preserve"> </w:t>
            </w:r>
            <w:proofErr w:type="spellStart"/>
            <w:r w:rsidRPr="00D758D1">
              <w:rPr>
                <w:lang w:val="en-GB"/>
              </w:rPr>
              <w:t>nouvel</w:t>
            </w:r>
            <w:proofErr w:type="spellEnd"/>
            <w:r w:rsidRPr="00D758D1">
              <w:rPr>
                <w:lang w:val="en-GB"/>
              </w:rPr>
              <w:t xml:space="preserve"> </w:t>
            </w:r>
            <w:proofErr w:type="spellStart"/>
            <w:r w:rsidRPr="00D758D1">
              <w:rPr>
                <w:lang w:val="en-GB"/>
              </w:rPr>
              <w:t>ordre</w:t>
            </w:r>
            <w:proofErr w:type="spellEnd"/>
            <w:r w:rsidRPr="00D758D1">
              <w:rPr>
                <w:lang w:val="en-GB"/>
              </w:rPr>
              <w:t xml:space="preserve"> </w:t>
            </w:r>
          </w:p>
        </w:tc>
      </w:tr>
      <w:tr w:rsidR="00EF6384" w:rsidRPr="00D758D1" w:rsidTr="009E2F39">
        <w:tc>
          <w:tcPr>
            <w:tcW w:w="1843" w:type="dxa"/>
            <w:tcBorders>
              <w:left w:val="single" w:sz="4" w:space="0" w:color="auto"/>
              <w:bottom w:val="single" w:sz="12" w:space="0" w:color="auto"/>
              <w:right w:val="single" w:sz="4" w:space="0" w:color="auto"/>
            </w:tcBorders>
            <w:shd w:val="clear" w:color="auto" w:fill="auto"/>
            <w:hideMark/>
          </w:tcPr>
          <w:p w:rsidR="00EF6384" w:rsidRPr="00D758D1" w:rsidRDefault="00EF6384" w:rsidP="00A051CB">
            <w:pPr>
              <w:pStyle w:val="SingleTxt"/>
              <w:tabs>
                <w:tab w:val="left" w:pos="288"/>
                <w:tab w:val="left" w:pos="576"/>
                <w:tab w:val="left" w:pos="864"/>
                <w:tab w:val="left" w:pos="1152"/>
              </w:tabs>
              <w:suppressAutoHyphens/>
              <w:spacing w:before="40" w:after="80" w:line="210" w:lineRule="exact"/>
              <w:ind w:left="0" w:right="115"/>
              <w:jc w:val="left"/>
              <w:rPr>
                <w:lang w:val="en-GB"/>
              </w:rPr>
            </w:pPr>
            <w:r w:rsidRPr="00D758D1">
              <w:rPr>
                <w:lang w:val="en-GB"/>
              </w:rPr>
              <w:t xml:space="preserve">ISO 13340:2001 </w:t>
            </w:r>
          </w:p>
        </w:tc>
        <w:tc>
          <w:tcPr>
            <w:tcW w:w="3686" w:type="dxa"/>
            <w:tcBorders>
              <w:left w:val="single" w:sz="4" w:space="0" w:color="auto"/>
              <w:bottom w:val="single" w:sz="12" w:space="0" w:color="auto"/>
              <w:right w:val="single" w:sz="4" w:space="0" w:color="auto"/>
            </w:tcBorders>
            <w:shd w:val="clear" w:color="auto" w:fill="auto"/>
            <w:hideMark/>
          </w:tcPr>
          <w:p w:rsidR="00EF6384" w:rsidRPr="00D758D1" w:rsidRDefault="00EF6384" w:rsidP="00A051CB">
            <w:pPr>
              <w:pStyle w:val="SingleTxt"/>
              <w:tabs>
                <w:tab w:val="left" w:pos="288"/>
                <w:tab w:val="left" w:pos="576"/>
                <w:tab w:val="left" w:pos="864"/>
                <w:tab w:val="left" w:pos="1152"/>
              </w:tabs>
              <w:suppressAutoHyphens/>
              <w:spacing w:before="40" w:after="80" w:line="210" w:lineRule="exact"/>
              <w:ind w:left="0" w:right="115"/>
              <w:jc w:val="left"/>
              <w:rPr>
                <w:lang w:val="fr-FR"/>
              </w:rPr>
            </w:pPr>
            <w:r w:rsidRPr="00D758D1">
              <w:rPr>
                <w:lang w:val="fr-FR"/>
              </w:rPr>
              <w:t xml:space="preserve">Bouteilles à gaz transportables </w:t>
            </w:r>
            <w:r w:rsidR="00210810">
              <w:rPr>
                <w:lang w:val="fr-FR"/>
              </w:rPr>
              <w:t>–</w:t>
            </w:r>
            <w:r w:rsidRPr="00D758D1">
              <w:rPr>
                <w:lang w:val="fr-FR"/>
              </w:rPr>
              <w:t xml:space="preserve"> Robinets pour bouteilles non rechargeables </w:t>
            </w:r>
            <w:r w:rsidR="00210810">
              <w:rPr>
                <w:lang w:val="fr-FR"/>
              </w:rPr>
              <w:t>–</w:t>
            </w:r>
            <w:r w:rsidRPr="00D758D1">
              <w:rPr>
                <w:lang w:val="fr-FR"/>
              </w:rPr>
              <w:t xml:space="preserve"> Spécifications et essais de prototype</w:t>
            </w:r>
          </w:p>
        </w:tc>
        <w:tc>
          <w:tcPr>
            <w:tcW w:w="2132" w:type="dxa"/>
            <w:tcBorders>
              <w:left w:val="single" w:sz="4" w:space="0" w:color="auto"/>
              <w:bottom w:val="single" w:sz="12" w:space="0" w:color="auto"/>
              <w:right w:val="single" w:sz="4" w:space="0" w:color="auto"/>
            </w:tcBorders>
            <w:shd w:val="clear" w:color="auto" w:fill="auto"/>
            <w:hideMark/>
          </w:tcPr>
          <w:p w:rsidR="00EF6384" w:rsidRPr="00D758D1" w:rsidRDefault="00EF6384" w:rsidP="00A051CB">
            <w:pPr>
              <w:pStyle w:val="SingleTxt"/>
              <w:tabs>
                <w:tab w:val="left" w:pos="288"/>
                <w:tab w:val="left" w:pos="576"/>
                <w:tab w:val="left" w:pos="864"/>
                <w:tab w:val="left" w:pos="1152"/>
              </w:tabs>
              <w:suppressAutoHyphens/>
              <w:spacing w:before="40" w:after="80" w:line="210" w:lineRule="exact"/>
              <w:ind w:left="0" w:right="115"/>
              <w:jc w:val="left"/>
              <w:rPr>
                <w:lang w:val="en-GB"/>
              </w:rPr>
            </w:pPr>
            <w:proofErr w:type="spellStart"/>
            <w:r w:rsidRPr="00D758D1">
              <w:rPr>
                <w:lang w:val="en-GB"/>
              </w:rPr>
              <w:t>Jusqu’à</w:t>
            </w:r>
            <w:proofErr w:type="spellEnd"/>
            <w:r w:rsidRPr="00D758D1">
              <w:rPr>
                <w:lang w:val="en-GB"/>
              </w:rPr>
              <w:t xml:space="preserve"> </w:t>
            </w:r>
            <w:proofErr w:type="spellStart"/>
            <w:r w:rsidRPr="00D758D1">
              <w:rPr>
                <w:lang w:val="en-GB"/>
              </w:rPr>
              <w:t>nouvel</w:t>
            </w:r>
            <w:proofErr w:type="spellEnd"/>
            <w:r w:rsidRPr="00D758D1">
              <w:rPr>
                <w:lang w:val="en-GB"/>
              </w:rPr>
              <w:t xml:space="preserve"> </w:t>
            </w:r>
            <w:proofErr w:type="spellStart"/>
            <w:r w:rsidRPr="00D758D1">
              <w:rPr>
                <w:lang w:val="en-GB"/>
              </w:rPr>
              <w:t>ordre</w:t>
            </w:r>
            <w:proofErr w:type="spellEnd"/>
            <w:r w:rsidR="00B30642">
              <w:rPr>
                <w:lang w:val="en-GB"/>
              </w:rPr>
              <w:t>”</w:t>
            </w:r>
          </w:p>
        </w:tc>
      </w:tr>
    </w:tbl>
    <w:p w:rsidR="00120C31" w:rsidRPr="00A83A49" w:rsidRDefault="00120C31" w:rsidP="00A83A49">
      <w:pPr>
        <w:pStyle w:val="SingleTxt"/>
        <w:spacing w:after="0" w:line="120" w:lineRule="exact"/>
        <w:jc w:val="right"/>
        <w:rPr>
          <w:sz w:val="10"/>
          <w:lang w:val="fr-FR"/>
        </w:rPr>
      </w:pPr>
    </w:p>
    <w:p w:rsidR="00A83A49" w:rsidRPr="00120C31" w:rsidRDefault="00A83A49" w:rsidP="00120C31">
      <w:pPr>
        <w:pStyle w:val="SingleTxt"/>
        <w:spacing w:after="0" w:line="120" w:lineRule="exact"/>
        <w:jc w:val="right"/>
        <w:rPr>
          <w:sz w:val="10"/>
          <w:lang w:val="fr-FR"/>
        </w:rPr>
      </w:pPr>
    </w:p>
    <w:p w:rsidR="00EF6384" w:rsidRDefault="00D758D1" w:rsidP="00D758D1">
      <w:pPr>
        <w:pStyle w:val="SingleTxt"/>
        <w:jc w:val="right"/>
        <w:rPr>
          <w:lang w:val="fr-FR"/>
        </w:rPr>
      </w:pPr>
      <w:r>
        <w:rPr>
          <w:lang w:val="fr-FR"/>
        </w:rPr>
        <w:t> »</w:t>
      </w:r>
      <w:r w:rsidR="00EF6384" w:rsidRPr="00EF6384">
        <w:rPr>
          <w:lang w:val="fr-FR"/>
        </w:rPr>
        <w:t>.</w:t>
      </w:r>
    </w:p>
    <w:p w:rsidR="00EF6384" w:rsidRPr="00EF6384" w:rsidRDefault="00EF6384" w:rsidP="00EF6384">
      <w:pPr>
        <w:pStyle w:val="SingleTxt"/>
        <w:rPr>
          <w:lang w:val="fr-FR"/>
        </w:rPr>
      </w:pPr>
      <w:r w:rsidRPr="00884CC6">
        <w:rPr>
          <w:lang w:val="fr-FR"/>
        </w:rPr>
        <w:t>6.2.2.2</w:t>
      </w:r>
      <w:r w:rsidRPr="00884CC6">
        <w:rPr>
          <w:lang w:val="fr-FR"/>
        </w:rPr>
        <w:tab/>
        <w:t>Dans la première ligne, supprimer</w:t>
      </w:r>
      <w:r w:rsidRPr="00EF6384">
        <w:rPr>
          <w:lang w:val="fr-FR"/>
        </w:rPr>
        <w:t xml:space="preserve"> </w:t>
      </w:r>
      <w:r w:rsidR="00120C31">
        <w:rPr>
          <w:lang w:val="fr-FR"/>
        </w:rPr>
        <w:t>« </w:t>
      </w:r>
      <w:r w:rsidRPr="00EF6384">
        <w:rPr>
          <w:lang w:val="fr-FR"/>
        </w:rPr>
        <w:t>récipients à pression</w:t>
      </w:r>
      <w:r w:rsidR="00120C31">
        <w:rPr>
          <w:lang w:val="fr-FR"/>
        </w:rPr>
        <w:t> »</w:t>
      </w:r>
      <w:r w:rsidRPr="00EF6384">
        <w:rPr>
          <w:lang w:val="fr-FR"/>
        </w:rPr>
        <w:t>.</w:t>
      </w:r>
    </w:p>
    <w:p w:rsidR="00EF6384" w:rsidRDefault="00EF6384" w:rsidP="00884CC6">
      <w:pPr>
        <w:pStyle w:val="SingleTxt"/>
        <w:ind w:left="2218" w:hanging="951"/>
        <w:rPr>
          <w:lang w:val="fr-FR"/>
        </w:rPr>
      </w:pPr>
      <w:r w:rsidRPr="00EF6384">
        <w:rPr>
          <w:lang w:val="fr-FR"/>
        </w:rPr>
        <w:t>6.2.2.3</w:t>
      </w:r>
      <w:r w:rsidRPr="00EF6384">
        <w:rPr>
          <w:lang w:val="fr-FR"/>
        </w:rPr>
        <w:tab/>
        <w:t xml:space="preserve">Remplacer la première phrase par : </w:t>
      </w:r>
      <w:r w:rsidR="008B12AB">
        <w:rPr>
          <w:lang w:val="fr-FR"/>
        </w:rPr>
        <w:t>« </w:t>
      </w:r>
      <w:r w:rsidRPr="00EF6384">
        <w:rPr>
          <w:lang w:val="fr-FR"/>
        </w:rPr>
        <w:t>Les normes ci-après s’appliquent à la conception, à la construction ainsi qu’aux contrôles et aux épreuves initiaux des fermetures et de leurs protections</w:t>
      </w:r>
      <w:r w:rsidR="008B12AB">
        <w:rPr>
          <w:lang w:val="fr-FR"/>
        </w:rPr>
        <w:t> </w:t>
      </w:r>
      <w:r w:rsidR="00684C99">
        <w:rPr>
          <w:lang w:val="fr-FR"/>
        </w:rPr>
        <w:t>:</w:t>
      </w:r>
      <w:r w:rsidR="008B12AB">
        <w:rPr>
          <w:lang w:val="fr-FR"/>
        </w:rPr>
        <w:t> »</w:t>
      </w:r>
    </w:p>
    <w:p w:rsidR="00EF6384" w:rsidRPr="00EF6384" w:rsidRDefault="00884CC6" w:rsidP="00884CC6">
      <w:pPr>
        <w:pStyle w:val="SingleTxt"/>
        <w:ind w:left="2218" w:hanging="951"/>
        <w:rPr>
          <w:lang w:val="fr-FR"/>
        </w:rPr>
      </w:pPr>
      <w:r>
        <w:rPr>
          <w:lang w:val="fr-FR"/>
        </w:rPr>
        <w:tab/>
      </w:r>
      <w:r>
        <w:rPr>
          <w:lang w:val="fr-FR"/>
        </w:rPr>
        <w:tab/>
      </w:r>
      <w:r w:rsidR="00EF6384" w:rsidRPr="00EF6384">
        <w:rPr>
          <w:lang w:val="fr-FR"/>
        </w:rPr>
        <w:t xml:space="preserve">Supprimer la totalité de la dernière rangée du premier tableau qui commence par </w:t>
      </w:r>
      <w:r w:rsidR="008B12AB">
        <w:rPr>
          <w:lang w:val="fr-FR"/>
        </w:rPr>
        <w:t>« </w:t>
      </w:r>
      <w:r w:rsidR="00EF6384" w:rsidRPr="00EF6384">
        <w:rPr>
          <w:lang w:val="fr-FR"/>
        </w:rPr>
        <w:t>ISO 13340:2001</w:t>
      </w:r>
      <w:r w:rsidR="008B12AB">
        <w:rPr>
          <w:lang w:val="fr-FR"/>
        </w:rPr>
        <w:t> »</w:t>
      </w:r>
      <w:r w:rsidR="00EF6384" w:rsidRPr="00EF6384">
        <w:rPr>
          <w:lang w:val="fr-FR"/>
        </w:rPr>
        <w:t>.</w:t>
      </w:r>
    </w:p>
    <w:p w:rsidR="00EF6384" w:rsidRPr="00EF6384" w:rsidRDefault="00884CC6" w:rsidP="00884CC6">
      <w:pPr>
        <w:pStyle w:val="SingleTxt"/>
        <w:ind w:left="2218" w:hanging="951"/>
        <w:rPr>
          <w:bCs/>
          <w:lang w:val="fr-FR"/>
        </w:rPr>
      </w:pPr>
      <w:r>
        <w:rPr>
          <w:bCs/>
          <w:lang w:val="fr-FR"/>
        </w:rPr>
        <w:tab/>
      </w:r>
      <w:r>
        <w:rPr>
          <w:bCs/>
          <w:lang w:val="fr-FR"/>
        </w:rPr>
        <w:tab/>
      </w:r>
      <w:r w:rsidR="00EF6384" w:rsidRPr="00EF6384">
        <w:rPr>
          <w:bCs/>
          <w:lang w:val="fr-FR"/>
        </w:rPr>
        <w:t xml:space="preserve">Supprimer la totalité de la phrase qui commence par </w:t>
      </w:r>
      <w:r w:rsidR="008B12AB">
        <w:rPr>
          <w:bCs/>
          <w:lang w:val="fr-FR"/>
        </w:rPr>
        <w:t>« </w:t>
      </w:r>
      <w:r w:rsidR="00EF6384" w:rsidRPr="00EF6384">
        <w:rPr>
          <w:bCs/>
          <w:lang w:val="fr-FR"/>
        </w:rPr>
        <w:t>Pour les dispositifs d</w:t>
      </w:r>
      <w:r w:rsidR="006833A2">
        <w:rPr>
          <w:bCs/>
          <w:lang w:val="fr-FR"/>
        </w:rPr>
        <w:t>e stockage à hydrure métallique</w:t>
      </w:r>
      <w:r w:rsidR="00EF6384" w:rsidRPr="00EF6384">
        <w:rPr>
          <w:bCs/>
          <w:lang w:val="fr-FR"/>
        </w:rPr>
        <w:t>…</w:t>
      </w:r>
      <w:r w:rsidR="008B12AB">
        <w:rPr>
          <w:bCs/>
          <w:lang w:val="fr-FR"/>
        </w:rPr>
        <w:t> »</w:t>
      </w:r>
      <w:r w:rsidR="00EF6384" w:rsidRPr="00EF6384">
        <w:rPr>
          <w:bCs/>
          <w:lang w:val="fr-FR"/>
        </w:rPr>
        <w:t xml:space="preserve"> </w:t>
      </w:r>
      <w:proofErr w:type="gramStart"/>
      <w:r w:rsidR="00EF6384" w:rsidRPr="00EF6384">
        <w:rPr>
          <w:bCs/>
          <w:lang w:val="fr-FR"/>
        </w:rPr>
        <w:t>ainsi</w:t>
      </w:r>
      <w:proofErr w:type="gramEnd"/>
      <w:r w:rsidR="00EF6384" w:rsidRPr="00EF6384">
        <w:rPr>
          <w:bCs/>
          <w:lang w:val="fr-FR"/>
        </w:rPr>
        <w:t xml:space="preserve"> que la totalité du tableau contenant la référence à la norme </w:t>
      </w:r>
      <w:r w:rsidR="008B12AB">
        <w:rPr>
          <w:bCs/>
          <w:lang w:val="fr-FR"/>
        </w:rPr>
        <w:t>« </w:t>
      </w:r>
      <w:r w:rsidR="00EF6384" w:rsidRPr="00EF6384">
        <w:rPr>
          <w:bCs/>
          <w:lang w:val="fr-FR"/>
        </w:rPr>
        <w:t>ISO 16111:2008</w:t>
      </w:r>
      <w:r w:rsidR="008B12AB">
        <w:rPr>
          <w:bCs/>
          <w:lang w:val="fr-FR"/>
        </w:rPr>
        <w:t> »</w:t>
      </w:r>
      <w:r w:rsidR="00EF6384" w:rsidRPr="00EF6384">
        <w:rPr>
          <w:bCs/>
          <w:lang w:val="fr-FR"/>
        </w:rPr>
        <w:t>.</w:t>
      </w:r>
    </w:p>
    <w:p w:rsidR="008B12AB" w:rsidRPr="008B12AB" w:rsidRDefault="008B12AB" w:rsidP="008B12AB">
      <w:pPr>
        <w:pStyle w:val="SingleTxt"/>
        <w:spacing w:after="0" w:line="120" w:lineRule="exact"/>
        <w:rPr>
          <w:sz w:val="10"/>
          <w:lang w:val="fr-FR"/>
        </w:rPr>
      </w:pPr>
    </w:p>
    <w:tbl>
      <w:tblPr>
        <w:tblW w:w="7574"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7574"/>
      </w:tblGrid>
      <w:tr w:rsidR="008B12AB" w:rsidTr="00C30AB8">
        <w:tc>
          <w:tcPr>
            <w:tcW w:w="7574" w:type="dxa"/>
            <w:shd w:val="clear" w:color="auto" w:fill="auto"/>
          </w:tcPr>
          <w:p w:rsidR="008B12AB" w:rsidRPr="00DE45B6" w:rsidRDefault="008B12AB" w:rsidP="008B12A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rPr>
            </w:pPr>
          </w:p>
          <w:p w:rsidR="008B12AB" w:rsidRPr="00220A6E" w:rsidRDefault="00884CC6" w:rsidP="008B12A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iCs/>
                <w:lang w:val="fr-FR"/>
              </w:rPr>
            </w:pPr>
            <w:r>
              <w:rPr>
                <w:lang w:val="fr-FR"/>
              </w:rPr>
              <w:tab/>
            </w:r>
            <w:r w:rsidR="008B12AB" w:rsidRPr="00EF6384">
              <w:rPr>
                <w:lang w:val="fr-FR"/>
              </w:rPr>
              <w:t>Des prescriptions applicables aux fermetures des dispositifs de stockage à hydrure métallique figurent déjà au paragraphe 6.2.2.1.5 et ne doivent pas être mentionnées ici.</w:t>
            </w:r>
          </w:p>
        </w:tc>
      </w:tr>
      <w:tr w:rsidR="008B12AB" w:rsidTr="00C30AB8">
        <w:trPr>
          <w:trHeight w:hRule="exact" w:val="115"/>
        </w:trPr>
        <w:tc>
          <w:tcPr>
            <w:tcW w:w="7574" w:type="dxa"/>
            <w:shd w:val="clear" w:color="auto" w:fill="auto"/>
          </w:tcPr>
          <w:p w:rsidR="008B12AB" w:rsidRDefault="008B12AB" w:rsidP="00C30AB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bl>
    <w:p w:rsidR="008B12AB" w:rsidRPr="008B12AB" w:rsidRDefault="008B12AB" w:rsidP="008B12AB">
      <w:pPr>
        <w:pStyle w:val="SingleTxt"/>
        <w:spacing w:after="0" w:line="120" w:lineRule="exact"/>
        <w:rPr>
          <w:sz w:val="10"/>
          <w:lang w:val="fr-FR"/>
        </w:rPr>
      </w:pPr>
    </w:p>
    <w:p w:rsidR="008B12AB" w:rsidRPr="008B12AB" w:rsidRDefault="008B12AB" w:rsidP="008B12AB">
      <w:pPr>
        <w:pStyle w:val="SingleTxt"/>
        <w:spacing w:after="0" w:line="120" w:lineRule="exact"/>
        <w:rPr>
          <w:sz w:val="10"/>
          <w:lang w:val="fr-FR"/>
        </w:rPr>
      </w:pPr>
    </w:p>
    <w:p w:rsidR="00EF6384" w:rsidRPr="00EF6384" w:rsidRDefault="00EF6384" w:rsidP="00097CF1">
      <w:pPr>
        <w:pStyle w:val="SingleTxt"/>
        <w:ind w:left="2218" w:hanging="951"/>
        <w:rPr>
          <w:lang w:val="fr-FR"/>
        </w:rPr>
      </w:pPr>
      <w:r w:rsidRPr="00EF6384">
        <w:rPr>
          <w:lang w:val="fr-FR"/>
        </w:rPr>
        <w:t>6.2.2.4</w:t>
      </w:r>
      <w:r w:rsidRPr="00EF6384">
        <w:rPr>
          <w:lang w:val="fr-FR"/>
        </w:rPr>
        <w:tab/>
        <w:t>Modifier la première phrase comme suit</w:t>
      </w:r>
      <w:r w:rsidR="008B12AB">
        <w:rPr>
          <w:lang w:val="fr-FR"/>
        </w:rPr>
        <w:t> </w:t>
      </w:r>
      <w:r w:rsidR="00684C99">
        <w:rPr>
          <w:lang w:val="fr-FR"/>
        </w:rPr>
        <w:t>:</w:t>
      </w:r>
      <w:r w:rsidRPr="00EF6384">
        <w:rPr>
          <w:lang w:val="fr-FR"/>
        </w:rPr>
        <w:t xml:space="preserve"> </w:t>
      </w:r>
      <w:r w:rsidR="008B12AB">
        <w:rPr>
          <w:lang w:val="fr-FR"/>
        </w:rPr>
        <w:t>« </w:t>
      </w:r>
      <w:r w:rsidRPr="00EF6384">
        <w:rPr>
          <w:lang w:val="fr-FR"/>
        </w:rPr>
        <w:t>Les normes ci-après s’appliquent aux contrôles et aux épreuves périodiques</w:t>
      </w:r>
      <w:r w:rsidR="008B12AB">
        <w:rPr>
          <w:lang w:val="fr-FR"/>
        </w:rPr>
        <w:t> </w:t>
      </w:r>
      <w:r w:rsidR="00684C99">
        <w:rPr>
          <w:lang w:val="fr-FR"/>
        </w:rPr>
        <w:t>:</w:t>
      </w:r>
      <w:r w:rsidR="008B12AB">
        <w:rPr>
          <w:lang w:val="fr-FR"/>
        </w:rPr>
        <w:t> »</w:t>
      </w:r>
    </w:p>
    <w:p w:rsidR="00EF6384" w:rsidRPr="00EF6384" w:rsidRDefault="00EF6384" w:rsidP="00EF6384">
      <w:pPr>
        <w:pStyle w:val="SingleTxt"/>
        <w:rPr>
          <w:i/>
          <w:lang w:val="fr-FR"/>
        </w:rPr>
      </w:pPr>
      <w:r w:rsidRPr="00EF6384">
        <w:rPr>
          <w:lang w:val="fr-FR"/>
        </w:rPr>
        <w:t>6.2.2.5.1</w:t>
      </w:r>
      <w:r w:rsidRPr="00EF6384">
        <w:rPr>
          <w:lang w:val="fr-FR"/>
        </w:rPr>
        <w:tab/>
      </w:r>
      <w:r w:rsidR="00097CF1">
        <w:rPr>
          <w:lang w:val="fr-FR"/>
        </w:rPr>
        <w:t>À</w:t>
      </w:r>
      <w:r w:rsidRPr="00EF6384">
        <w:rPr>
          <w:lang w:val="fr-FR"/>
        </w:rPr>
        <w:t xml:space="preserve"> la fin, après la définition de </w:t>
      </w:r>
      <w:r w:rsidR="008B12AB">
        <w:rPr>
          <w:lang w:val="fr-FR"/>
        </w:rPr>
        <w:t>« </w:t>
      </w:r>
      <w:r w:rsidRPr="00EF6384">
        <w:rPr>
          <w:i/>
          <w:lang w:val="fr-FR"/>
        </w:rPr>
        <w:t>Vérifier</w:t>
      </w:r>
      <w:r w:rsidR="008B12AB">
        <w:rPr>
          <w:i/>
          <w:lang w:val="fr-FR"/>
        </w:rPr>
        <w:t> </w:t>
      </w:r>
      <w:r w:rsidR="008B12AB" w:rsidRPr="00EA416A">
        <w:t>»</w:t>
      </w:r>
      <w:r w:rsidRPr="00EA416A">
        <w:t xml:space="preserve">, </w:t>
      </w:r>
      <w:r w:rsidRPr="00EF6384">
        <w:rPr>
          <w:lang w:val="fr-FR"/>
        </w:rPr>
        <w:t>ajouter un nouveau nota.</w:t>
      </w:r>
    </w:p>
    <w:p w:rsidR="00EF6384" w:rsidRPr="00EA416A" w:rsidRDefault="00AC7E83" w:rsidP="00AC7E83">
      <w:pPr>
        <w:pStyle w:val="SingleTxt"/>
        <w:ind w:left="2218" w:hanging="951"/>
      </w:pPr>
      <w:r>
        <w:tab/>
      </w:r>
      <w:r>
        <w:tab/>
      </w:r>
      <w:r w:rsidR="008B12AB" w:rsidRPr="00EA416A">
        <w:t>«</w:t>
      </w:r>
      <w:r w:rsidR="008B12AB">
        <w:rPr>
          <w:b/>
          <w:i/>
          <w:lang w:val="fr-FR"/>
        </w:rPr>
        <w:t> </w:t>
      </w:r>
      <w:r w:rsidR="00EF6384" w:rsidRPr="00EF6384">
        <w:rPr>
          <w:b/>
          <w:i/>
          <w:lang w:val="fr-FR"/>
        </w:rPr>
        <w:t>NOTA</w:t>
      </w:r>
      <w:r w:rsidR="008B12AB">
        <w:rPr>
          <w:i/>
          <w:lang w:val="fr-FR"/>
        </w:rPr>
        <w:t> </w:t>
      </w:r>
      <w:r w:rsidR="00684C99">
        <w:rPr>
          <w:i/>
          <w:lang w:val="fr-FR"/>
        </w:rPr>
        <w:t>:</w:t>
      </w:r>
      <w:r w:rsidR="00EF6384" w:rsidRPr="00EF6384">
        <w:rPr>
          <w:i/>
          <w:lang w:val="fr-FR"/>
        </w:rPr>
        <w:t xml:space="preserve"> Lorsqu’il est procédé à une évaluation distincte de la conformité (voir 6.2.1.4.3) les termes </w:t>
      </w:r>
      <w:r w:rsidR="008B12AB" w:rsidRPr="0076376C">
        <w:rPr>
          <w:i/>
          <w:lang w:val="fr-FR"/>
        </w:rPr>
        <w:t>“ </w:t>
      </w:r>
      <w:r w:rsidR="00EF6384" w:rsidRPr="00EF6384">
        <w:rPr>
          <w:i/>
          <w:lang w:val="fr-FR"/>
        </w:rPr>
        <w:t>récipient à pression</w:t>
      </w:r>
      <w:r w:rsidR="008B12AB">
        <w:rPr>
          <w:i/>
          <w:lang w:val="fr-FR"/>
        </w:rPr>
        <w:t> </w:t>
      </w:r>
      <w:r w:rsidR="008B12AB" w:rsidRPr="0076376C">
        <w:rPr>
          <w:i/>
          <w:lang w:val="fr-FR"/>
        </w:rPr>
        <w:t>”</w:t>
      </w:r>
      <w:r w:rsidR="00EF6384" w:rsidRPr="00EF6384">
        <w:rPr>
          <w:i/>
          <w:lang w:val="fr-FR"/>
        </w:rPr>
        <w:t xml:space="preserve"> dans le paragraphe 6.2.2.5 doivent signifier soit </w:t>
      </w:r>
      <w:r w:rsidR="008B12AB" w:rsidRPr="0076376C">
        <w:rPr>
          <w:i/>
          <w:lang w:val="fr-FR"/>
        </w:rPr>
        <w:t>“ </w:t>
      </w:r>
      <w:r w:rsidR="00EF6384" w:rsidRPr="00EF6384">
        <w:rPr>
          <w:i/>
          <w:lang w:val="fr-FR"/>
        </w:rPr>
        <w:t>récipient à pression</w:t>
      </w:r>
      <w:r w:rsidR="008B12AB">
        <w:rPr>
          <w:i/>
          <w:lang w:val="fr-FR"/>
        </w:rPr>
        <w:t> </w:t>
      </w:r>
      <w:r w:rsidR="008B12AB" w:rsidRPr="0076376C">
        <w:rPr>
          <w:i/>
          <w:lang w:val="fr-FR"/>
        </w:rPr>
        <w:t>”</w:t>
      </w:r>
      <w:r w:rsidR="00EF6384" w:rsidRPr="00EF6384">
        <w:rPr>
          <w:i/>
          <w:lang w:val="fr-FR"/>
        </w:rPr>
        <w:t xml:space="preserve"> soit </w:t>
      </w:r>
      <w:r w:rsidR="008B12AB" w:rsidRPr="0076376C">
        <w:rPr>
          <w:i/>
          <w:lang w:val="fr-FR"/>
        </w:rPr>
        <w:t>“ </w:t>
      </w:r>
      <w:r w:rsidR="00EF6384" w:rsidRPr="00EF6384">
        <w:rPr>
          <w:i/>
          <w:lang w:val="fr-FR"/>
        </w:rPr>
        <w:t>fermeture</w:t>
      </w:r>
      <w:r w:rsidR="008B12AB">
        <w:rPr>
          <w:i/>
          <w:lang w:val="fr-FR"/>
        </w:rPr>
        <w:t> </w:t>
      </w:r>
      <w:r w:rsidR="008B12AB" w:rsidRPr="0076376C">
        <w:rPr>
          <w:i/>
          <w:lang w:val="fr-FR"/>
        </w:rPr>
        <w:t>”</w:t>
      </w:r>
      <w:r w:rsidR="00EF6384" w:rsidRPr="00EF6384">
        <w:rPr>
          <w:i/>
          <w:lang w:val="fr-FR"/>
        </w:rPr>
        <w:t>, selon les cas</w:t>
      </w:r>
      <w:r w:rsidR="008B12AB">
        <w:rPr>
          <w:i/>
          <w:lang w:val="fr-FR"/>
        </w:rPr>
        <w:t> </w:t>
      </w:r>
      <w:r w:rsidR="008B12AB" w:rsidRPr="00EA416A">
        <w:t>»</w:t>
      </w:r>
      <w:r w:rsidR="00EF6384" w:rsidRPr="00EA416A">
        <w:t>.</w:t>
      </w:r>
    </w:p>
    <w:p w:rsidR="00EF6384" w:rsidRPr="00EF6384" w:rsidRDefault="00EF6384" w:rsidP="00097CF1">
      <w:pPr>
        <w:pStyle w:val="SingleTxt"/>
        <w:ind w:left="2218" w:hanging="951"/>
        <w:rPr>
          <w:lang w:val="fr-FR"/>
        </w:rPr>
      </w:pPr>
      <w:r w:rsidRPr="00EF6384">
        <w:rPr>
          <w:lang w:val="fr-FR"/>
        </w:rPr>
        <w:t>6.2.2.7</w:t>
      </w:r>
      <w:r w:rsidRPr="00EF6384">
        <w:rPr>
          <w:lang w:val="fr-FR"/>
        </w:rPr>
        <w:tab/>
        <w:t xml:space="preserve">Modifier le nota en remplaçant </w:t>
      </w:r>
      <w:r w:rsidR="008B12AB">
        <w:rPr>
          <w:lang w:val="fr-FR"/>
        </w:rPr>
        <w:t>« </w:t>
      </w:r>
      <w:r w:rsidRPr="00EF6384">
        <w:rPr>
          <w:i/>
          <w:lang w:val="fr-FR"/>
        </w:rPr>
        <w:t>6.2.2.9 et les prescriptions de marquage</w:t>
      </w:r>
      <w:r w:rsidR="008B12AB">
        <w:rPr>
          <w:i/>
          <w:lang w:val="fr-FR"/>
        </w:rPr>
        <w:t> </w:t>
      </w:r>
      <w:r w:rsidR="008B12AB" w:rsidRPr="00EA416A">
        <w:t>»</w:t>
      </w:r>
      <w:r w:rsidRPr="00EA416A">
        <w:t xml:space="preserve"> </w:t>
      </w:r>
      <w:r w:rsidRPr="00EF6384">
        <w:rPr>
          <w:lang w:val="fr-FR"/>
        </w:rPr>
        <w:t xml:space="preserve">par </w:t>
      </w:r>
      <w:r w:rsidR="008B12AB" w:rsidRPr="00EA416A">
        <w:t>«</w:t>
      </w:r>
      <w:r w:rsidR="008B12AB">
        <w:rPr>
          <w:lang w:val="fr-FR"/>
        </w:rPr>
        <w:t> </w:t>
      </w:r>
      <w:r w:rsidRPr="00EF6384">
        <w:rPr>
          <w:i/>
          <w:lang w:val="fr-FR"/>
        </w:rPr>
        <w:t>6.2.2.9, marquage</w:t>
      </w:r>
      <w:r w:rsidR="008B12AB">
        <w:rPr>
          <w:i/>
          <w:lang w:val="fr-FR"/>
        </w:rPr>
        <w:t> </w:t>
      </w:r>
      <w:r w:rsidR="008B12AB" w:rsidRPr="00EA416A">
        <w:t>»</w:t>
      </w:r>
      <w:r w:rsidRPr="00EF6384">
        <w:rPr>
          <w:lang w:val="fr-FR"/>
        </w:rPr>
        <w:t xml:space="preserve"> et ajouter à la fin </w:t>
      </w:r>
      <w:r w:rsidR="008B12AB" w:rsidRPr="00EA416A">
        <w:t>«</w:t>
      </w:r>
      <w:r w:rsidR="008B12AB">
        <w:rPr>
          <w:lang w:val="fr-FR"/>
        </w:rPr>
        <w:t> </w:t>
      </w:r>
      <w:r w:rsidRPr="00EF6384">
        <w:rPr>
          <w:i/>
          <w:lang w:val="fr-FR"/>
        </w:rPr>
        <w:t>et les prescriptions de marquage pour les fermetures figurent au paragraphe 6.2.2.11</w:t>
      </w:r>
      <w:r w:rsidR="008B12AB">
        <w:rPr>
          <w:i/>
          <w:lang w:val="fr-FR"/>
        </w:rPr>
        <w:t> </w:t>
      </w:r>
      <w:r w:rsidR="008B12AB" w:rsidRPr="00EA416A">
        <w:t>»</w:t>
      </w:r>
      <w:r w:rsidRPr="00EA416A">
        <w:t>.</w:t>
      </w:r>
    </w:p>
    <w:p w:rsidR="00EF6384" w:rsidRPr="00EF6384" w:rsidRDefault="00EF6384" w:rsidP="00097CF1">
      <w:pPr>
        <w:pStyle w:val="SingleTxt"/>
        <w:ind w:left="2218" w:hanging="951"/>
        <w:rPr>
          <w:lang w:val="fr-FR"/>
        </w:rPr>
      </w:pPr>
      <w:r w:rsidRPr="00EF6384">
        <w:rPr>
          <w:lang w:val="fr-FR"/>
        </w:rPr>
        <w:t>6.2.2.7.1</w:t>
      </w:r>
      <w:r w:rsidRPr="00EF6384">
        <w:rPr>
          <w:lang w:val="fr-FR"/>
        </w:rPr>
        <w:tab/>
        <w:t xml:space="preserve">Dans la première phrase, remplacer </w:t>
      </w:r>
      <w:r w:rsidR="008B12AB">
        <w:rPr>
          <w:lang w:val="fr-FR"/>
        </w:rPr>
        <w:t>« </w:t>
      </w:r>
      <w:r w:rsidRPr="00EF6384">
        <w:rPr>
          <w:lang w:val="fr-FR"/>
        </w:rPr>
        <w:t>récipients à pression</w:t>
      </w:r>
      <w:r w:rsidR="008B12AB">
        <w:rPr>
          <w:lang w:val="fr-FR"/>
        </w:rPr>
        <w:t> »</w:t>
      </w:r>
      <w:r w:rsidRPr="00EF6384">
        <w:rPr>
          <w:lang w:val="fr-FR"/>
        </w:rPr>
        <w:t xml:space="preserve"> par </w:t>
      </w:r>
      <w:r w:rsidR="008B12AB">
        <w:rPr>
          <w:lang w:val="fr-FR"/>
        </w:rPr>
        <w:t>« </w:t>
      </w:r>
      <w:r w:rsidRPr="00EF6384">
        <w:rPr>
          <w:lang w:val="fr-FR"/>
        </w:rPr>
        <w:t>enveloppes des</w:t>
      </w:r>
      <w:r w:rsidRPr="00EF6384">
        <w:rPr>
          <w:lang w:val="fr-CH"/>
        </w:rPr>
        <w:t xml:space="preserve"> </w:t>
      </w:r>
      <w:r w:rsidRPr="00EF6384">
        <w:rPr>
          <w:lang w:val="fr-FR"/>
        </w:rPr>
        <w:t>récipients à pression et des récipients cryogéniques fermés</w:t>
      </w:r>
      <w:r w:rsidR="008B12AB">
        <w:rPr>
          <w:lang w:val="fr-FR"/>
        </w:rPr>
        <w:t> »</w:t>
      </w:r>
      <w:r w:rsidRPr="00EF6384">
        <w:rPr>
          <w:lang w:val="fr-FR"/>
        </w:rPr>
        <w:t>.</w:t>
      </w:r>
    </w:p>
    <w:p w:rsidR="00EF6384" w:rsidRPr="00EF6384" w:rsidRDefault="00097CF1" w:rsidP="00EF6384">
      <w:pPr>
        <w:pStyle w:val="SingleTxt"/>
        <w:rPr>
          <w:lang w:val="fr-FR"/>
        </w:rPr>
      </w:pPr>
      <w:r>
        <w:rPr>
          <w:lang w:val="fr-FR"/>
        </w:rPr>
        <w:tab/>
      </w:r>
      <w:r>
        <w:rPr>
          <w:lang w:val="fr-FR"/>
        </w:rPr>
        <w:tab/>
      </w:r>
      <w:r w:rsidR="008B12AB">
        <w:rPr>
          <w:lang w:val="fr-FR"/>
        </w:rPr>
        <w:t>À</w:t>
      </w:r>
      <w:r w:rsidR="00EF6384" w:rsidRPr="00EF6384">
        <w:rPr>
          <w:lang w:val="fr-FR"/>
        </w:rPr>
        <w:t xml:space="preserve"> la fin de la deuxième phrase, supprimer </w:t>
      </w:r>
      <w:r w:rsidR="008B12AB">
        <w:rPr>
          <w:lang w:val="fr-FR"/>
        </w:rPr>
        <w:t>« </w:t>
      </w:r>
      <w:r w:rsidR="00EF6384" w:rsidRPr="00EF6384">
        <w:rPr>
          <w:lang w:val="fr-FR"/>
        </w:rPr>
        <w:t>sur le récipient à pression</w:t>
      </w:r>
      <w:r w:rsidR="008B12AB">
        <w:rPr>
          <w:lang w:val="fr-FR"/>
        </w:rPr>
        <w:t> »</w:t>
      </w:r>
      <w:r w:rsidR="00EF6384" w:rsidRPr="00EF6384">
        <w:rPr>
          <w:lang w:val="fr-FR"/>
        </w:rPr>
        <w:t xml:space="preserve">. </w:t>
      </w:r>
    </w:p>
    <w:p w:rsidR="00EF6384" w:rsidRPr="00EF6384" w:rsidRDefault="00097CF1" w:rsidP="00097CF1">
      <w:pPr>
        <w:pStyle w:val="SingleTxt"/>
        <w:ind w:left="2218" w:hanging="951"/>
        <w:rPr>
          <w:lang w:val="fr-FR"/>
        </w:rPr>
      </w:pPr>
      <w:r>
        <w:rPr>
          <w:lang w:val="fr-FR"/>
        </w:rPr>
        <w:lastRenderedPageBreak/>
        <w:tab/>
      </w:r>
      <w:r>
        <w:rPr>
          <w:lang w:val="fr-FR"/>
        </w:rPr>
        <w:tab/>
      </w:r>
      <w:r w:rsidR="00EF6384" w:rsidRPr="00EF6384">
        <w:rPr>
          <w:lang w:val="fr-FR"/>
        </w:rPr>
        <w:t xml:space="preserve">Dans la troisième phrase, après </w:t>
      </w:r>
      <w:r w:rsidR="008B12AB">
        <w:rPr>
          <w:lang w:val="fr-FR"/>
        </w:rPr>
        <w:t>« </w:t>
      </w:r>
      <w:r w:rsidR="00EF6384" w:rsidRPr="00EF6384">
        <w:rPr>
          <w:lang w:val="fr-FR"/>
        </w:rPr>
        <w:t>col du récipient à pression</w:t>
      </w:r>
      <w:r w:rsidR="008B12AB">
        <w:rPr>
          <w:lang w:val="fr-FR"/>
        </w:rPr>
        <w:t> »</w:t>
      </w:r>
      <w:r w:rsidR="00EF6384" w:rsidRPr="00EF6384">
        <w:rPr>
          <w:lang w:val="fr-FR"/>
        </w:rPr>
        <w:t xml:space="preserve"> ajouter </w:t>
      </w:r>
      <w:r w:rsidR="008B12AB">
        <w:rPr>
          <w:lang w:val="fr-FR"/>
        </w:rPr>
        <w:t>« </w:t>
      </w:r>
      <w:r w:rsidR="00EF6384" w:rsidRPr="00EF6384">
        <w:rPr>
          <w:lang w:val="fr-FR"/>
        </w:rPr>
        <w:t>enveloppe</w:t>
      </w:r>
      <w:r w:rsidR="008B12AB">
        <w:rPr>
          <w:lang w:val="fr-FR"/>
        </w:rPr>
        <w:t> »</w:t>
      </w:r>
      <w:r w:rsidR="00EF6384" w:rsidRPr="00EF6384">
        <w:rPr>
          <w:lang w:val="fr-FR"/>
        </w:rPr>
        <w:t>.</w:t>
      </w:r>
    </w:p>
    <w:p w:rsidR="00EF6384" w:rsidRPr="00EF6384" w:rsidRDefault="008B12AB" w:rsidP="009D6F13">
      <w:pPr>
        <w:pStyle w:val="SingleTxt"/>
        <w:keepNext/>
        <w:keepLines/>
        <w:rPr>
          <w:lang w:val="fr-FR"/>
        </w:rPr>
      </w:pPr>
      <w:r>
        <w:rPr>
          <w:lang w:val="fr-FR"/>
        </w:rPr>
        <w:t>6.2.2.7.2</w:t>
      </w:r>
      <w:r>
        <w:rPr>
          <w:lang w:val="fr-FR"/>
        </w:rPr>
        <w:tab/>
      </w:r>
      <w:r w:rsidR="00097CF1">
        <w:rPr>
          <w:lang w:val="fr-FR"/>
        </w:rPr>
        <w:t>À</w:t>
      </w:r>
      <w:r>
        <w:rPr>
          <w:lang w:val="fr-FR"/>
        </w:rPr>
        <w:t xml:space="preserve"> la fin de l’alinéa </w:t>
      </w:r>
      <w:r w:rsidR="00EF6384" w:rsidRPr="00EF6384">
        <w:rPr>
          <w:lang w:val="fr-FR"/>
        </w:rPr>
        <w:t>b), ajouter le nouveau nota suivant</w:t>
      </w:r>
      <w:r>
        <w:rPr>
          <w:lang w:val="fr-FR"/>
        </w:rPr>
        <w:t> </w:t>
      </w:r>
      <w:r w:rsidR="00684C99">
        <w:rPr>
          <w:lang w:val="fr-FR"/>
        </w:rPr>
        <w:t>:</w:t>
      </w:r>
    </w:p>
    <w:p w:rsidR="00EF6384" w:rsidRPr="00EF6384" w:rsidRDefault="00097CF1" w:rsidP="00097CF1">
      <w:pPr>
        <w:pStyle w:val="SingleTxt"/>
        <w:ind w:left="2218" w:hanging="951"/>
        <w:rPr>
          <w:lang w:val="fr-FR"/>
        </w:rPr>
      </w:pPr>
      <w:r>
        <w:tab/>
      </w:r>
      <w:r>
        <w:tab/>
      </w:r>
      <w:r w:rsidR="008B12AB" w:rsidRPr="00097CF1">
        <w:t>«</w:t>
      </w:r>
      <w:r w:rsidR="008B12AB">
        <w:rPr>
          <w:b/>
          <w:i/>
          <w:lang w:val="fr-FR"/>
        </w:rPr>
        <w:t> </w:t>
      </w:r>
      <w:r w:rsidR="00EF6384" w:rsidRPr="00EF6384">
        <w:rPr>
          <w:b/>
          <w:i/>
          <w:lang w:val="fr-FR"/>
        </w:rPr>
        <w:t>NOTA</w:t>
      </w:r>
      <w:r>
        <w:rPr>
          <w:b/>
          <w:i/>
          <w:lang w:val="fr-FR"/>
        </w:rPr>
        <w:t> </w:t>
      </w:r>
      <w:r w:rsidR="00684C99" w:rsidRPr="005F4DD3">
        <w:rPr>
          <w:i/>
        </w:rPr>
        <w:t>:</w:t>
      </w:r>
      <w:r w:rsidR="00EF6384" w:rsidRPr="00860E42">
        <w:t xml:space="preserve"> </w:t>
      </w:r>
      <w:r w:rsidR="00EF6384" w:rsidRPr="00EF6384">
        <w:rPr>
          <w:i/>
          <w:lang w:val="fr-FR"/>
        </w:rPr>
        <w:t>Pour les bouteilles d’acétylène, les normes applicables à la fabrication de l’enveloppe de la bouteille (par exemple ISO 9809-1) et de la bouteille d’acétylène (par exemple ISO 3807) doivent être marquées</w:t>
      </w:r>
      <w:r w:rsidR="008B12AB">
        <w:rPr>
          <w:i/>
          <w:lang w:val="fr-FR"/>
        </w:rPr>
        <w:t> </w:t>
      </w:r>
      <w:r w:rsidR="008B12AB" w:rsidRPr="00097CF1">
        <w:t>»</w:t>
      </w:r>
      <w:r w:rsidR="00EF6384" w:rsidRPr="00097CF1">
        <w:t>.</w:t>
      </w:r>
    </w:p>
    <w:p w:rsidR="00EF6384" w:rsidRPr="00EF6384" w:rsidRDefault="007932B6" w:rsidP="007932B6">
      <w:pPr>
        <w:pStyle w:val="SingleTxt"/>
        <w:keepNext/>
        <w:keepLines/>
        <w:rPr>
          <w:lang w:val="fr-FR"/>
        </w:rPr>
      </w:pPr>
      <w:r>
        <w:rPr>
          <w:lang w:val="fr-FR"/>
        </w:rPr>
        <w:tab/>
      </w:r>
      <w:r>
        <w:rPr>
          <w:lang w:val="fr-FR"/>
        </w:rPr>
        <w:tab/>
      </w:r>
      <w:r w:rsidR="008B12AB">
        <w:rPr>
          <w:lang w:val="fr-FR"/>
        </w:rPr>
        <w:t xml:space="preserve">À </w:t>
      </w:r>
      <w:r w:rsidR="00EF6384" w:rsidRPr="00EF6384">
        <w:rPr>
          <w:lang w:val="fr-FR"/>
        </w:rPr>
        <w:t>la fin du paragraphe 6.2.2.7.2 ajouter le nouveau nota suivant</w:t>
      </w:r>
      <w:r w:rsidR="008B12AB">
        <w:rPr>
          <w:lang w:val="fr-FR"/>
        </w:rPr>
        <w:t> </w:t>
      </w:r>
      <w:r w:rsidR="00684C99">
        <w:rPr>
          <w:lang w:val="fr-FR"/>
        </w:rPr>
        <w:t>:</w:t>
      </w:r>
    </w:p>
    <w:p w:rsidR="00EF6384" w:rsidRPr="00EF6384" w:rsidRDefault="005637C9" w:rsidP="005637C9">
      <w:pPr>
        <w:pStyle w:val="SingleTxt"/>
        <w:ind w:left="2218" w:hanging="951"/>
        <w:rPr>
          <w:i/>
          <w:lang w:val="fr-FR"/>
        </w:rPr>
      </w:pPr>
      <w:r>
        <w:rPr>
          <w:b/>
          <w:i/>
          <w:lang w:val="fr-FR"/>
        </w:rPr>
        <w:tab/>
      </w:r>
      <w:r>
        <w:rPr>
          <w:b/>
          <w:i/>
          <w:lang w:val="fr-FR"/>
        </w:rPr>
        <w:tab/>
      </w:r>
      <w:r w:rsidR="00EF6384" w:rsidRPr="00EF6384">
        <w:rPr>
          <w:b/>
          <w:i/>
          <w:lang w:val="fr-FR"/>
        </w:rPr>
        <w:t>NOTA</w:t>
      </w:r>
      <w:r w:rsidR="008B12AB">
        <w:rPr>
          <w:b/>
          <w:i/>
          <w:lang w:val="fr-FR"/>
        </w:rPr>
        <w:t> </w:t>
      </w:r>
      <w:r w:rsidR="00684C99" w:rsidRPr="005F4DD3">
        <w:rPr>
          <w:i/>
        </w:rPr>
        <w:t>:</w:t>
      </w:r>
      <w:r w:rsidR="00EF6384" w:rsidRPr="00EF6384">
        <w:rPr>
          <w:i/>
          <w:lang w:val="fr-FR"/>
        </w:rPr>
        <w:t xml:space="preserve"> Lorsqu’une bouteille d’acétylène fait l’objet d’une évaluation distincte de la conformité confo</w:t>
      </w:r>
      <w:r w:rsidR="008B12AB">
        <w:rPr>
          <w:i/>
          <w:lang w:val="fr-FR"/>
        </w:rPr>
        <w:t>rmément au paragraphe 6.2.1.4.3 </w:t>
      </w:r>
      <w:r w:rsidR="00EF6384" w:rsidRPr="00EF6384">
        <w:rPr>
          <w:i/>
          <w:lang w:val="fr-FR"/>
        </w:rPr>
        <w:t>b) et</w:t>
      </w:r>
      <w:r w:rsidR="00EF6384" w:rsidRPr="00EF6384">
        <w:rPr>
          <w:lang w:val="fr-CH"/>
        </w:rPr>
        <w:t xml:space="preserve"> </w:t>
      </w:r>
      <w:r w:rsidR="00EF6384" w:rsidRPr="00EF6384">
        <w:rPr>
          <w:i/>
          <w:lang w:val="fr-FR"/>
        </w:rPr>
        <w:t xml:space="preserve">que les organismes de contrôle sont différents pour l’enveloppe de la bouteille et pour la bouteille d’acétylène, leurs signes distinctifs respectifs d) et les dates du contrôle initial e) doivent être appliqués et un deuxième signe distinctif c) également si les pays d’homologation des organismes de contrôle sont différents. </w:t>
      </w:r>
    </w:p>
    <w:p w:rsidR="00EF6384" w:rsidRPr="00EF6384" w:rsidRDefault="00EF6384" w:rsidP="00097CF1">
      <w:pPr>
        <w:pStyle w:val="SingleTxt"/>
        <w:ind w:left="2218" w:hanging="951"/>
        <w:rPr>
          <w:lang w:val="fr-FR"/>
        </w:rPr>
      </w:pPr>
      <w:r w:rsidRPr="00EF6384">
        <w:rPr>
          <w:lang w:val="fr-FR"/>
        </w:rPr>
        <w:t>6.2.2.7.3</w:t>
      </w:r>
      <w:r w:rsidRPr="00EF6384">
        <w:rPr>
          <w:lang w:val="fr-FR"/>
        </w:rPr>
        <w:tab/>
        <w:t>Dans la deuxième phrase de</w:t>
      </w:r>
      <w:r w:rsidR="00134EA8">
        <w:rPr>
          <w:lang w:val="fr-FR"/>
        </w:rPr>
        <w:t xml:space="preserve"> l’alinéa </w:t>
      </w:r>
      <w:r w:rsidRPr="00EF6384">
        <w:rPr>
          <w:lang w:val="fr-FR"/>
        </w:rPr>
        <w:t xml:space="preserve">g), remplacer </w:t>
      </w:r>
      <w:r w:rsidR="00134EA8">
        <w:rPr>
          <w:lang w:val="fr-FR"/>
        </w:rPr>
        <w:t>« </w:t>
      </w:r>
      <w:r w:rsidRPr="00EF6384">
        <w:rPr>
          <w:lang w:val="fr-FR"/>
        </w:rPr>
        <w:t>masse des robinets, des chapeaux de protection</w:t>
      </w:r>
      <w:r w:rsidR="00134EA8">
        <w:rPr>
          <w:lang w:val="fr-FR"/>
        </w:rPr>
        <w:t> »</w:t>
      </w:r>
      <w:r w:rsidRPr="00EF6384">
        <w:rPr>
          <w:lang w:val="fr-FR"/>
        </w:rPr>
        <w:t xml:space="preserve"> par </w:t>
      </w:r>
      <w:r w:rsidR="00134EA8">
        <w:rPr>
          <w:lang w:val="fr-FR"/>
        </w:rPr>
        <w:t>« </w:t>
      </w:r>
      <w:r w:rsidRPr="00EF6384">
        <w:rPr>
          <w:lang w:val="fr-FR"/>
        </w:rPr>
        <w:t>masse de la ou des fermeture(s), des chapeaux de protection</w:t>
      </w:r>
      <w:r w:rsidR="00134EA8">
        <w:rPr>
          <w:lang w:val="fr-FR"/>
        </w:rPr>
        <w:t> »</w:t>
      </w:r>
      <w:r w:rsidRPr="00EF6384">
        <w:rPr>
          <w:lang w:val="fr-FR"/>
        </w:rPr>
        <w:t>.</w:t>
      </w:r>
    </w:p>
    <w:p w:rsidR="00250F27" w:rsidRDefault="007932B6" w:rsidP="00126641">
      <w:pPr>
        <w:pStyle w:val="SingleTxt"/>
        <w:ind w:left="2218" w:hanging="951"/>
        <w:rPr>
          <w:lang w:val="fr-FR"/>
        </w:rPr>
      </w:pPr>
      <w:r>
        <w:rPr>
          <w:lang w:val="fr-FR"/>
        </w:rPr>
        <w:tab/>
      </w:r>
      <w:r w:rsidR="00126641">
        <w:rPr>
          <w:lang w:val="fr-FR"/>
        </w:rPr>
        <w:tab/>
      </w:r>
      <w:r w:rsidR="00EF6384" w:rsidRPr="00EF6384">
        <w:rPr>
          <w:lang w:val="fr-FR"/>
        </w:rPr>
        <w:t>Ceci conclut les modifications adoptées par le groupe de travail informel au moment de l’établissement du présent document.</w:t>
      </w:r>
    </w:p>
    <w:p w:rsidR="00134EA8" w:rsidRPr="00134EA8" w:rsidRDefault="00EE38A9" w:rsidP="00134EA8">
      <w:pPr>
        <w:pStyle w:val="SingleTxt"/>
        <w:spacing w:after="0" w:line="240" w:lineRule="auto"/>
        <w:rPr>
          <w:lang w:val="fr-FR"/>
        </w:rPr>
      </w:pPr>
      <w:r w:rsidRPr="00EE38A9">
        <w:rPr>
          <w:noProof/>
          <w:w w:val="100"/>
          <w:lang w:val="en-US"/>
        </w:rPr>
        <w:pict>
          <v:line id="Straight Connector 4" o:spid="_x0000_s1026" style="position:absolute;left:0;text-align:left;z-index:251659264;visibility:visible;mso-position-horizontal-relative:page"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w:r>
    </w:p>
    <w:sectPr w:rsidR="00134EA8" w:rsidRPr="00134EA8" w:rsidSect="00F23332">
      <w:endnotePr>
        <w:numFmt w:val="decimal"/>
      </w:endnotePr>
      <w:type w:val="continuous"/>
      <w:pgSz w:w="11909" w:h="16834"/>
      <w:pgMar w:top="1742" w:right="936" w:bottom="1898" w:left="936" w:header="576" w:footer="103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8E8" w:rsidRDefault="00A428E8" w:rsidP="00F3330B">
      <w:pPr>
        <w:spacing w:line="240" w:lineRule="auto"/>
      </w:pPr>
      <w:r>
        <w:separator/>
      </w:r>
    </w:p>
  </w:endnote>
  <w:endnote w:type="continuationSeparator" w:id="0">
    <w:p w:rsidR="00A428E8" w:rsidRDefault="00A428E8" w:rsidP="00F3330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jc w:val="center"/>
      <w:tblLayout w:type="fixed"/>
      <w:tblLook w:val="0000"/>
    </w:tblPr>
    <w:tblGrid>
      <w:gridCol w:w="5126"/>
      <w:gridCol w:w="5127"/>
    </w:tblGrid>
    <w:tr w:rsidR="00712B80" w:rsidTr="00F23332">
      <w:trPr>
        <w:jc w:val="center"/>
      </w:trPr>
      <w:tc>
        <w:tcPr>
          <w:tcW w:w="5126" w:type="dxa"/>
          <w:shd w:val="clear" w:color="auto" w:fill="auto"/>
        </w:tcPr>
        <w:p w:rsidR="00712B80" w:rsidRPr="00F23332" w:rsidRDefault="00EE38A9" w:rsidP="00F23332">
          <w:pPr>
            <w:pStyle w:val="Pieddepage"/>
            <w:jc w:val="right"/>
            <w:rPr>
              <w:b w:val="0"/>
              <w:w w:val="103"/>
              <w:sz w:val="14"/>
            </w:rPr>
          </w:pPr>
          <w:fldSimple w:instr=" DOCVARIABLE &quot;FooterJN&quot; \* MERGEFORMAT ">
            <w:r w:rsidR="0022040B">
              <w:rPr>
                <w:b w:val="0"/>
                <w:w w:val="103"/>
                <w:sz w:val="14"/>
              </w:rPr>
              <w:t>GE.15-10984</w:t>
            </w:r>
          </w:fldSimple>
        </w:p>
      </w:tc>
      <w:tc>
        <w:tcPr>
          <w:tcW w:w="5127" w:type="dxa"/>
          <w:shd w:val="clear" w:color="auto" w:fill="auto"/>
        </w:tcPr>
        <w:p w:rsidR="00712B80" w:rsidRPr="00F23332" w:rsidRDefault="00EE38A9" w:rsidP="00F23332">
          <w:pPr>
            <w:pStyle w:val="Pieddepage"/>
            <w:rPr>
              <w:w w:val="103"/>
            </w:rPr>
          </w:pPr>
          <w:r>
            <w:rPr>
              <w:w w:val="103"/>
            </w:rPr>
            <w:fldChar w:fldCharType="begin"/>
          </w:r>
          <w:r w:rsidR="00712B80">
            <w:rPr>
              <w:w w:val="103"/>
            </w:rPr>
            <w:instrText xml:space="preserve"> PAGE  \* Arabic  \* MERGEFORMAT </w:instrText>
          </w:r>
          <w:r>
            <w:rPr>
              <w:w w:val="103"/>
            </w:rPr>
            <w:fldChar w:fldCharType="separate"/>
          </w:r>
          <w:r w:rsidR="0076376C">
            <w:rPr>
              <w:noProof/>
              <w:w w:val="103"/>
            </w:rPr>
            <w:t>12</w:t>
          </w:r>
          <w:r>
            <w:rPr>
              <w:w w:val="103"/>
            </w:rPr>
            <w:fldChar w:fldCharType="end"/>
          </w:r>
          <w:r w:rsidR="00712B80">
            <w:rPr>
              <w:w w:val="103"/>
            </w:rPr>
            <w:t>/</w:t>
          </w:r>
          <w:fldSimple w:instr=" NUMPAGES  \* Arabic  \* MERGEFORMAT ">
            <w:r w:rsidR="0076376C">
              <w:rPr>
                <w:noProof/>
                <w:w w:val="103"/>
              </w:rPr>
              <w:t>12</w:t>
            </w:r>
          </w:fldSimple>
        </w:p>
      </w:tc>
    </w:tr>
  </w:tbl>
  <w:p w:rsidR="00712B80" w:rsidRPr="00F23332" w:rsidRDefault="00712B80" w:rsidP="00F2333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jc w:val="center"/>
      <w:tblLayout w:type="fixed"/>
      <w:tblLook w:val="0000"/>
    </w:tblPr>
    <w:tblGrid>
      <w:gridCol w:w="5126"/>
      <w:gridCol w:w="5127"/>
    </w:tblGrid>
    <w:tr w:rsidR="00712B80" w:rsidTr="00F23332">
      <w:trPr>
        <w:jc w:val="center"/>
      </w:trPr>
      <w:tc>
        <w:tcPr>
          <w:tcW w:w="5126" w:type="dxa"/>
          <w:shd w:val="clear" w:color="auto" w:fill="auto"/>
        </w:tcPr>
        <w:p w:rsidR="00712B80" w:rsidRPr="00F23332" w:rsidRDefault="00EE38A9" w:rsidP="00F23332">
          <w:pPr>
            <w:pStyle w:val="Pieddepage"/>
            <w:jc w:val="right"/>
            <w:rPr>
              <w:w w:val="103"/>
            </w:rPr>
          </w:pPr>
          <w:r>
            <w:rPr>
              <w:w w:val="103"/>
            </w:rPr>
            <w:fldChar w:fldCharType="begin"/>
          </w:r>
          <w:r w:rsidR="00712B80">
            <w:rPr>
              <w:w w:val="103"/>
            </w:rPr>
            <w:instrText xml:space="preserve"> PAGE  \* Arabic  \* MERGEFORMAT </w:instrText>
          </w:r>
          <w:r>
            <w:rPr>
              <w:w w:val="103"/>
            </w:rPr>
            <w:fldChar w:fldCharType="separate"/>
          </w:r>
          <w:r w:rsidR="0076376C">
            <w:rPr>
              <w:noProof/>
              <w:w w:val="103"/>
            </w:rPr>
            <w:t>11</w:t>
          </w:r>
          <w:r>
            <w:rPr>
              <w:w w:val="103"/>
            </w:rPr>
            <w:fldChar w:fldCharType="end"/>
          </w:r>
          <w:r w:rsidR="00712B80">
            <w:rPr>
              <w:w w:val="103"/>
            </w:rPr>
            <w:t>/</w:t>
          </w:r>
          <w:fldSimple w:instr=" NUMPAGES  \* Arabic  \* MERGEFORMAT ">
            <w:r w:rsidR="0076376C">
              <w:rPr>
                <w:noProof/>
                <w:w w:val="103"/>
              </w:rPr>
              <w:t>11</w:t>
            </w:r>
          </w:fldSimple>
        </w:p>
      </w:tc>
      <w:tc>
        <w:tcPr>
          <w:tcW w:w="5127" w:type="dxa"/>
          <w:shd w:val="clear" w:color="auto" w:fill="auto"/>
        </w:tcPr>
        <w:p w:rsidR="00712B80" w:rsidRPr="00F23332" w:rsidRDefault="00EE38A9" w:rsidP="00F23332">
          <w:pPr>
            <w:pStyle w:val="Pieddepage"/>
            <w:rPr>
              <w:b w:val="0"/>
              <w:w w:val="103"/>
              <w:sz w:val="14"/>
            </w:rPr>
          </w:pPr>
          <w:fldSimple w:instr=" DOCVARIABLE &quot;FooterJN&quot; \* MERGEFORMAT ">
            <w:r w:rsidR="0022040B">
              <w:rPr>
                <w:b w:val="0"/>
                <w:w w:val="103"/>
                <w:sz w:val="14"/>
              </w:rPr>
              <w:t>GE.15-10984</w:t>
            </w:r>
          </w:fldSimple>
        </w:p>
      </w:tc>
    </w:tr>
  </w:tbl>
  <w:p w:rsidR="00712B80" w:rsidRPr="00F23332" w:rsidRDefault="00712B80" w:rsidP="00F23332">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B80" w:rsidRDefault="00712B80">
    <w:pPr>
      <w:pStyle w:val="Pieddepage"/>
    </w:pPr>
    <w:r>
      <w:rPr>
        <w:noProof/>
        <w:lang w:val="fr-FR" w:eastAsia="fr-FR"/>
      </w:rPr>
      <w:drawing>
        <wp:anchor distT="0" distB="0" distL="114300" distR="114300" simplePos="0" relativeHeight="251658240" behindDoc="0" locked="0" layoutInCell="1" allowOverlap="1">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15/AC.1/2015/38&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15/AC.1/2015/38&amp;Size =1&amp;Lang = 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anchor>
      </w:drawing>
    </w:r>
  </w:p>
  <w:tbl>
    <w:tblPr>
      <w:tblW w:w="0" w:type="auto"/>
      <w:tblLayout w:type="fixed"/>
      <w:tblLook w:val="0000"/>
    </w:tblPr>
    <w:tblGrid>
      <w:gridCol w:w="3859"/>
      <w:gridCol w:w="5127"/>
    </w:tblGrid>
    <w:tr w:rsidR="00712B80" w:rsidTr="00F23332">
      <w:tc>
        <w:tcPr>
          <w:tcW w:w="3859" w:type="dxa"/>
        </w:tcPr>
        <w:p w:rsidR="00712B80" w:rsidRDefault="00EE38A9" w:rsidP="00F23332">
          <w:pPr>
            <w:pStyle w:val="Pieddepage"/>
            <w:rPr>
              <w:b w:val="0"/>
              <w:sz w:val="20"/>
            </w:rPr>
          </w:pPr>
          <w:fldSimple w:instr=" DOCVARIABLE &quot;jobn&quot; \* MERGEFORMAT ">
            <w:r w:rsidR="0022040B">
              <w:rPr>
                <w:b w:val="0"/>
                <w:sz w:val="20"/>
              </w:rPr>
              <w:t>GE.15-10984 (F)</w:t>
            </w:r>
          </w:fldSimple>
          <w:r w:rsidR="00712B80">
            <w:rPr>
              <w:b w:val="0"/>
              <w:sz w:val="20"/>
            </w:rPr>
            <w:t xml:space="preserve">    120815    1</w:t>
          </w:r>
          <w:r w:rsidR="0022040B">
            <w:rPr>
              <w:b w:val="0"/>
              <w:sz w:val="20"/>
            </w:rPr>
            <w:t>3</w:t>
          </w:r>
          <w:r w:rsidR="00712B80">
            <w:rPr>
              <w:b w:val="0"/>
              <w:sz w:val="20"/>
            </w:rPr>
            <w:t>0815</w:t>
          </w:r>
        </w:p>
        <w:p w:rsidR="00712B80" w:rsidRPr="00F23332" w:rsidRDefault="00EE38A9" w:rsidP="00F23332">
          <w:pPr>
            <w:pStyle w:val="Pieddepage"/>
            <w:spacing w:before="120" w:line="200" w:lineRule="exact"/>
            <w:rPr>
              <w:rFonts w:ascii="Barcode 3 of 9 by request" w:hAnsi="Barcode 3 of 9 by request"/>
              <w:b w:val="0"/>
              <w:spacing w:val="0"/>
              <w:w w:val="100"/>
              <w:sz w:val="24"/>
            </w:rPr>
          </w:pPr>
          <w:fldSimple w:instr=" DOCVARIABLE &quot;Barcode&quot; \* MERGEFORMAT ">
            <w:r w:rsidR="0022040B">
              <w:rPr>
                <w:rFonts w:ascii="Barcode 3 of 9 by request" w:hAnsi="Barcode 3 of 9 by request"/>
                <w:b w:val="0"/>
                <w:spacing w:val="0"/>
                <w:w w:val="100"/>
                <w:sz w:val="24"/>
              </w:rPr>
              <w:t>*1510984*</w:t>
            </w:r>
          </w:fldSimple>
        </w:p>
      </w:tc>
      <w:tc>
        <w:tcPr>
          <w:tcW w:w="5127" w:type="dxa"/>
        </w:tcPr>
        <w:p w:rsidR="00712B80" w:rsidRDefault="00712B80" w:rsidP="00F23332">
          <w:pPr>
            <w:pStyle w:val="Pieddepage"/>
            <w:spacing w:line="240" w:lineRule="atLeast"/>
            <w:jc w:val="right"/>
            <w:rPr>
              <w:b w:val="0"/>
              <w:sz w:val="20"/>
            </w:rPr>
          </w:pPr>
          <w:r>
            <w:rPr>
              <w:b w:val="0"/>
              <w:noProof/>
              <w:sz w:val="20"/>
              <w:lang w:val="fr-FR" w:eastAsia="fr-FR"/>
            </w:rPr>
            <w:drawing>
              <wp:inline distT="0" distB="0" distL="0" distR="0">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712B80" w:rsidRPr="00F23332" w:rsidRDefault="00712B80" w:rsidP="00F23332">
    <w:pPr>
      <w:pStyle w:val="Pieddepage"/>
      <w:spacing w:line="56" w:lineRule="exact"/>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8E8" w:rsidRPr="00EF6384" w:rsidRDefault="00A428E8" w:rsidP="00EF6384">
      <w:pPr>
        <w:pStyle w:val="Pieddepage"/>
        <w:spacing w:after="80"/>
        <w:ind w:left="792"/>
        <w:rPr>
          <w:sz w:val="16"/>
        </w:rPr>
      </w:pPr>
      <w:r w:rsidRPr="00EF6384">
        <w:rPr>
          <w:sz w:val="16"/>
        </w:rPr>
        <w:t>__________________</w:t>
      </w:r>
    </w:p>
  </w:footnote>
  <w:footnote w:type="continuationSeparator" w:id="0">
    <w:p w:rsidR="00A428E8" w:rsidRPr="00EF6384" w:rsidRDefault="00A428E8" w:rsidP="00EF6384">
      <w:pPr>
        <w:pStyle w:val="Pieddepage"/>
        <w:spacing w:after="80"/>
        <w:ind w:left="792"/>
        <w:rPr>
          <w:sz w:val="16"/>
        </w:rPr>
      </w:pPr>
      <w:r w:rsidRPr="00EF6384">
        <w:rPr>
          <w:sz w:val="16"/>
        </w:rPr>
        <w:t>__________________</w:t>
      </w:r>
    </w:p>
  </w:footnote>
  <w:footnote w:id="1">
    <w:p w:rsidR="00712B80" w:rsidRPr="00EF6384" w:rsidRDefault="00712B80" w:rsidP="00EF6384">
      <w:pPr>
        <w:pStyle w:val="Notedebasdepage"/>
        <w:widowControl w:val="0"/>
        <w:tabs>
          <w:tab w:val="right" w:pos="1195"/>
          <w:tab w:val="left" w:pos="1267"/>
          <w:tab w:val="left" w:pos="1742"/>
          <w:tab w:val="left" w:pos="2218"/>
          <w:tab w:val="left" w:pos="2693"/>
        </w:tabs>
        <w:ind w:left="1267" w:right="1260" w:hanging="432"/>
        <w:rPr>
          <w:lang w:val="fr-FR"/>
        </w:rPr>
      </w:pPr>
      <w:r w:rsidRPr="00EF6384">
        <w:tab/>
      </w:r>
      <w:r w:rsidRPr="00EF6384">
        <w:rPr>
          <w:rStyle w:val="Appelnotedebasdep"/>
          <w:color w:val="auto"/>
        </w:rPr>
        <w:footnoteRef/>
      </w:r>
      <w:r w:rsidRPr="00EF6384">
        <w:rPr>
          <w:lang w:val="fr-FR"/>
        </w:rPr>
        <w:tab/>
        <w:t>Conformément au programme de travail du Comité des transports intérieurs pour</w:t>
      </w:r>
      <w:r>
        <w:rPr>
          <w:lang w:val="fr-FR"/>
        </w:rPr>
        <w:t xml:space="preserve"> </w:t>
      </w:r>
      <w:r w:rsidRPr="00EF6384">
        <w:rPr>
          <w:lang w:val="fr-FR"/>
        </w:rPr>
        <w:t>2014</w:t>
      </w:r>
      <w:r>
        <w:rPr>
          <w:lang w:val="fr-FR"/>
        </w:rPr>
        <w:t>-2015 (ECE/TRANS/240, par. 100, ECE/TRANS/2014/23, module </w:t>
      </w:r>
      <w:r w:rsidRPr="00EF6384">
        <w:rPr>
          <w:lang w:val="fr-FR"/>
        </w:rPr>
        <w:t>9, par.</w:t>
      </w:r>
      <w:r>
        <w:rPr>
          <w:lang w:val="fr-FR"/>
        </w:rPr>
        <w:t> </w:t>
      </w:r>
      <w:r w:rsidRPr="00EF6384">
        <w:rPr>
          <w:lang w:val="fr-FR"/>
        </w:rPr>
        <w:t>9.2).</w:t>
      </w:r>
    </w:p>
  </w:footnote>
  <w:footnote w:id="2">
    <w:p w:rsidR="00712B80" w:rsidRPr="00EF6384" w:rsidRDefault="00712B80" w:rsidP="00EF6384">
      <w:pPr>
        <w:pStyle w:val="Notedebasdepage"/>
        <w:widowControl w:val="0"/>
        <w:tabs>
          <w:tab w:val="right" w:pos="1195"/>
          <w:tab w:val="left" w:pos="1267"/>
          <w:tab w:val="left" w:pos="1742"/>
          <w:tab w:val="left" w:pos="2218"/>
          <w:tab w:val="left" w:pos="2693"/>
        </w:tabs>
        <w:ind w:left="1267" w:right="1260" w:hanging="432"/>
        <w:rPr>
          <w:lang w:val="fr-FR"/>
        </w:rPr>
      </w:pPr>
      <w:r w:rsidRPr="00EF6384">
        <w:rPr>
          <w:lang w:val="fr-FR"/>
        </w:rPr>
        <w:tab/>
      </w:r>
      <w:r w:rsidRPr="00EF6384">
        <w:rPr>
          <w:rStyle w:val="Appelnotedebasdep"/>
          <w:color w:val="auto"/>
        </w:rPr>
        <w:footnoteRef/>
      </w:r>
      <w:r>
        <w:rPr>
          <w:lang w:val="fr-FR"/>
        </w:rPr>
        <w:tab/>
        <w:t>Diffusée par l’</w:t>
      </w:r>
      <w:r w:rsidRPr="00EF6384">
        <w:rPr>
          <w:lang w:val="fr-FR"/>
        </w:rPr>
        <w:t>Organisation intergouvernementale pour les transports internationaux ferroviaires (OTIF) sous la cote OTIF/RID/RC/2015/38.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10000"/>
      </w:tblBorders>
      <w:tblLayout w:type="fixed"/>
      <w:tblCellMar>
        <w:left w:w="0" w:type="dxa"/>
        <w:right w:w="0" w:type="dxa"/>
      </w:tblCellMar>
      <w:tblLook w:val="0000"/>
    </w:tblPr>
    <w:tblGrid>
      <w:gridCol w:w="4882"/>
      <w:gridCol w:w="5127"/>
    </w:tblGrid>
    <w:tr w:rsidR="00712B80" w:rsidTr="00F23332">
      <w:trPr>
        <w:trHeight w:hRule="exact" w:val="864"/>
        <w:jc w:val="center"/>
      </w:trPr>
      <w:tc>
        <w:tcPr>
          <w:tcW w:w="4882" w:type="dxa"/>
          <w:shd w:val="clear" w:color="auto" w:fill="auto"/>
          <w:vAlign w:val="bottom"/>
        </w:tcPr>
        <w:p w:rsidR="00712B80" w:rsidRPr="00F23332" w:rsidRDefault="00EE38A9" w:rsidP="00F23332">
          <w:pPr>
            <w:pStyle w:val="En-tte"/>
            <w:spacing w:after="80"/>
            <w:rPr>
              <w:b/>
              <w:color w:val="000000"/>
            </w:rPr>
          </w:pPr>
          <w:r>
            <w:rPr>
              <w:b/>
              <w:color w:val="000000"/>
            </w:rPr>
            <w:fldChar w:fldCharType="begin"/>
          </w:r>
          <w:r w:rsidR="00712B80">
            <w:rPr>
              <w:b/>
              <w:color w:val="000000"/>
            </w:rPr>
            <w:instrText xml:space="preserve"> DOCVARIABLE "sss1" \* MERGEFORMAT </w:instrText>
          </w:r>
          <w:r>
            <w:rPr>
              <w:b/>
              <w:color w:val="000000"/>
            </w:rPr>
            <w:fldChar w:fldCharType="separate"/>
          </w:r>
          <w:r w:rsidR="0022040B">
            <w:rPr>
              <w:b/>
              <w:color w:val="000000"/>
            </w:rPr>
            <w:t>ECE/TRANS/WP.15/AC.1/2015/38</w:t>
          </w:r>
          <w:r>
            <w:rPr>
              <w:b/>
              <w:color w:val="000000"/>
            </w:rPr>
            <w:fldChar w:fldCharType="end"/>
          </w:r>
        </w:p>
      </w:tc>
      <w:tc>
        <w:tcPr>
          <w:tcW w:w="5127" w:type="dxa"/>
          <w:shd w:val="clear" w:color="auto" w:fill="auto"/>
          <w:vAlign w:val="bottom"/>
        </w:tcPr>
        <w:p w:rsidR="00712B80" w:rsidRDefault="00712B80" w:rsidP="00F23332">
          <w:pPr>
            <w:pStyle w:val="En-tte"/>
          </w:pPr>
        </w:p>
      </w:tc>
    </w:tr>
  </w:tbl>
  <w:p w:rsidR="00712B80" w:rsidRPr="00F23332" w:rsidRDefault="00712B80" w:rsidP="00F23332">
    <w:pPr>
      <w:pStyle w:val="En-tte"/>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10000"/>
      </w:tblBorders>
      <w:tblLayout w:type="fixed"/>
      <w:tblCellMar>
        <w:left w:w="0" w:type="dxa"/>
        <w:right w:w="0" w:type="dxa"/>
      </w:tblCellMar>
      <w:tblLook w:val="0000"/>
    </w:tblPr>
    <w:tblGrid>
      <w:gridCol w:w="4882"/>
      <w:gridCol w:w="5127"/>
    </w:tblGrid>
    <w:tr w:rsidR="00712B80" w:rsidTr="00F23332">
      <w:trPr>
        <w:trHeight w:hRule="exact" w:val="864"/>
        <w:jc w:val="center"/>
      </w:trPr>
      <w:tc>
        <w:tcPr>
          <w:tcW w:w="4882" w:type="dxa"/>
          <w:shd w:val="clear" w:color="auto" w:fill="auto"/>
          <w:vAlign w:val="bottom"/>
        </w:tcPr>
        <w:p w:rsidR="00712B80" w:rsidRDefault="00712B80" w:rsidP="00F23332">
          <w:pPr>
            <w:pStyle w:val="En-tte"/>
          </w:pPr>
        </w:p>
      </w:tc>
      <w:tc>
        <w:tcPr>
          <w:tcW w:w="5127" w:type="dxa"/>
          <w:shd w:val="clear" w:color="auto" w:fill="auto"/>
          <w:vAlign w:val="bottom"/>
        </w:tcPr>
        <w:p w:rsidR="00712B80" w:rsidRPr="00F23332" w:rsidRDefault="00EE38A9" w:rsidP="00F23332">
          <w:pPr>
            <w:pStyle w:val="En-tte"/>
            <w:spacing w:after="80"/>
            <w:jc w:val="right"/>
            <w:rPr>
              <w:b/>
              <w:color w:val="000000"/>
            </w:rPr>
          </w:pPr>
          <w:fldSimple w:instr=" DOCVARIABLE &quot;sss1&quot; \* MERGEFORMAT ">
            <w:r w:rsidR="0022040B">
              <w:rPr>
                <w:b/>
                <w:color w:val="000000"/>
              </w:rPr>
              <w:t>ECE/TRANS/WP.15/AC.1/2015/38</w:t>
            </w:r>
          </w:fldSimple>
        </w:p>
      </w:tc>
    </w:tr>
  </w:tbl>
  <w:p w:rsidR="00712B80" w:rsidRPr="00F23332" w:rsidRDefault="00712B80" w:rsidP="00F23332">
    <w:pPr>
      <w:pStyle w:val="En-tte"/>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37" w:type="dxa"/>
      <w:tblLayout w:type="fixed"/>
      <w:tblCellMar>
        <w:left w:w="0" w:type="dxa"/>
        <w:right w:w="0" w:type="dxa"/>
      </w:tblCellMar>
      <w:tblLook w:val="0000"/>
    </w:tblPr>
    <w:tblGrid>
      <w:gridCol w:w="1267"/>
      <w:gridCol w:w="2059"/>
      <w:gridCol w:w="58"/>
      <w:gridCol w:w="3110"/>
      <w:gridCol w:w="245"/>
      <w:gridCol w:w="3280"/>
      <w:gridCol w:w="18"/>
    </w:tblGrid>
    <w:tr w:rsidR="00712B80" w:rsidTr="00F23332">
      <w:trPr>
        <w:trHeight w:hRule="exact" w:val="864"/>
      </w:trPr>
      <w:tc>
        <w:tcPr>
          <w:tcW w:w="1267" w:type="dxa"/>
          <w:tcBorders>
            <w:bottom w:val="single" w:sz="4" w:space="0" w:color="auto"/>
          </w:tcBorders>
          <w:shd w:val="clear" w:color="auto" w:fill="auto"/>
          <w:vAlign w:val="bottom"/>
        </w:tcPr>
        <w:p w:rsidR="00712B80" w:rsidRDefault="00712B80" w:rsidP="00F23332">
          <w:pPr>
            <w:pStyle w:val="En-tte"/>
            <w:spacing w:after="120"/>
          </w:pPr>
        </w:p>
      </w:tc>
      <w:tc>
        <w:tcPr>
          <w:tcW w:w="2059" w:type="dxa"/>
          <w:tcBorders>
            <w:bottom w:val="single" w:sz="4" w:space="0" w:color="auto"/>
          </w:tcBorders>
          <w:shd w:val="clear" w:color="auto" w:fill="auto"/>
          <w:vAlign w:val="bottom"/>
        </w:tcPr>
        <w:p w:rsidR="00712B80" w:rsidRPr="00F23332" w:rsidRDefault="00712B80" w:rsidP="00F23332">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712B80" w:rsidRDefault="00712B80" w:rsidP="00F23332">
          <w:pPr>
            <w:pStyle w:val="En-tte"/>
            <w:spacing w:after="120"/>
          </w:pPr>
        </w:p>
      </w:tc>
      <w:tc>
        <w:tcPr>
          <w:tcW w:w="6653" w:type="dxa"/>
          <w:gridSpan w:val="4"/>
          <w:tcBorders>
            <w:bottom w:val="single" w:sz="4" w:space="0" w:color="auto"/>
          </w:tcBorders>
          <w:shd w:val="clear" w:color="auto" w:fill="auto"/>
          <w:vAlign w:val="bottom"/>
        </w:tcPr>
        <w:p w:rsidR="00712B80" w:rsidRPr="00F23332" w:rsidRDefault="00712B80" w:rsidP="00F23332">
          <w:pPr>
            <w:spacing w:after="80" w:line="240" w:lineRule="auto"/>
            <w:jc w:val="right"/>
            <w:rPr>
              <w:position w:val="-4"/>
            </w:rPr>
          </w:pPr>
          <w:r>
            <w:rPr>
              <w:position w:val="-4"/>
              <w:sz w:val="40"/>
            </w:rPr>
            <w:t>ECE</w:t>
          </w:r>
          <w:r>
            <w:rPr>
              <w:position w:val="-4"/>
            </w:rPr>
            <w:t>/TRANS/WP.15/AC.1/2015/38</w:t>
          </w:r>
        </w:p>
      </w:tc>
    </w:tr>
    <w:tr w:rsidR="00712B80" w:rsidRPr="00F23332" w:rsidTr="00F23332">
      <w:trPr>
        <w:gridAfter w:val="1"/>
        <w:wAfter w:w="18" w:type="dxa"/>
        <w:trHeight w:hRule="exact" w:val="2880"/>
      </w:trPr>
      <w:tc>
        <w:tcPr>
          <w:tcW w:w="1267" w:type="dxa"/>
          <w:tcBorders>
            <w:top w:val="single" w:sz="4" w:space="0" w:color="auto"/>
            <w:bottom w:val="single" w:sz="12" w:space="0" w:color="auto"/>
          </w:tcBorders>
          <w:shd w:val="clear" w:color="auto" w:fill="auto"/>
        </w:tcPr>
        <w:p w:rsidR="00712B80" w:rsidRPr="00F23332" w:rsidRDefault="00712B80" w:rsidP="00F23332">
          <w:pPr>
            <w:pStyle w:val="En-tte"/>
            <w:spacing w:before="120" w:line="240" w:lineRule="auto"/>
            <w:ind w:left="-72"/>
            <w:jc w:val="center"/>
          </w:pPr>
          <w:r>
            <w:t xml:space="preserve">  </w:t>
          </w:r>
          <w:r>
            <w:rPr>
              <w:noProof/>
              <w:lang w:val="fr-FR" w:eastAsia="fr-FR"/>
            </w:rPr>
            <w:drawing>
              <wp:inline distT="0" distB="0" distL="0" distR="0">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712B80" w:rsidRPr="00F23332" w:rsidRDefault="00712B80" w:rsidP="00F23332">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712B80" w:rsidRPr="00F23332" w:rsidRDefault="00712B80" w:rsidP="00F23332">
          <w:pPr>
            <w:pStyle w:val="En-tte"/>
            <w:spacing w:before="109"/>
          </w:pPr>
        </w:p>
      </w:tc>
      <w:tc>
        <w:tcPr>
          <w:tcW w:w="3280" w:type="dxa"/>
          <w:tcBorders>
            <w:top w:val="single" w:sz="4" w:space="0" w:color="auto"/>
            <w:bottom w:val="single" w:sz="12" w:space="0" w:color="auto"/>
          </w:tcBorders>
          <w:shd w:val="clear" w:color="auto" w:fill="auto"/>
        </w:tcPr>
        <w:p w:rsidR="00712B80" w:rsidRPr="0076376C" w:rsidRDefault="00712B80" w:rsidP="00F23332">
          <w:pPr>
            <w:pStyle w:val="Distribution"/>
            <w:rPr>
              <w:color w:val="000000"/>
              <w:lang w:val="fr-FR"/>
            </w:rPr>
          </w:pPr>
          <w:proofErr w:type="spellStart"/>
          <w:r w:rsidRPr="0076376C">
            <w:rPr>
              <w:color w:val="000000"/>
              <w:lang w:val="fr-FR"/>
            </w:rPr>
            <w:t>Distr</w:t>
          </w:r>
          <w:proofErr w:type="spellEnd"/>
          <w:r w:rsidRPr="0076376C">
            <w:rPr>
              <w:color w:val="000000"/>
              <w:lang w:val="fr-FR"/>
            </w:rPr>
            <w:t>. générale</w:t>
          </w:r>
        </w:p>
        <w:p w:rsidR="00712B80" w:rsidRPr="0076376C" w:rsidRDefault="00712B80" w:rsidP="00F23332">
          <w:pPr>
            <w:pStyle w:val="Publication"/>
            <w:rPr>
              <w:color w:val="000000"/>
              <w:lang w:val="fr-FR"/>
            </w:rPr>
          </w:pPr>
          <w:r w:rsidRPr="0076376C">
            <w:rPr>
              <w:color w:val="000000"/>
              <w:lang w:val="fr-FR"/>
            </w:rPr>
            <w:t>1</w:t>
          </w:r>
          <w:r w:rsidR="00002876" w:rsidRPr="0076376C">
            <w:rPr>
              <w:color w:val="000000"/>
              <w:vertAlign w:val="superscript"/>
              <w:lang w:val="fr-FR"/>
            </w:rPr>
            <w:t>er</w:t>
          </w:r>
          <w:r w:rsidRPr="0076376C">
            <w:rPr>
              <w:color w:val="000000"/>
              <w:vertAlign w:val="superscript"/>
              <w:lang w:val="fr-FR"/>
            </w:rPr>
            <w:t xml:space="preserve"> </w:t>
          </w:r>
          <w:r w:rsidRPr="0076376C">
            <w:rPr>
              <w:color w:val="000000"/>
              <w:lang w:val="fr-FR"/>
            </w:rPr>
            <w:t>juillet 2015</w:t>
          </w:r>
        </w:p>
        <w:p w:rsidR="00712B80" w:rsidRPr="0076376C" w:rsidRDefault="00712B80" w:rsidP="00F23332">
          <w:pPr>
            <w:rPr>
              <w:lang w:val="fr-FR"/>
            </w:rPr>
          </w:pPr>
          <w:r w:rsidRPr="0076376C">
            <w:rPr>
              <w:lang w:val="fr-FR"/>
            </w:rPr>
            <w:t>Français</w:t>
          </w:r>
        </w:p>
        <w:p w:rsidR="00712B80" w:rsidRPr="0076376C" w:rsidRDefault="00712B80" w:rsidP="00F23332">
          <w:pPr>
            <w:pStyle w:val="Original"/>
            <w:rPr>
              <w:color w:val="000000"/>
              <w:lang w:val="fr-FR"/>
            </w:rPr>
          </w:pPr>
          <w:r w:rsidRPr="0076376C">
            <w:rPr>
              <w:color w:val="000000"/>
              <w:lang w:val="fr-FR"/>
            </w:rPr>
            <w:t>Original : anglais</w:t>
          </w:r>
        </w:p>
      </w:tc>
    </w:tr>
  </w:tbl>
  <w:p w:rsidR="00712B80" w:rsidRPr="0076376C" w:rsidRDefault="00712B80" w:rsidP="00F23332">
    <w:pPr>
      <w:pStyle w:val="En-tte"/>
      <w:spacing w:line="240" w:lineRule="auto"/>
      <w:rPr>
        <w:sz w:val="2"/>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100B1A84"/>
    <w:multiLevelType w:val="singleLevel"/>
    <w:tmpl w:val="C7FA7A02"/>
    <w:lvl w:ilvl="0">
      <w:start w:val="3"/>
      <w:numFmt w:val="decimal"/>
      <w:lvlRestart w:val="0"/>
      <w:lvlText w:val="%1."/>
      <w:lvlJc w:val="left"/>
      <w:pPr>
        <w:tabs>
          <w:tab w:val="num" w:pos="1742"/>
        </w:tabs>
        <w:ind w:left="1267" w:firstLine="0"/>
      </w:pPr>
      <w:rPr>
        <w:rFonts w:hint="default"/>
        <w:w w:val="100"/>
      </w:rPr>
    </w:lvl>
  </w:abstractNum>
  <w:abstractNum w:abstractNumId="3">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12D06B23"/>
    <w:multiLevelType w:val="multilevel"/>
    <w:tmpl w:val="0A5CDD56"/>
    <w:lvl w:ilvl="0">
      <w:start w:val="1"/>
      <w:numFmt w:val="decimal"/>
      <w:pStyle w:val="Titre1"/>
      <w:suff w:val="space"/>
      <w:lvlText w:val="Chapter %1"/>
      <w:lvlJc w:val="left"/>
      <w:pPr>
        <w:ind w:left="0" w:firstLine="0"/>
      </w:pPr>
      <w:rPr>
        <w:rFonts w:ascii="Times New Roman" w:hAnsi="Times New Roman" w:hint="default"/>
        <w:color w:val="auto"/>
        <w:sz w:val="20"/>
      </w:rPr>
    </w:lvl>
    <w:lvl w:ilvl="1">
      <w:start w:val="1"/>
      <w:numFmt w:val="none"/>
      <w:pStyle w:val="Titre2"/>
      <w:suff w:val="nothing"/>
      <w:lvlText w:val=""/>
      <w:lvlJc w:val="left"/>
      <w:pPr>
        <w:ind w:left="0" w:firstLine="0"/>
      </w:pPr>
      <w:rPr>
        <w:rFonts w:hint="default"/>
      </w:rPr>
    </w:lvl>
    <w:lvl w:ilvl="2">
      <w:start w:val="1"/>
      <w:numFmt w:val="none"/>
      <w:pStyle w:val="Titre3"/>
      <w:suff w:val="nothing"/>
      <w:lvlText w:val=""/>
      <w:lvlJc w:val="left"/>
      <w:pPr>
        <w:ind w:left="0" w:firstLine="0"/>
      </w:pPr>
      <w:rPr>
        <w:rFonts w:hint="default"/>
      </w:rPr>
    </w:lvl>
    <w:lvl w:ilvl="3">
      <w:start w:val="1"/>
      <w:numFmt w:val="none"/>
      <w:pStyle w:val="Titre4"/>
      <w:suff w:val="nothing"/>
      <w:lvlText w:val=""/>
      <w:lvlJc w:val="left"/>
      <w:pPr>
        <w:ind w:left="0" w:firstLine="0"/>
      </w:pPr>
      <w:rPr>
        <w:rFonts w:hint="default"/>
      </w:rPr>
    </w:lvl>
    <w:lvl w:ilvl="4">
      <w:start w:val="1"/>
      <w:numFmt w:val="none"/>
      <w:pStyle w:val="Titre5"/>
      <w:suff w:val="nothing"/>
      <w:lvlText w:val=""/>
      <w:lvlJc w:val="left"/>
      <w:pPr>
        <w:ind w:left="0" w:firstLine="0"/>
      </w:pPr>
      <w:rPr>
        <w:rFonts w:hint="default"/>
      </w:rPr>
    </w:lvl>
    <w:lvl w:ilvl="5">
      <w:start w:val="1"/>
      <w:numFmt w:val="none"/>
      <w:pStyle w:val="Titre6"/>
      <w:suff w:val="nothing"/>
      <w:lvlText w:val=""/>
      <w:lvlJc w:val="left"/>
      <w:pPr>
        <w:ind w:left="0" w:firstLine="0"/>
      </w:pPr>
      <w:rPr>
        <w:rFonts w:hint="default"/>
      </w:rPr>
    </w:lvl>
    <w:lvl w:ilvl="6">
      <w:start w:val="1"/>
      <w:numFmt w:val="none"/>
      <w:pStyle w:val="Titre7"/>
      <w:suff w:val="nothing"/>
      <w:lvlText w:val=""/>
      <w:lvlJc w:val="left"/>
      <w:pPr>
        <w:ind w:left="0" w:firstLine="0"/>
      </w:pPr>
      <w:rPr>
        <w:rFonts w:hint="default"/>
      </w:rPr>
    </w:lvl>
    <w:lvl w:ilvl="7">
      <w:start w:val="1"/>
      <w:numFmt w:val="none"/>
      <w:pStyle w:val="Titre8"/>
      <w:suff w:val="nothing"/>
      <w:lvlText w:val=""/>
      <w:lvlJc w:val="left"/>
      <w:pPr>
        <w:ind w:left="0" w:firstLine="0"/>
      </w:pPr>
      <w:rPr>
        <w:rFonts w:hint="default"/>
      </w:rPr>
    </w:lvl>
    <w:lvl w:ilvl="8">
      <w:start w:val="1"/>
      <w:numFmt w:val="none"/>
      <w:pStyle w:val="Titre9"/>
      <w:suff w:val="nothing"/>
      <w:lvlText w:val=""/>
      <w:lvlJc w:val="left"/>
      <w:pPr>
        <w:ind w:left="0" w:firstLine="0"/>
      </w:pPr>
      <w:rPr>
        <w:rFonts w:hint="default"/>
      </w:rPr>
    </w:lvl>
  </w:abstractNum>
  <w:abstractNum w:abstractNumId="5">
    <w:nsid w:val="1571445E"/>
    <w:multiLevelType w:val="singleLevel"/>
    <w:tmpl w:val="8DA6AFAA"/>
    <w:lvl w:ilvl="0">
      <w:start w:val="1"/>
      <w:numFmt w:val="decimal"/>
      <w:lvlRestart w:val="0"/>
      <w:lvlText w:val="%1."/>
      <w:lvlJc w:val="left"/>
      <w:pPr>
        <w:tabs>
          <w:tab w:val="num" w:pos="475"/>
        </w:tabs>
        <w:ind w:left="0" w:firstLine="0"/>
      </w:pPr>
      <w:rPr>
        <w:w w:val="100"/>
      </w:rPr>
    </w:lvl>
  </w:abstractNum>
  <w:abstractNum w:abstractNumId="6">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02C7874"/>
    <w:multiLevelType w:val="hybridMultilevel"/>
    <w:tmpl w:val="B5921380"/>
    <w:lvl w:ilvl="0" w:tplc="EF88D610">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9">
    <w:nsid w:val="22BA6F81"/>
    <w:multiLevelType w:val="singleLevel"/>
    <w:tmpl w:val="69E6160C"/>
    <w:lvl w:ilvl="0">
      <w:start w:val="1"/>
      <w:numFmt w:val="decimal"/>
      <w:lvlRestart w:val="0"/>
      <w:lvlText w:val="%1."/>
      <w:lvlJc w:val="left"/>
      <w:pPr>
        <w:tabs>
          <w:tab w:val="num" w:pos="475"/>
        </w:tabs>
        <w:ind w:left="0" w:firstLine="0"/>
      </w:pPr>
      <w:rPr>
        <w:w w:val="100"/>
      </w:rPr>
    </w:lvl>
  </w:abstractNum>
  <w:abstractNum w:abstractNumId="10">
    <w:nsid w:val="25237858"/>
    <w:multiLevelType w:val="singleLevel"/>
    <w:tmpl w:val="8DA6AFAA"/>
    <w:lvl w:ilvl="0">
      <w:start w:val="1"/>
      <w:numFmt w:val="decimal"/>
      <w:lvlRestart w:val="0"/>
      <w:lvlText w:val="%1."/>
      <w:lvlJc w:val="left"/>
      <w:pPr>
        <w:tabs>
          <w:tab w:val="num" w:pos="475"/>
        </w:tabs>
        <w:ind w:left="0" w:firstLine="0"/>
      </w:pPr>
      <w:rPr>
        <w:w w:val="100"/>
      </w:rPr>
    </w:lvl>
  </w:abstractNum>
  <w:abstractNum w:abstractNumId="11">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nsid w:val="6B0D19C4"/>
    <w:multiLevelType w:val="hybridMultilevel"/>
    <w:tmpl w:val="FC98F7AC"/>
    <w:lvl w:ilvl="0" w:tplc="22CC541A">
      <w:start w:val="1"/>
      <w:numFmt w:val="lowerLetter"/>
      <w:lvlText w:val="%1)"/>
      <w:lvlJc w:val="left"/>
      <w:pPr>
        <w:ind w:left="2271" w:hanging="570"/>
      </w:pPr>
      <w:rPr>
        <w:rFonts w:hint="default"/>
      </w:rPr>
    </w:lvl>
    <w:lvl w:ilvl="1" w:tplc="040C0019" w:tentative="1">
      <w:start w:val="1"/>
      <w:numFmt w:val="lowerLetter"/>
      <w:lvlText w:val="%2."/>
      <w:lvlJc w:val="left"/>
      <w:pPr>
        <w:ind w:left="2781" w:hanging="360"/>
      </w:pPr>
    </w:lvl>
    <w:lvl w:ilvl="2" w:tplc="040C001B" w:tentative="1">
      <w:start w:val="1"/>
      <w:numFmt w:val="lowerRoman"/>
      <w:lvlText w:val="%3."/>
      <w:lvlJc w:val="right"/>
      <w:pPr>
        <w:ind w:left="3501" w:hanging="180"/>
      </w:pPr>
    </w:lvl>
    <w:lvl w:ilvl="3" w:tplc="040C000F" w:tentative="1">
      <w:start w:val="1"/>
      <w:numFmt w:val="decimal"/>
      <w:lvlText w:val="%4."/>
      <w:lvlJc w:val="left"/>
      <w:pPr>
        <w:ind w:left="4221" w:hanging="360"/>
      </w:pPr>
    </w:lvl>
    <w:lvl w:ilvl="4" w:tplc="040C0019" w:tentative="1">
      <w:start w:val="1"/>
      <w:numFmt w:val="lowerLetter"/>
      <w:lvlText w:val="%5."/>
      <w:lvlJc w:val="left"/>
      <w:pPr>
        <w:ind w:left="4941" w:hanging="360"/>
      </w:pPr>
    </w:lvl>
    <w:lvl w:ilvl="5" w:tplc="040C001B" w:tentative="1">
      <w:start w:val="1"/>
      <w:numFmt w:val="lowerRoman"/>
      <w:lvlText w:val="%6."/>
      <w:lvlJc w:val="right"/>
      <w:pPr>
        <w:ind w:left="5661" w:hanging="180"/>
      </w:pPr>
    </w:lvl>
    <w:lvl w:ilvl="6" w:tplc="040C000F" w:tentative="1">
      <w:start w:val="1"/>
      <w:numFmt w:val="decimal"/>
      <w:lvlText w:val="%7."/>
      <w:lvlJc w:val="left"/>
      <w:pPr>
        <w:ind w:left="6381" w:hanging="360"/>
      </w:pPr>
    </w:lvl>
    <w:lvl w:ilvl="7" w:tplc="040C0019" w:tentative="1">
      <w:start w:val="1"/>
      <w:numFmt w:val="lowerLetter"/>
      <w:lvlText w:val="%8."/>
      <w:lvlJc w:val="left"/>
      <w:pPr>
        <w:ind w:left="7101" w:hanging="360"/>
      </w:pPr>
    </w:lvl>
    <w:lvl w:ilvl="8" w:tplc="040C001B" w:tentative="1">
      <w:start w:val="1"/>
      <w:numFmt w:val="lowerRoman"/>
      <w:lvlText w:val="%9."/>
      <w:lvlJc w:val="right"/>
      <w:pPr>
        <w:ind w:left="7821" w:hanging="180"/>
      </w:pPr>
    </w:lvl>
  </w:abstractNum>
  <w:abstractNum w:abstractNumId="17">
    <w:nsid w:val="6F061806"/>
    <w:multiLevelType w:val="hybridMultilevel"/>
    <w:tmpl w:val="C6D46DA2"/>
    <w:lvl w:ilvl="0" w:tplc="A544A962">
      <w:start w:val="1"/>
      <w:numFmt w:val="lowerLetter"/>
      <w:lvlText w:val="%1)"/>
      <w:lvlJc w:val="left"/>
      <w:pPr>
        <w:ind w:left="2271" w:hanging="570"/>
      </w:pPr>
      <w:rPr>
        <w:rFonts w:hint="default"/>
      </w:rPr>
    </w:lvl>
    <w:lvl w:ilvl="1" w:tplc="040C0019" w:tentative="1">
      <w:start w:val="1"/>
      <w:numFmt w:val="lowerLetter"/>
      <w:lvlText w:val="%2."/>
      <w:lvlJc w:val="left"/>
      <w:pPr>
        <w:ind w:left="2781" w:hanging="360"/>
      </w:pPr>
    </w:lvl>
    <w:lvl w:ilvl="2" w:tplc="040C001B" w:tentative="1">
      <w:start w:val="1"/>
      <w:numFmt w:val="lowerRoman"/>
      <w:lvlText w:val="%3."/>
      <w:lvlJc w:val="right"/>
      <w:pPr>
        <w:ind w:left="3501" w:hanging="180"/>
      </w:pPr>
    </w:lvl>
    <w:lvl w:ilvl="3" w:tplc="040C000F" w:tentative="1">
      <w:start w:val="1"/>
      <w:numFmt w:val="decimal"/>
      <w:lvlText w:val="%4."/>
      <w:lvlJc w:val="left"/>
      <w:pPr>
        <w:ind w:left="4221" w:hanging="360"/>
      </w:pPr>
    </w:lvl>
    <w:lvl w:ilvl="4" w:tplc="040C0019" w:tentative="1">
      <w:start w:val="1"/>
      <w:numFmt w:val="lowerLetter"/>
      <w:lvlText w:val="%5."/>
      <w:lvlJc w:val="left"/>
      <w:pPr>
        <w:ind w:left="4941" w:hanging="360"/>
      </w:pPr>
    </w:lvl>
    <w:lvl w:ilvl="5" w:tplc="040C001B" w:tentative="1">
      <w:start w:val="1"/>
      <w:numFmt w:val="lowerRoman"/>
      <w:lvlText w:val="%6."/>
      <w:lvlJc w:val="right"/>
      <w:pPr>
        <w:ind w:left="5661" w:hanging="180"/>
      </w:pPr>
    </w:lvl>
    <w:lvl w:ilvl="6" w:tplc="040C000F" w:tentative="1">
      <w:start w:val="1"/>
      <w:numFmt w:val="decimal"/>
      <w:lvlText w:val="%7."/>
      <w:lvlJc w:val="left"/>
      <w:pPr>
        <w:ind w:left="6381" w:hanging="360"/>
      </w:pPr>
    </w:lvl>
    <w:lvl w:ilvl="7" w:tplc="040C0019" w:tentative="1">
      <w:start w:val="1"/>
      <w:numFmt w:val="lowerLetter"/>
      <w:lvlText w:val="%8."/>
      <w:lvlJc w:val="left"/>
      <w:pPr>
        <w:ind w:left="7101" w:hanging="360"/>
      </w:pPr>
    </w:lvl>
    <w:lvl w:ilvl="8" w:tplc="040C001B" w:tentative="1">
      <w:start w:val="1"/>
      <w:numFmt w:val="lowerRoman"/>
      <w:lvlText w:val="%9."/>
      <w:lvlJc w:val="right"/>
      <w:pPr>
        <w:ind w:left="7821" w:hanging="180"/>
      </w:pPr>
    </w:lvl>
  </w:abstractNum>
  <w:abstractNum w:abstractNumId="18">
    <w:nsid w:val="71E236B7"/>
    <w:multiLevelType w:val="hybridMultilevel"/>
    <w:tmpl w:val="E2AC5B22"/>
    <w:lvl w:ilvl="0" w:tplc="CBE2113E">
      <w:start w:val="3"/>
      <w:numFmt w:val="decimal"/>
      <w:lvlRestart w:val="0"/>
      <w:lvlText w:val="%1."/>
      <w:lvlJc w:val="left"/>
      <w:pPr>
        <w:tabs>
          <w:tab w:val="num" w:pos="475"/>
        </w:tabs>
        <w:ind w:left="0" w:firstLine="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6"/>
  </w:num>
  <w:num w:numId="4">
    <w:abstractNumId w:val="13"/>
  </w:num>
  <w:num w:numId="5">
    <w:abstractNumId w:val="0"/>
  </w:num>
  <w:num w:numId="6">
    <w:abstractNumId w:val="14"/>
  </w:num>
  <w:num w:numId="7">
    <w:abstractNumId w:val="11"/>
  </w:num>
  <w:num w:numId="8">
    <w:abstractNumId w:val="7"/>
  </w:num>
  <w:num w:numId="9">
    <w:abstractNumId w:val="19"/>
  </w:num>
  <w:num w:numId="10">
    <w:abstractNumId w:val="15"/>
  </w:num>
  <w:num w:numId="11">
    <w:abstractNumId w:val="12"/>
  </w:num>
  <w:num w:numId="12">
    <w:abstractNumId w:val="1"/>
  </w:num>
  <w:num w:numId="13">
    <w:abstractNumId w:val="16"/>
  </w:num>
  <w:num w:numId="14">
    <w:abstractNumId w:val="17"/>
  </w:num>
  <w:num w:numId="15">
    <w:abstractNumId w:val="10"/>
  </w:num>
  <w:num w:numId="16">
    <w:abstractNumId w:val="8"/>
  </w:num>
  <w:num w:numId="17">
    <w:abstractNumId w:val="5"/>
  </w:num>
  <w:num w:numId="18">
    <w:abstractNumId w:val="18"/>
  </w:num>
  <w:num w:numId="19">
    <w:abstractNumId w:val="2"/>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SortMethod w:val="0003"/>
  <w:defaultTabStop w:val="475"/>
  <w:hyphenationZone w:val="425"/>
  <w:doNotHyphenateCaps/>
  <w:evenAndOddHeaders/>
  <w:characterSpacingControl w:val="doNotCompress"/>
  <w:hdrShapeDefaults>
    <o:shapedefaults v:ext="edit" spidmax="15362"/>
  </w:hdrShapeDefaults>
  <w:footnotePr>
    <w:footnote w:id="-1"/>
    <w:footnote w:id="0"/>
  </w:footnotePr>
  <w:endnotePr>
    <w:pos w:val="sectEnd"/>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
  <w:docVars>
    <w:docVar w:name="Barcode" w:val="*1510984*"/>
    <w:docVar w:name="CreationDt" w:val="8/12/2015 2:27: PM"/>
    <w:docVar w:name="DocCategory" w:val="Doc"/>
    <w:docVar w:name="DocType" w:val="Final"/>
    <w:docVar w:name="DutyStation" w:val="Geneva"/>
    <w:docVar w:name="FooterJN" w:val="GE.15-10984"/>
    <w:docVar w:name="jobn" w:val="GE.15-10984 (F)"/>
    <w:docVar w:name="jobnDT" w:val="GE.15-10984 (F)   120815"/>
    <w:docVar w:name="jobnDTDT" w:val="GE.15-10984 (F)   120815   120815"/>
    <w:docVar w:name="JobNo" w:val="GE.1510984F"/>
    <w:docVar w:name="JobNo2" w:val="GE.1514164F"/>
    <w:docVar w:name="LocalDrive" w:val="0"/>
    <w:docVar w:name="OandT" w:val="Edith"/>
    <w:docVar w:name="PaperSize" w:val="A4"/>
    <w:docVar w:name="sss1" w:val="ECE/TRANS/WP.15/AC.1/2015/38"/>
    <w:docVar w:name="sss2" w:val="-"/>
    <w:docVar w:name="Symbol1" w:val="ECE/TRANS/WP.15/AC.1/2015/38"/>
    <w:docVar w:name="Symbol2" w:val="-"/>
  </w:docVars>
  <w:rsids>
    <w:rsidRoot w:val="002A403B"/>
    <w:rsid w:val="000015B8"/>
    <w:rsid w:val="00002876"/>
    <w:rsid w:val="000046A5"/>
    <w:rsid w:val="000055FB"/>
    <w:rsid w:val="00016483"/>
    <w:rsid w:val="00022173"/>
    <w:rsid w:val="0002226F"/>
    <w:rsid w:val="00022B4A"/>
    <w:rsid w:val="00023E37"/>
    <w:rsid w:val="000249FF"/>
    <w:rsid w:val="00025DE5"/>
    <w:rsid w:val="000274C2"/>
    <w:rsid w:val="00033DC9"/>
    <w:rsid w:val="000378DE"/>
    <w:rsid w:val="00040497"/>
    <w:rsid w:val="00041ABD"/>
    <w:rsid w:val="00046145"/>
    <w:rsid w:val="00046602"/>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76CA"/>
    <w:rsid w:val="00077CC4"/>
    <w:rsid w:val="00083D89"/>
    <w:rsid w:val="00085112"/>
    <w:rsid w:val="0008708F"/>
    <w:rsid w:val="00091A19"/>
    <w:rsid w:val="00091BC1"/>
    <w:rsid w:val="00091DBD"/>
    <w:rsid w:val="00097CF1"/>
    <w:rsid w:val="000A18B6"/>
    <w:rsid w:val="000A24DE"/>
    <w:rsid w:val="000A2612"/>
    <w:rsid w:val="000A3AB1"/>
    <w:rsid w:val="000A4A47"/>
    <w:rsid w:val="000A74D1"/>
    <w:rsid w:val="000B0A79"/>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6F"/>
    <w:rsid w:val="000F53E9"/>
    <w:rsid w:val="000F6A05"/>
    <w:rsid w:val="000F6E7D"/>
    <w:rsid w:val="001027E2"/>
    <w:rsid w:val="0010575E"/>
    <w:rsid w:val="00106549"/>
    <w:rsid w:val="00107710"/>
    <w:rsid w:val="00107C97"/>
    <w:rsid w:val="0011255C"/>
    <w:rsid w:val="001126A7"/>
    <w:rsid w:val="00112FE9"/>
    <w:rsid w:val="0011497A"/>
    <w:rsid w:val="001156F7"/>
    <w:rsid w:val="00116149"/>
    <w:rsid w:val="00120C31"/>
    <w:rsid w:val="00123812"/>
    <w:rsid w:val="001256F6"/>
    <w:rsid w:val="00126641"/>
    <w:rsid w:val="00126FB2"/>
    <w:rsid w:val="0013186C"/>
    <w:rsid w:val="00132A45"/>
    <w:rsid w:val="00134EA8"/>
    <w:rsid w:val="001359FA"/>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80387"/>
    <w:rsid w:val="00183EBF"/>
    <w:rsid w:val="00186793"/>
    <w:rsid w:val="0019082C"/>
    <w:rsid w:val="00192D05"/>
    <w:rsid w:val="00193A8C"/>
    <w:rsid w:val="001A2E2D"/>
    <w:rsid w:val="001A4BAA"/>
    <w:rsid w:val="001A4F4E"/>
    <w:rsid w:val="001A76F3"/>
    <w:rsid w:val="001B5583"/>
    <w:rsid w:val="001B5A24"/>
    <w:rsid w:val="001B64B5"/>
    <w:rsid w:val="001C0599"/>
    <w:rsid w:val="001C3C57"/>
    <w:rsid w:val="001C4664"/>
    <w:rsid w:val="001C4EBE"/>
    <w:rsid w:val="001C5B90"/>
    <w:rsid w:val="001D0E60"/>
    <w:rsid w:val="001D272D"/>
    <w:rsid w:val="001D280C"/>
    <w:rsid w:val="001D294E"/>
    <w:rsid w:val="001E44F3"/>
    <w:rsid w:val="001F053A"/>
    <w:rsid w:val="001F2DA6"/>
    <w:rsid w:val="001F4DBE"/>
    <w:rsid w:val="001F62AF"/>
    <w:rsid w:val="001F793D"/>
    <w:rsid w:val="001F7E9D"/>
    <w:rsid w:val="002021E9"/>
    <w:rsid w:val="00202789"/>
    <w:rsid w:val="00202F1F"/>
    <w:rsid w:val="00205199"/>
    <w:rsid w:val="0020521E"/>
    <w:rsid w:val="00206598"/>
    <w:rsid w:val="00207CAA"/>
    <w:rsid w:val="00210810"/>
    <w:rsid w:val="0021168F"/>
    <w:rsid w:val="002178A7"/>
    <w:rsid w:val="0022040B"/>
    <w:rsid w:val="00220A6E"/>
    <w:rsid w:val="002220FF"/>
    <w:rsid w:val="00237D01"/>
    <w:rsid w:val="00240F64"/>
    <w:rsid w:val="002410E3"/>
    <w:rsid w:val="00241F29"/>
    <w:rsid w:val="00243D1C"/>
    <w:rsid w:val="00245B48"/>
    <w:rsid w:val="00246425"/>
    <w:rsid w:val="00250F27"/>
    <w:rsid w:val="00252402"/>
    <w:rsid w:val="00254656"/>
    <w:rsid w:val="0025545A"/>
    <w:rsid w:val="00261E82"/>
    <w:rsid w:val="0026332C"/>
    <w:rsid w:val="0026552F"/>
    <w:rsid w:val="0026565F"/>
    <w:rsid w:val="00266AFD"/>
    <w:rsid w:val="00270780"/>
    <w:rsid w:val="002730C7"/>
    <w:rsid w:val="0027435B"/>
    <w:rsid w:val="00275967"/>
    <w:rsid w:val="00276E85"/>
    <w:rsid w:val="00280143"/>
    <w:rsid w:val="00280CB7"/>
    <w:rsid w:val="00280E2F"/>
    <w:rsid w:val="002810F0"/>
    <w:rsid w:val="00281BC7"/>
    <w:rsid w:val="00285DC4"/>
    <w:rsid w:val="00286531"/>
    <w:rsid w:val="002867C7"/>
    <w:rsid w:val="00287FF9"/>
    <w:rsid w:val="0029018C"/>
    <w:rsid w:val="002A07EF"/>
    <w:rsid w:val="002A27E5"/>
    <w:rsid w:val="002A403B"/>
    <w:rsid w:val="002A5724"/>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E33"/>
    <w:rsid w:val="002F5482"/>
    <w:rsid w:val="002F5972"/>
    <w:rsid w:val="00303A3C"/>
    <w:rsid w:val="00303D82"/>
    <w:rsid w:val="00303E4E"/>
    <w:rsid w:val="003047D2"/>
    <w:rsid w:val="00306DE1"/>
    <w:rsid w:val="0030788D"/>
    <w:rsid w:val="00307F0E"/>
    <w:rsid w:val="00316628"/>
    <w:rsid w:val="00316B58"/>
    <w:rsid w:val="003235C7"/>
    <w:rsid w:val="00326270"/>
    <w:rsid w:val="0032728E"/>
    <w:rsid w:val="00332A87"/>
    <w:rsid w:val="003342DF"/>
    <w:rsid w:val="00334FEB"/>
    <w:rsid w:val="00337015"/>
    <w:rsid w:val="00337AA5"/>
    <w:rsid w:val="003406CA"/>
    <w:rsid w:val="00340736"/>
    <w:rsid w:val="00342BE0"/>
    <w:rsid w:val="00343F8A"/>
    <w:rsid w:val="003441A5"/>
    <w:rsid w:val="00347E5F"/>
    <w:rsid w:val="003506F1"/>
    <w:rsid w:val="003555DE"/>
    <w:rsid w:val="00355810"/>
    <w:rsid w:val="003559A7"/>
    <w:rsid w:val="00356B67"/>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27A0"/>
    <w:rsid w:val="003F57D1"/>
    <w:rsid w:val="00401219"/>
    <w:rsid w:val="004039C7"/>
    <w:rsid w:val="004065B7"/>
    <w:rsid w:val="004066EB"/>
    <w:rsid w:val="00406E1E"/>
    <w:rsid w:val="00413968"/>
    <w:rsid w:val="00414C9D"/>
    <w:rsid w:val="00415A2B"/>
    <w:rsid w:val="00416293"/>
    <w:rsid w:val="004204AE"/>
    <w:rsid w:val="004212F1"/>
    <w:rsid w:val="0042753D"/>
    <w:rsid w:val="004309B5"/>
    <w:rsid w:val="0043103D"/>
    <w:rsid w:val="00432662"/>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27F7"/>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2FAD"/>
    <w:rsid w:val="004F53F0"/>
    <w:rsid w:val="004F69D3"/>
    <w:rsid w:val="004F6B7C"/>
    <w:rsid w:val="005049A9"/>
    <w:rsid w:val="00505F1C"/>
    <w:rsid w:val="0050603C"/>
    <w:rsid w:val="00506B44"/>
    <w:rsid w:val="005100BC"/>
    <w:rsid w:val="0051451F"/>
    <w:rsid w:val="0051666F"/>
    <w:rsid w:val="0051769E"/>
    <w:rsid w:val="0051772A"/>
    <w:rsid w:val="00517E8B"/>
    <w:rsid w:val="00520271"/>
    <w:rsid w:val="00520B7B"/>
    <w:rsid w:val="00522657"/>
    <w:rsid w:val="00523069"/>
    <w:rsid w:val="00523378"/>
    <w:rsid w:val="0052413A"/>
    <w:rsid w:val="00525A3D"/>
    <w:rsid w:val="00527615"/>
    <w:rsid w:val="00527DD0"/>
    <w:rsid w:val="00533905"/>
    <w:rsid w:val="0053666D"/>
    <w:rsid w:val="005372C0"/>
    <w:rsid w:val="00541630"/>
    <w:rsid w:val="0054168D"/>
    <w:rsid w:val="00542357"/>
    <w:rsid w:val="00551176"/>
    <w:rsid w:val="00551EAE"/>
    <w:rsid w:val="00552150"/>
    <w:rsid w:val="005522D6"/>
    <w:rsid w:val="005536AE"/>
    <w:rsid w:val="00554B37"/>
    <w:rsid w:val="005637C9"/>
    <w:rsid w:val="005669CA"/>
    <w:rsid w:val="00575199"/>
    <w:rsid w:val="00577899"/>
    <w:rsid w:val="00577BDD"/>
    <w:rsid w:val="005811A3"/>
    <w:rsid w:val="00583566"/>
    <w:rsid w:val="00584E7A"/>
    <w:rsid w:val="00585CA8"/>
    <w:rsid w:val="00585DEA"/>
    <w:rsid w:val="0058795C"/>
    <w:rsid w:val="00590A88"/>
    <w:rsid w:val="00591AA0"/>
    <w:rsid w:val="0059357F"/>
    <w:rsid w:val="00593781"/>
    <w:rsid w:val="00594AE2"/>
    <w:rsid w:val="00596647"/>
    <w:rsid w:val="00597A85"/>
    <w:rsid w:val="005A037D"/>
    <w:rsid w:val="005A0DEC"/>
    <w:rsid w:val="005A1E12"/>
    <w:rsid w:val="005A305D"/>
    <w:rsid w:val="005A6A6E"/>
    <w:rsid w:val="005A6D92"/>
    <w:rsid w:val="005A6DD6"/>
    <w:rsid w:val="005A7976"/>
    <w:rsid w:val="005B33A4"/>
    <w:rsid w:val="005B5D99"/>
    <w:rsid w:val="005B74B8"/>
    <w:rsid w:val="005C1353"/>
    <w:rsid w:val="005C3A63"/>
    <w:rsid w:val="005C3EBC"/>
    <w:rsid w:val="005C65C2"/>
    <w:rsid w:val="005D7CA9"/>
    <w:rsid w:val="005F12E0"/>
    <w:rsid w:val="005F2726"/>
    <w:rsid w:val="005F2A30"/>
    <w:rsid w:val="005F2FA6"/>
    <w:rsid w:val="005F35C5"/>
    <w:rsid w:val="005F4DD3"/>
    <w:rsid w:val="005F6A9F"/>
    <w:rsid w:val="005F6E3F"/>
    <w:rsid w:val="0060033F"/>
    <w:rsid w:val="00603211"/>
    <w:rsid w:val="0060375B"/>
    <w:rsid w:val="00606A0C"/>
    <w:rsid w:val="00607448"/>
    <w:rsid w:val="0060792E"/>
    <w:rsid w:val="00611860"/>
    <w:rsid w:val="00611DA0"/>
    <w:rsid w:val="00612407"/>
    <w:rsid w:val="006125AC"/>
    <w:rsid w:val="00617EBE"/>
    <w:rsid w:val="0062117B"/>
    <w:rsid w:val="00622055"/>
    <w:rsid w:val="00632332"/>
    <w:rsid w:val="00632CE1"/>
    <w:rsid w:val="006361EE"/>
    <w:rsid w:val="0063657E"/>
    <w:rsid w:val="00636C70"/>
    <w:rsid w:val="00636EB6"/>
    <w:rsid w:val="006407EF"/>
    <w:rsid w:val="006423E0"/>
    <w:rsid w:val="00646F60"/>
    <w:rsid w:val="00647284"/>
    <w:rsid w:val="0064762B"/>
    <w:rsid w:val="0065016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3A2"/>
    <w:rsid w:val="00684C99"/>
    <w:rsid w:val="006853D8"/>
    <w:rsid w:val="006866E8"/>
    <w:rsid w:val="00687FB1"/>
    <w:rsid w:val="0069608C"/>
    <w:rsid w:val="00697182"/>
    <w:rsid w:val="00697952"/>
    <w:rsid w:val="006A04E6"/>
    <w:rsid w:val="006A0B3D"/>
    <w:rsid w:val="006A2F71"/>
    <w:rsid w:val="006A5910"/>
    <w:rsid w:val="006B1ABC"/>
    <w:rsid w:val="006B2EE5"/>
    <w:rsid w:val="006B64BE"/>
    <w:rsid w:val="006C1A92"/>
    <w:rsid w:val="006C3BDD"/>
    <w:rsid w:val="006C449D"/>
    <w:rsid w:val="006C4914"/>
    <w:rsid w:val="006C7999"/>
    <w:rsid w:val="006D0C9B"/>
    <w:rsid w:val="006D1115"/>
    <w:rsid w:val="006D138E"/>
    <w:rsid w:val="006D1B76"/>
    <w:rsid w:val="006D5832"/>
    <w:rsid w:val="006E215F"/>
    <w:rsid w:val="006E3D5C"/>
    <w:rsid w:val="006E4078"/>
    <w:rsid w:val="006E4E12"/>
    <w:rsid w:val="006E5649"/>
    <w:rsid w:val="006E5DE7"/>
    <w:rsid w:val="006F41DD"/>
    <w:rsid w:val="006F5339"/>
    <w:rsid w:val="006F5A33"/>
    <w:rsid w:val="006F6787"/>
    <w:rsid w:val="006F6EDD"/>
    <w:rsid w:val="007033D2"/>
    <w:rsid w:val="00703C78"/>
    <w:rsid w:val="007046BB"/>
    <w:rsid w:val="00704AF5"/>
    <w:rsid w:val="0070555E"/>
    <w:rsid w:val="00707DF8"/>
    <w:rsid w:val="00711F00"/>
    <w:rsid w:val="00712B80"/>
    <w:rsid w:val="0071328D"/>
    <w:rsid w:val="007146DC"/>
    <w:rsid w:val="00721866"/>
    <w:rsid w:val="0072436A"/>
    <w:rsid w:val="00731515"/>
    <w:rsid w:val="00735F3A"/>
    <w:rsid w:val="00735FB1"/>
    <w:rsid w:val="007367E1"/>
    <w:rsid w:val="007379A0"/>
    <w:rsid w:val="00743131"/>
    <w:rsid w:val="0074339E"/>
    <w:rsid w:val="00744BE5"/>
    <w:rsid w:val="00744D58"/>
    <w:rsid w:val="00745376"/>
    <w:rsid w:val="0074587F"/>
    <w:rsid w:val="00750C8F"/>
    <w:rsid w:val="0075110B"/>
    <w:rsid w:val="007517F6"/>
    <w:rsid w:val="007531C9"/>
    <w:rsid w:val="007537B8"/>
    <w:rsid w:val="00754913"/>
    <w:rsid w:val="00755393"/>
    <w:rsid w:val="007553FC"/>
    <w:rsid w:val="00760F66"/>
    <w:rsid w:val="00761561"/>
    <w:rsid w:val="00761EDA"/>
    <w:rsid w:val="00762F97"/>
    <w:rsid w:val="0076376C"/>
    <w:rsid w:val="0076382E"/>
    <w:rsid w:val="00763AE4"/>
    <w:rsid w:val="00765152"/>
    <w:rsid w:val="00767FBE"/>
    <w:rsid w:val="00770DEF"/>
    <w:rsid w:val="00770EB4"/>
    <w:rsid w:val="00772106"/>
    <w:rsid w:val="00772CF6"/>
    <w:rsid w:val="00772EB1"/>
    <w:rsid w:val="00774368"/>
    <w:rsid w:val="0077589C"/>
    <w:rsid w:val="00775BFD"/>
    <w:rsid w:val="007769D2"/>
    <w:rsid w:val="00780058"/>
    <w:rsid w:val="007804F4"/>
    <w:rsid w:val="00781F43"/>
    <w:rsid w:val="0078267A"/>
    <w:rsid w:val="00783270"/>
    <w:rsid w:val="0078374C"/>
    <w:rsid w:val="007842C1"/>
    <w:rsid w:val="007867FB"/>
    <w:rsid w:val="00790459"/>
    <w:rsid w:val="00790682"/>
    <w:rsid w:val="00790789"/>
    <w:rsid w:val="00791633"/>
    <w:rsid w:val="00792100"/>
    <w:rsid w:val="0079292B"/>
    <w:rsid w:val="0079302E"/>
    <w:rsid w:val="007932B6"/>
    <w:rsid w:val="0079379B"/>
    <w:rsid w:val="0079452A"/>
    <w:rsid w:val="00794EC6"/>
    <w:rsid w:val="00794FED"/>
    <w:rsid w:val="00795AD7"/>
    <w:rsid w:val="007961E2"/>
    <w:rsid w:val="007A345A"/>
    <w:rsid w:val="007A6976"/>
    <w:rsid w:val="007A78C2"/>
    <w:rsid w:val="007B05E9"/>
    <w:rsid w:val="007B1E17"/>
    <w:rsid w:val="007B2B90"/>
    <w:rsid w:val="007C080C"/>
    <w:rsid w:val="007C0C1F"/>
    <w:rsid w:val="007C206E"/>
    <w:rsid w:val="007C20D1"/>
    <w:rsid w:val="007C2936"/>
    <w:rsid w:val="007C5B7B"/>
    <w:rsid w:val="007C5FB9"/>
    <w:rsid w:val="007C662A"/>
    <w:rsid w:val="007C7D7F"/>
    <w:rsid w:val="007D33BA"/>
    <w:rsid w:val="007D6FCB"/>
    <w:rsid w:val="007D7FD4"/>
    <w:rsid w:val="007E1E8C"/>
    <w:rsid w:val="007E2FEB"/>
    <w:rsid w:val="007E74E9"/>
    <w:rsid w:val="007F0ED6"/>
    <w:rsid w:val="007F3DCC"/>
    <w:rsid w:val="007F49BD"/>
    <w:rsid w:val="007F5546"/>
    <w:rsid w:val="007F6F95"/>
    <w:rsid w:val="007F77CB"/>
    <w:rsid w:val="007F7D0F"/>
    <w:rsid w:val="00800903"/>
    <w:rsid w:val="008040BA"/>
    <w:rsid w:val="00804131"/>
    <w:rsid w:val="00804565"/>
    <w:rsid w:val="00806A3B"/>
    <w:rsid w:val="00807CA4"/>
    <w:rsid w:val="008100FD"/>
    <w:rsid w:val="008114C3"/>
    <w:rsid w:val="008173CF"/>
    <w:rsid w:val="00817884"/>
    <w:rsid w:val="0082537E"/>
    <w:rsid w:val="00825C31"/>
    <w:rsid w:val="00833A79"/>
    <w:rsid w:val="00833BFF"/>
    <w:rsid w:val="0083677A"/>
    <w:rsid w:val="00837284"/>
    <w:rsid w:val="0083731D"/>
    <w:rsid w:val="00837549"/>
    <w:rsid w:val="008415FE"/>
    <w:rsid w:val="00842319"/>
    <w:rsid w:val="008435C2"/>
    <w:rsid w:val="00844B5C"/>
    <w:rsid w:val="00846431"/>
    <w:rsid w:val="00851353"/>
    <w:rsid w:val="008555BA"/>
    <w:rsid w:val="00856155"/>
    <w:rsid w:val="00856CD0"/>
    <w:rsid w:val="008579A6"/>
    <w:rsid w:val="00860226"/>
    <w:rsid w:val="00860E42"/>
    <w:rsid w:val="00861D7A"/>
    <w:rsid w:val="00862E29"/>
    <w:rsid w:val="00863E44"/>
    <w:rsid w:val="0086499F"/>
    <w:rsid w:val="00865A5F"/>
    <w:rsid w:val="00867D33"/>
    <w:rsid w:val="00867D48"/>
    <w:rsid w:val="00867F04"/>
    <w:rsid w:val="008703DB"/>
    <w:rsid w:val="008710A1"/>
    <w:rsid w:val="00872DE1"/>
    <w:rsid w:val="0087489F"/>
    <w:rsid w:val="00875E49"/>
    <w:rsid w:val="0088158E"/>
    <w:rsid w:val="0088258D"/>
    <w:rsid w:val="008829F3"/>
    <w:rsid w:val="00882D4B"/>
    <w:rsid w:val="00884CC6"/>
    <w:rsid w:val="00887256"/>
    <w:rsid w:val="00890BEA"/>
    <w:rsid w:val="00890EF0"/>
    <w:rsid w:val="00891ADA"/>
    <w:rsid w:val="008962D4"/>
    <w:rsid w:val="008A3ABC"/>
    <w:rsid w:val="008A4C0E"/>
    <w:rsid w:val="008A5334"/>
    <w:rsid w:val="008A630B"/>
    <w:rsid w:val="008A734B"/>
    <w:rsid w:val="008B12AB"/>
    <w:rsid w:val="008B24ED"/>
    <w:rsid w:val="008B5932"/>
    <w:rsid w:val="008C1225"/>
    <w:rsid w:val="008C1646"/>
    <w:rsid w:val="008C189A"/>
    <w:rsid w:val="008C1E51"/>
    <w:rsid w:val="008C5E6B"/>
    <w:rsid w:val="008C6672"/>
    <w:rsid w:val="008C7ADF"/>
    <w:rsid w:val="008D2DCF"/>
    <w:rsid w:val="008D3043"/>
    <w:rsid w:val="008D3318"/>
    <w:rsid w:val="008D4C00"/>
    <w:rsid w:val="008D4CD1"/>
    <w:rsid w:val="008D52CD"/>
    <w:rsid w:val="008D5C5F"/>
    <w:rsid w:val="008D613D"/>
    <w:rsid w:val="008D64D5"/>
    <w:rsid w:val="008D756B"/>
    <w:rsid w:val="008E1E88"/>
    <w:rsid w:val="008E4FFA"/>
    <w:rsid w:val="008E5CC1"/>
    <w:rsid w:val="008E6532"/>
    <w:rsid w:val="008E7FF5"/>
    <w:rsid w:val="008F125F"/>
    <w:rsid w:val="008F3DAE"/>
    <w:rsid w:val="008F5427"/>
    <w:rsid w:val="008F6630"/>
    <w:rsid w:val="008F7622"/>
    <w:rsid w:val="0090311E"/>
    <w:rsid w:val="0090438E"/>
    <w:rsid w:val="0090670A"/>
    <w:rsid w:val="0090704E"/>
    <w:rsid w:val="00907A1C"/>
    <w:rsid w:val="009133F5"/>
    <w:rsid w:val="00914786"/>
    <w:rsid w:val="00915680"/>
    <w:rsid w:val="00915FB9"/>
    <w:rsid w:val="0091610E"/>
    <w:rsid w:val="00916373"/>
    <w:rsid w:val="00916548"/>
    <w:rsid w:val="00916A77"/>
    <w:rsid w:val="00921BE8"/>
    <w:rsid w:val="00922E3D"/>
    <w:rsid w:val="009316DC"/>
    <w:rsid w:val="00931752"/>
    <w:rsid w:val="0093216B"/>
    <w:rsid w:val="00932FDF"/>
    <w:rsid w:val="00936529"/>
    <w:rsid w:val="00940B65"/>
    <w:rsid w:val="0094133A"/>
    <w:rsid w:val="009419AD"/>
    <w:rsid w:val="0095064A"/>
    <w:rsid w:val="00951A0B"/>
    <w:rsid w:val="009535B3"/>
    <w:rsid w:val="00953A36"/>
    <w:rsid w:val="00955DBA"/>
    <w:rsid w:val="00957244"/>
    <w:rsid w:val="00962CAC"/>
    <w:rsid w:val="00964BDE"/>
    <w:rsid w:val="009676D3"/>
    <w:rsid w:val="00971E24"/>
    <w:rsid w:val="00972249"/>
    <w:rsid w:val="0098128C"/>
    <w:rsid w:val="009813FE"/>
    <w:rsid w:val="00983DD0"/>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325B"/>
    <w:rsid w:val="009A3FE3"/>
    <w:rsid w:val="009A41C9"/>
    <w:rsid w:val="009A4787"/>
    <w:rsid w:val="009A7DEC"/>
    <w:rsid w:val="009B0AF7"/>
    <w:rsid w:val="009B0BFB"/>
    <w:rsid w:val="009B4398"/>
    <w:rsid w:val="009B4EEC"/>
    <w:rsid w:val="009C1815"/>
    <w:rsid w:val="009C5249"/>
    <w:rsid w:val="009C70D0"/>
    <w:rsid w:val="009C7F1B"/>
    <w:rsid w:val="009D3681"/>
    <w:rsid w:val="009D5A2E"/>
    <w:rsid w:val="009D6F13"/>
    <w:rsid w:val="009D702B"/>
    <w:rsid w:val="009E0573"/>
    <w:rsid w:val="009E06DE"/>
    <w:rsid w:val="009E246F"/>
    <w:rsid w:val="009E2F39"/>
    <w:rsid w:val="009E76A1"/>
    <w:rsid w:val="009F004A"/>
    <w:rsid w:val="009F235E"/>
    <w:rsid w:val="009F29EB"/>
    <w:rsid w:val="009F2D3B"/>
    <w:rsid w:val="009F3C78"/>
    <w:rsid w:val="009F5ACE"/>
    <w:rsid w:val="009F7FE9"/>
    <w:rsid w:val="00A00A92"/>
    <w:rsid w:val="00A02426"/>
    <w:rsid w:val="00A051CB"/>
    <w:rsid w:val="00A0589C"/>
    <w:rsid w:val="00A06CAB"/>
    <w:rsid w:val="00A12A69"/>
    <w:rsid w:val="00A12DBB"/>
    <w:rsid w:val="00A150A7"/>
    <w:rsid w:val="00A151B8"/>
    <w:rsid w:val="00A157E7"/>
    <w:rsid w:val="00A210DD"/>
    <w:rsid w:val="00A21443"/>
    <w:rsid w:val="00A2199A"/>
    <w:rsid w:val="00A22ED0"/>
    <w:rsid w:val="00A24099"/>
    <w:rsid w:val="00A264B0"/>
    <w:rsid w:val="00A2768E"/>
    <w:rsid w:val="00A33E3C"/>
    <w:rsid w:val="00A3426E"/>
    <w:rsid w:val="00A353ED"/>
    <w:rsid w:val="00A375D9"/>
    <w:rsid w:val="00A37FBB"/>
    <w:rsid w:val="00A4236C"/>
    <w:rsid w:val="00A428E8"/>
    <w:rsid w:val="00A43CAC"/>
    <w:rsid w:val="00A45E20"/>
    <w:rsid w:val="00A46DB8"/>
    <w:rsid w:val="00A52DF2"/>
    <w:rsid w:val="00A53AFB"/>
    <w:rsid w:val="00A54A5E"/>
    <w:rsid w:val="00A55810"/>
    <w:rsid w:val="00A56E3B"/>
    <w:rsid w:val="00A57C5A"/>
    <w:rsid w:val="00A64AD2"/>
    <w:rsid w:val="00A72C1F"/>
    <w:rsid w:val="00A72F5E"/>
    <w:rsid w:val="00A75482"/>
    <w:rsid w:val="00A761B5"/>
    <w:rsid w:val="00A83A49"/>
    <w:rsid w:val="00A83E5E"/>
    <w:rsid w:val="00A84C12"/>
    <w:rsid w:val="00A85CA4"/>
    <w:rsid w:val="00A85D04"/>
    <w:rsid w:val="00A85DB4"/>
    <w:rsid w:val="00A86044"/>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C7E83"/>
    <w:rsid w:val="00AD3D04"/>
    <w:rsid w:val="00AD500D"/>
    <w:rsid w:val="00AD7C27"/>
    <w:rsid w:val="00AE0DF0"/>
    <w:rsid w:val="00AE10E9"/>
    <w:rsid w:val="00AE164F"/>
    <w:rsid w:val="00AE1FB8"/>
    <w:rsid w:val="00AE3F87"/>
    <w:rsid w:val="00AE73A1"/>
    <w:rsid w:val="00AF4648"/>
    <w:rsid w:val="00AF4DC6"/>
    <w:rsid w:val="00AF4DD3"/>
    <w:rsid w:val="00AF6B78"/>
    <w:rsid w:val="00B01631"/>
    <w:rsid w:val="00B01D80"/>
    <w:rsid w:val="00B04AEC"/>
    <w:rsid w:val="00B05198"/>
    <w:rsid w:val="00B0544B"/>
    <w:rsid w:val="00B06C4C"/>
    <w:rsid w:val="00B10BF5"/>
    <w:rsid w:val="00B145B5"/>
    <w:rsid w:val="00B152AC"/>
    <w:rsid w:val="00B16C8B"/>
    <w:rsid w:val="00B20969"/>
    <w:rsid w:val="00B22BE8"/>
    <w:rsid w:val="00B2356B"/>
    <w:rsid w:val="00B249F3"/>
    <w:rsid w:val="00B25B74"/>
    <w:rsid w:val="00B26B93"/>
    <w:rsid w:val="00B26C0B"/>
    <w:rsid w:val="00B27126"/>
    <w:rsid w:val="00B30642"/>
    <w:rsid w:val="00B3102C"/>
    <w:rsid w:val="00B32CDE"/>
    <w:rsid w:val="00B362BE"/>
    <w:rsid w:val="00B363A2"/>
    <w:rsid w:val="00B37213"/>
    <w:rsid w:val="00B41711"/>
    <w:rsid w:val="00B44EB6"/>
    <w:rsid w:val="00B503F3"/>
    <w:rsid w:val="00B504C9"/>
    <w:rsid w:val="00B520AB"/>
    <w:rsid w:val="00B52A47"/>
    <w:rsid w:val="00B53FB4"/>
    <w:rsid w:val="00B541C6"/>
    <w:rsid w:val="00B556DD"/>
    <w:rsid w:val="00B5798F"/>
    <w:rsid w:val="00B57EB0"/>
    <w:rsid w:val="00B61CB4"/>
    <w:rsid w:val="00B65DB9"/>
    <w:rsid w:val="00B66644"/>
    <w:rsid w:val="00B67756"/>
    <w:rsid w:val="00B70DA9"/>
    <w:rsid w:val="00B712B0"/>
    <w:rsid w:val="00B71802"/>
    <w:rsid w:val="00B7200B"/>
    <w:rsid w:val="00B77EB8"/>
    <w:rsid w:val="00B80C2E"/>
    <w:rsid w:val="00B81A2A"/>
    <w:rsid w:val="00B84109"/>
    <w:rsid w:val="00B85BDA"/>
    <w:rsid w:val="00B870D6"/>
    <w:rsid w:val="00B874A9"/>
    <w:rsid w:val="00B932C8"/>
    <w:rsid w:val="00B93B31"/>
    <w:rsid w:val="00B9457F"/>
    <w:rsid w:val="00B965BF"/>
    <w:rsid w:val="00BA06B1"/>
    <w:rsid w:val="00BA1D06"/>
    <w:rsid w:val="00BA3125"/>
    <w:rsid w:val="00BA3654"/>
    <w:rsid w:val="00BA600B"/>
    <w:rsid w:val="00BC0F9A"/>
    <w:rsid w:val="00BC1AF0"/>
    <w:rsid w:val="00BC43E2"/>
    <w:rsid w:val="00BD0917"/>
    <w:rsid w:val="00BD1607"/>
    <w:rsid w:val="00BD3AB8"/>
    <w:rsid w:val="00BD45A0"/>
    <w:rsid w:val="00BD53E7"/>
    <w:rsid w:val="00BE1D55"/>
    <w:rsid w:val="00BE2F51"/>
    <w:rsid w:val="00BE3214"/>
    <w:rsid w:val="00BE5325"/>
    <w:rsid w:val="00BE5439"/>
    <w:rsid w:val="00BE62DB"/>
    <w:rsid w:val="00BE7E1A"/>
    <w:rsid w:val="00BF041C"/>
    <w:rsid w:val="00BF055A"/>
    <w:rsid w:val="00BF0B13"/>
    <w:rsid w:val="00BF651C"/>
    <w:rsid w:val="00BF7BD3"/>
    <w:rsid w:val="00C01B04"/>
    <w:rsid w:val="00C01B3A"/>
    <w:rsid w:val="00C03721"/>
    <w:rsid w:val="00C05291"/>
    <w:rsid w:val="00C06025"/>
    <w:rsid w:val="00C067A3"/>
    <w:rsid w:val="00C115C1"/>
    <w:rsid w:val="00C118DD"/>
    <w:rsid w:val="00C13C81"/>
    <w:rsid w:val="00C14A5C"/>
    <w:rsid w:val="00C14B0A"/>
    <w:rsid w:val="00C1797A"/>
    <w:rsid w:val="00C23EFE"/>
    <w:rsid w:val="00C26CD3"/>
    <w:rsid w:val="00C3047B"/>
    <w:rsid w:val="00C30749"/>
    <w:rsid w:val="00C3163F"/>
    <w:rsid w:val="00C35E4D"/>
    <w:rsid w:val="00C40C57"/>
    <w:rsid w:val="00C436F7"/>
    <w:rsid w:val="00C45692"/>
    <w:rsid w:val="00C46175"/>
    <w:rsid w:val="00C47E57"/>
    <w:rsid w:val="00C538A4"/>
    <w:rsid w:val="00C54B25"/>
    <w:rsid w:val="00C55B02"/>
    <w:rsid w:val="00C56142"/>
    <w:rsid w:val="00C56B3A"/>
    <w:rsid w:val="00C56EFE"/>
    <w:rsid w:val="00C57F00"/>
    <w:rsid w:val="00C60C0B"/>
    <w:rsid w:val="00C61524"/>
    <w:rsid w:val="00C66382"/>
    <w:rsid w:val="00C67F09"/>
    <w:rsid w:val="00C72788"/>
    <w:rsid w:val="00C75F9C"/>
    <w:rsid w:val="00C76A5E"/>
    <w:rsid w:val="00C865D9"/>
    <w:rsid w:val="00C87110"/>
    <w:rsid w:val="00C90813"/>
    <w:rsid w:val="00C90C2B"/>
    <w:rsid w:val="00C91FA8"/>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2150"/>
    <w:rsid w:val="00D12CFB"/>
    <w:rsid w:val="00D1326C"/>
    <w:rsid w:val="00D1431B"/>
    <w:rsid w:val="00D14690"/>
    <w:rsid w:val="00D15BBA"/>
    <w:rsid w:val="00D16F48"/>
    <w:rsid w:val="00D17215"/>
    <w:rsid w:val="00D265B2"/>
    <w:rsid w:val="00D26BA6"/>
    <w:rsid w:val="00D27D4B"/>
    <w:rsid w:val="00D320C3"/>
    <w:rsid w:val="00D33B40"/>
    <w:rsid w:val="00D35146"/>
    <w:rsid w:val="00D3596F"/>
    <w:rsid w:val="00D42F04"/>
    <w:rsid w:val="00D447E5"/>
    <w:rsid w:val="00D457D0"/>
    <w:rsid w:val="00D463A4"/>
    <w:rsid w:val="00D4699C"/>
    <w:rsid w:val="00D47877"/>
    <w:rsid w:val="00D513A1"/>
    <w:rsid w:val="00D52B15"/>
    <w:rsid w:val="00D57D07"/>
    <w:rsid w:val="00D618E7"/>
    <w:rsid w:val="00D619A2"/>
    <w:rsid w:val="00D66AB5"/>
    <w:rsid w:val="00D676A0"/>
    <w:rsid w:val="00D70856"/>
    <w:rsid w:val="00D721C4"/>
    <w:rsid w:val="00D73117"/>
    <w:rsid w:val="00D73D86"/>
    <w:rsid w:val="00D758D1"/>
    <w:rsid w:val="00D8335C"/>
    <w:rsid w:val="00D9068D"/>
    <w:rsid w:val="00D92B16"/>
    <w:rsid w:val="00D93862"/>
    <w:rsid w:val="00D93CC2"/>
    <w:rsid w:val="00D9629E"/>
    <w:rsid w:val="00D97633"/>
    <w:rsid w:val="00DA2106"/>
    <w:rsid w:val="00DA23EB"/>
    <w:rsid w:val="00DA4ECD"/>
    <w:rsid w:val="00DB02EF"/>
    <w:rsid w:val="00DB0A56"/>
    <w:rsid w:val="00DB1699"/>
    <w:rsid w:val="00DB3DC8"/>
    <w:rsid w:val="00DB5115"/>
    <w:rsid w:val="00DB5177"/>
    <w:rsid w:val="00DB5C75"/>
    <w:rsid w:val="00DB66E6"/>
    <w:rsid w:val="00DC23FE"/>
    <w:rsid w:val="00DC38B9"/>
    <w:rsid w:val="00DC5B37"/>
    <w:rsid w:val="00DC5DDD"/>
    <w:rsid w:val="00DD309E"/>
    <w:rsid w:val="00DE01B6"/>
    <w:rsid w:val="00DE1304"/>
    <w:rsid w:val="00DE1DD3"/>
    <w:rsid w:val="00DE1FBD"/>
    <w:rsid w:val="00DE4677"/>
    <w:rsid w:val="00DE64ED"/>
    <w:rsid w:val="00DF064D"/>
    <w:rsid w:val="00DF0CBF"/>
    <w:rsid w:val="00E003D9"/>
    <w:rsid w:val="00E00C20"/>
    <w:rsid w:val="00E028F6"/>
    <w:rsid w:val="00E0753F"/>
    <w:rsid w:val="00E10BF1"/>
    <w:rsid w:val="00E11B5C"/>
    <w:rsid w:val="00E13E2B"/>
    <w:rsid w:val="00E22DB7"/>
    <w:rsid w:val="00E23C1B"/>
    <w:rsid w:val="00E24D2B"/>
    <w:rsid w:val="00E25DDC"/>
    <w:rsid w:val="00E345BF"/>
    <w:rsid w:val="00E34D59"/>
    <w:rsid w:val="00E35C78"/>
    <w:rsid w:val="00E405EA"/>
    <w:rsid w:val="00E40877"/>
    <w:rsid w:val="00E51F8B"/>
    <w:rsid w:val="00E51FCF"/>
    <w:rsid w:val="00E529D4"/>
    <w:rsid w:val="00E53839"/>
    <w:rsid w:val="00E53C18"/>
    <w:rsid w:val="00E53F41"/>
    <w:rsid w:val="00E54488"/>
    <w:rsid w:val="00E56D2F"/>
    <w:rsid w:val="00E635B9"/>
    <w:rsid w:val="00E6363C"/>
    <w:rsid w:val="00E66700"/>
    <w:rsid w:val="00E66795"/>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6A"/>
    <w:rsid w:val="00EA4196"/>
    <w:rsid w:val="00EB0BAE"/>
    <w:rsid w:val="00EB0F20"/>
    <w:rsid w:val="00EB1632"/>
    <w:rsid w:val="00EB4086"/>
    <w:rsid w:val="00EB4EB6"/>
    <w:rsid w:val="00EB535D"/>
    <w:rsid w:val="00EC34E0"/>
    <w:rsid w:val="00EC5385"/>
    <w:rsid w:val="00EC5430"/>
    <w:rsid w:val="00EC60B6"/>
    <w:rsid w:val="00EC6373"/>
    <w:rsid w:val="00EC7853"/>
    <w:rsid w:val="00ED047D"/>
    <w:rsid w:val="00ED0A59"/>
    <w:rsid w:val="00ED297E"/>
    <w:rsid w:val="00ED4626"/>
    <w:rsid w:val="00ED5B3C"/>
    <w:rsid w:val="00ED6674"/>
    <w:rsid w:val="00ED732D"/>
    <w:rsid w:val="00ED7BC4"/>
    <w:rsid w:val="00EE104D"/>
    <w:rsid w:val="00EE2262"/>
    <w:rsid w:val="00EE2788"/>
    <w:rsid w:val="00EE38A9"/>
    <w:rsid w:val="00EE5F6D"/>
    <w:rsid w:val="00EF0701"/>
    <w:rsid w:val="00EF11F2"/>
    <w:rsid w:val="00EF236F"/>
    <w:rsid w:val="00EF3067"/>
    <w:rsid w:val="00EF3691"/>
    <w:rsid w:val="00EF6384"/>
    <w:rsid w:val="00F03AFB"/>
    <w:rsid w:val="00F03CB2"/>
    <w:rsid w:val="00F10D73"/>
    <w:rsid w:val="00F13DC7"/>
    <w:rsid w:val="00F14729"/>
    <w:rsid w:val="00F14ED7"/>
    <w:rsid w:val="00F150D6"/>
    <w:rsid w:val="00F17670"/>
    <w:rsid w:val="00F17A90"/>
    <w:rsid w:val="00F2031D"/>
    <w:rsid w:val="00F23332"/>
    <w:rsid w:val="00F2622B"/>
    <w:rsid w:val="00F26369"/>
    <w:rsid w:val="00F31671"/>
    <w:rsid w:val="00F3240D"/>
    <w:rsid w:val="00F328DE"/>
    <w:rsid w:val="00F3330B"/>
    <w:rsid w:val="00F357CB"/>
    <w:rsid w:val="00F35CA0"/>
    <w:rsid w:val="00F36A57"/>
    <w:rsid w:val="00F36D20"/>
    <w:rsid w:val="00F4019F"/>
    <w:rsid w:val="00F4328A"/>
    <w:rsid w:val="00F44706"/>
    <w:rsid w:val="00F44A91"/>
    <w:rsid w:val="00F45420"/>
    <w:rsid w:val="00F51EF7"/>
    <w:rsid w:val="00F52A72"/>
    <w:rsid w:val="00F53ED8"/>
    <w:rsid w:val="00F54C59"/>
    <w:rsid w:val="00F609CB"/>
    <w:rsid w:val="00F63983"/>
    <w:rsid w:val="00F64004"/>
    <w:rsid w:val="00F642D3"/>
    <w:rsid w:val="00F65F73"/>
    <w:rsid w:val="00F6631A"/>
    <w:rsid w:val="00F66E3F"/>
    <w:rsid w:val="00F70436"/>
    <w:rsid w:val="00F713DB"/>
    <w:rsid w:val="00F730A9"/>
    <w:rsid w:val="00F735FC"/>
    <w:rsid w:val="00F738D2"/>
    <w:rsid w:val="00F73A7C"/>
    <w:rsid w:val="00F75F3B"/>
    <w:rsid w:val="00F76551"/>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0C5F"/>
    <w:rsid w:val="00FB0D79"/>
    <w:rsid w:val="00FB3AA4"/>
    <w:rsid w:val="00FB3C35"/>
    <w:rsid w:val="00FB4627"/>
    <w:rsid w:val="00FC0F57"/>
    <w:rsid w:val="00FC1BC9"/>
    <w:rsid w:val="00FC4133"/>
    <w:rsid w:val="00FC41DA"/>
    <w:rsid w:val="00FC5C65"/>
    <w:rsid w:val="00FC75B8"/>
    <w:rsid w:val="00FC75D3"/>
    <w:rsid w:val="00FD318F"/>
    <w:rsid w:val="00FD54BE"/>
    <w:rsid w:val="00FD6CDC"/>
    <w:rsid w:val="00FD7CD4"/>
    <w:rsid w:val="00FE2498"/>
    <w:rsid w:val="00FE3548"/>
    <w:rsid w:val="00FE3F2D"/>
    <w:rsid w:val="00FE6556"/>
    <w:rsid w:val="00FF09A4"/>
    <w:rsid w:val="00FF204B"/>
    <w:rsid w:val="00FF2151"/>
    <w:rsid w:val="00FF2899"/>
    <w:rsid w:val="00FF3067"/>
    <w:rsid w:val="00FF30B7"/>
    <w:rsid w:val="00FF4236"/>
    <w:rsid w:val="00FF5A88"/>
    <w:rsid w:val="00FF6271"/>
    <w:rsid w:val="00FF6C87"/>
    <w:rsid w:val="00FF7A9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semiHidden="0" w:uiPriority="0" w:unhideWhenUsed="0"/>
    <w:lsdException w:name="footer" w:semiHidden="0" w:uiPriority="0" w:unhideWhenUsed="0" w:qFormat="1"/>
    <w:lsdException w:name="caption" w:uiPriority="35" w:qFormat="1"/>
    <w:lsdException w:name="footnote reference" w:uiPriority="0"/>
    <w:lsdException w:name="annotation reference" w:uiPriority="0"/>
    <w:lsdException w:name="line number" w:semiHidden="0" w:unhideWhenUsed="0" w:qFormat="1"/>
    <w:lsdException w:name="page number" w:uiPriority="0"/>
    <w:lsdException w:name="endnote reference" w:semiHidden="0" w:uiPriority="0" w:unhideWhenUsed="0"/>
    <w:lsdException w:name="endnote text" w:uiPriority="0"/>
    <w:lsdException w:name="Title" w:uiPriority="10" w:unhideWhenUsed="0"/>
    <w:lsdException w:name="Default Paragraph Font" w:uiPriority="1"/>
    <w:lsdException w:name="Subtitle" w:uiPriority="11" w:unhideWhenUsed="0"/>
    <w:lsdException w:name="Hyperlink" w:uiPriority="0"/>
    <w:lsdException w:name="FollowedHyperlink" w:uiPriority="0"/>
    <w:lsdException w:name="Strong" w:semiHidden="0" w:uiPriority="22" w:unhideWhenUsed="0"/>
    <w:lsdException w:name="Emphasis" w:uiPriority="20" w:unhideWhenUsed="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Titre1">
    <w:name w:val="heading 1"/>
    <w:aliases w:val="Table_G"/>
    <w:basedOn w:val="Normal"/>
    <w:next w:val="Normal"/>
    <w:link w:val="Titre1Car"/>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Titre2">
    <w:name w:val="heading 2"/>
    <w:basedOn w:val="Normal"/>
    <w:next w:val="Normal"/>
    <w:link w:val="Titre2Car"/>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Titre3">
    <w:name w:val="heading 3"/>
    <w:basedOn w:val="Normal"/>
    <w:next w:val="Normal"/>
    <w:link w:val="Titre3Car"/>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Titre4">
    <w:name w:val="heading 4"/>
    <w:basedOn w:val="Normal"/>
    <w:next w:val="Normal"/>
    <w:link w:val="Titre4Car"/>
    <w:unhideWhenUsed/>
    <w:qFormat/>
    <w:rsid w:val="000055FB"/>
    <w:pPr>
      <w:keepNext/>
      <w:keepLines/>
      <w:numPr>
        <w:ilvl w:val="3"/>
        <w:numId w:val="1"/>
      </w:numPr>
      <w:spacing w:before="200"/>
      <w:outlineLvl w:val="3"/>
    </w:pPr>
    <w:rPr>
      <w:rFonts w:ascii="Cambria" w:eastAsia="Times New Roman" w:hAnsi="Cambria"/>
      <w:b/>
      <w:bCs/>
      <w:i/>
      <w:iCs/>
      <w:color w:val="4F81BD"/>
    </w:rPr>
  </w:style>
  <w:style w:type="paragraph" w:styleId="Titre5">
    <w:name w:val="heading 5"/>
    <w:basedOn w:val="Normal"/>
    <w:next w:val="Normal"/>
    <w:link w:val="Titre5Car"/>
    <w:unhideWhenUsed/>
    <w:qFormat/>
    <w:rsid w:val="000055FB"/>
    <w:pPr>
      <w:keepNext/>
      <w:keepLines/>
      <w:numPr>
        <w:ilvl w:val="4"/>
        <w:numId w:val="1"/>
      </w:numPr>
      <w:spacing w:before="200"/>
      <w:outlineLvl w:val="4"/>
    </w:pPr>
    <w:rPr>
      <w:rFonts w:ascii="Cambria" w:eastAsia="Times New Roman" w:hAnsi="Cambria"/>
      <w:color w:val="243F60"/>
    </w:rPr>
  </w:style>
  <w:style w:type="paragraph" w:styleId="Titre6">
    <w:name w:val="heading 6"/>
    <w:basedOn w:val="Normal"/>
    <w:next w:val="Normal"/>
    <w:link w:val="Titre6Car"/>
    <w:unhideWhenUsed/>
    <w:qFormat/>
    <w:rsid w:val="000055FB"/>
    <w:pPr>
      <w:keepNext/>
      <w:keepLines/>
      <w:numPr>
        <w:ilvl w:val="5"/>
        <w:numId w:val="1"/>
      </w:numPr>
      <w:spacing w:before="200"/>
      <w:outlineLvl w:val="5"/>
    </w:pPr>
    <w:rPr>
      <w:rFonts w:ascii="Cambria" w:eastAsia="Times New Roman" w:hAnsi="Cambria"/>
      <w:i/>
      <w:iCs/>
      <w:color w:val="243F60"/>
    </w:rPr>
  </w:style>
  <w:style w:type="paragraph" w:styleId="Titre7">
    <w:name w:val="heading 7"/>
    <w:basedOn w:val="Normal"/>
    <w:next w:val="Normal"/>
    <w:link w:val="Titre7Car"/>
    <w:unhideWhenUsed/>
    <w:qFormat/>
    <w:rsid w:val="005B74B8"/>
    <w:pPr>
      <w:keepNext/>
      <w:keepLines/>
      <w:numPr>
        <w:ilvl w:val="6"/>
        <w:numId w:val="1"/>
      </w:numPr>
      <w:spacing w:before="200"/>
      <w:outlineLvl w:val="6"/>
    </w:pPr>
    <w:rPr>
      <w:rFonts w:ascii="Cambria" w:eastAsia="Times New Roman" w:hAnsi="Cambria"/>
      <w:i/>
      <w:iCs/>
      <w:color w:val="404040"/>
    </w:rPr>
  </w:style>
  <w:style w:type="paragraph" w:styleId="Titre8">
    <w:name w:val="heading 8"/>
    <w:basedOn w:val="Normal"/>
    <w:next w:val="Normal"/>
    <w:link w:val="Titre8Car"/>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Titre9">
    <w:name w:val="heading 9"/>
    <w:basedOn w:val="Normal"/>
    <w:next w:val="Normal"/>
    <w:link w:val="Titre9Car"/>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sid w:val="00745376"/>
    <w:rPr>
      <w:rFonts w:ascii="Arial" w:eastAsia="Times New Roman" w:hAnsi="Arial" w:cs="Times New Roman"/>
      <w:b/>
      <w:bCs/>
      <w:i/>
      <w:color w:val="4F81BD"/>
      <w:spacing w:val="4"/>
      <w:w w:val="103"/>
      <w:kern w:val="14"/>
      <w:sz w:val="28"/>
      <w:szCs w:val="26"/>
    </w:rPr>
  </w:style>
  <w:style w:type="character" w:customStyle="1" w:styleId="Titre3Car">
    <w:name w:val="Titre 3 Car"/>
    <w:link w:val="Titre3"/>
    <w:uiPriority w:val="9"/>
    <w:rsid w:val="00745376"/>
    <w:rPr>
      <w:rFonts w:ascii="Arial" w:eastAsia="Times New Roman" w:hAnsi="Arial" w:cs="Times New Roman"/>
      <w:b/>
      <w:bCs/>
      <w:color w:val="4F81BD"/>
      <w:spacing w:val="4"/>
      <w:w w:val="103"/>
      <w:kern w:val="14"/>
      <w:sz w:val="26"/>
    </w:rPr>
  </w:style>
  <w:style w:type="character" w:customStyle="1" w:styleId="Titre4Car">
    <w:name w:val="Titre 4 Car"/>
    <w:link w:val="Titre4"/>
    <w:uiPriority w:val="9"/>
    <w:rsid w:val="000055FB"/>
    <w:rPr>
      <w:rFonts w:ascii="Cambria" w:eastAsia="Times New Roman" w:hAnsi="Cambria" w:cs="Times New Roman"/>
      <w:b/>
      <w:bCs/>
      <w:i/>
      <w:iCs/>
      <w:color w:val="4F81BD"/>
      <w:spacing w:val="4"/>
      <w:w w:val="103"/>
      <w:kern w:val="14"/>
      <w:sz w:val="20"/>
    </w:rPr>
  </w:style>
  <w:style w:type="character" w:customStyle="1" w:styleId="Titre5Car">
    <w:name w:val="Titre 5 Car"/>
    <w:link w:val="Titre5"/>
    <w:uiPriority w:val="9"/>
    <w:rsid w:val="000055FB"/>
    <w:rPr>
      <w:rFonts w:ascii="Cambria" w:eastAsia="Times New Roman" w:hAnsi="Cambria" w:cs="Times New Roman"/>
      <w:color w:val="243F60"/>
      <w:spacing w:val="4"/>
      <w:w w:val="103"/>
      <w:kern w:val="14"/>
      <w:sz w:val="20"/>
    </w:rPr>
  </w:style>
  <w:style w:type="character" w:customStyle="1" w:styleId="Titre6Car">
    <w:name w:val="Titre 6 Car"/>
    <w:link w:val="Titre6"/>
    <w:uiPriority w:val="9"/>
    <w:rsid w:val="000055FB"/>
    <w:rPr>
      <w:rFonts w:ascii="Cambria" w:eastAsia="Times New Roman" w:hAnsi="Cambria" w:cs="Times New Roman"/>
      <w:i/>
      <w:iCs/>
      <w:color w:val="243F60"/>
      <w:spacing w:val="4"/>
      <w:w w:val="103"/>
      <w:kern w:val="14"/>
      <w:sz w:val="20"/>
    </w:rPr>
  </w:style>
  <w:style w:type="character" w:styleId="lev">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Sansinterligne">
    <w:name w:val="No Spacing"/>
    <w:uiPriority w:val="1"/>
    <w:rsid w:val="000055FB"/>
    <w:rPr>
      <w:sz w:val="22"/>
      <w:szCs w:val="22"/>
    </w:rPr>
  </w:style>
  <w:style w:type="character" w:customStyle="1" w:styleId="Titre1Car">
    <w:name w:val="Titre 1 Car"/>
    <w:aliases w:val="Table_G Car"/>
    <w:link w:val="Titre1"/>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Pieddepage">
    <w:name w:val="footer"/>
    <w:aliases w:val="3_G"/>
    <w:link w:val="PieddepageCar"/>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PieddepageCar">
    <w:name w:val="Pied de page Car"/>
    <w:aliases w:val="3_G Car"/>
    <w:link w:val="Pieddepage"/>
    <w:rsid w:val="00745376"/>
    <w:rPr>
      <w:rFonts w:ascii="Times New Roman" w:hAnsi="Times New Roman"/>
      <w:b/>
      <w:spacing w:val="3"/>
      <w:w w:val="105"/>
      <w:sz w:val="17"/>
    </w:rPr>
  </w:style>
  <w:style w:type="paragraph" w:styleId="En-tte">
    <w:name w:val="header"/>
    <w:aliases w:val="6_G"/>
    <w:link w:val="En-tteCar"/>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En-tteCar">
    <w:name w:val="En-tête Car"/>
    <w:aliases w:val="6_G Car"/>
    <w:link w:val="En-tte"/>
    <w:rsid w:val="000055FB"/>
    <w:rPr>
      <w:rFonts w:ascii="Times New Roman" w:hAnsi="Times New Roman"/>
      <w:spacing w:val="3"/>
      <w:w w:val="105"/>
      <w:sz w:val="17"/>
    </w:rPr>
  </w:style>
  <w:style w:type="character" w:styleId="Numrodeligne">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Textedebulles">
    <w:name w:val="Balloon Text"/>
    <w:basedOn w:val="Normal"/>
    <w:link w:val="TextedebullesCar"/>
    <w:unhideWhenUsed/>
    <w:rsid w:val="00520271"/>
    <w:pPr>
      <w:spacing w:line="240" w:lineRule="auto"/>
    </w:pPr>
    <w:rPr>
      <w:rFonts w:ascii="Tahoma" w:hAnsi="Tahoma" w:cs="Tahoma"/>
      <w:sz w:val="16"/>
      <w:szCs w:val="16"/>
    </w:rPr>
  </w:style>
  <w:style w:type="character" w:customStyle="1" w:styleId="TextedebullesCar">
    <w:name w:val="Texte de bulles Car"/>
    <w:link w:val="Textedebulles"/>
    <w:rsid w:val="00520271"/>
    <w:rPr>
      <w:rFonts w:ascii="Tahoma" w:hAnsi="Tahoma" w:cs="Tahoma"/>
      <w:spacing w:val="4"/>
      <w:w w:val="103"/>
      <w:kern w:val="14"/>
      <w:sz w:val="16"/>
      <w:szCs w:val="16"/>
    </w:rPr>
  </w:style>
  <w:style w:type="paragraph" w:styleId="Notedebasdepage">
    <w:name w:val="footnote text"/>
    <w:aliases w:val="5_G"/>
    <w:basedOn w:val="Normal"/>
    <w:link w:val="NotedebasdepageCar"/>
    <w:rsid w:val="00611DA0"/>
    <w:pPr>
      <w:spacing w:line="210" w:lineRule="exact"/>
    </w:pPr>
    <w:rPr>
      <w:sz w:val="17"/>
      <w:szCs w:val="20"/>
    </w:rPr>
  </w:style>
  <w:style w:type="character" w:customStyle="1" w:styleId="NotedebasdepageCar">
    <w:name w:val="Note de bas de page Car"/>
    <w:aliases w:val="5_G Car"/>
    <w:link w:val="Notedebasdepage"/>
    <w:rsid w:val="00611DA0"/>
    <w:rPr>
      <w:rFonts w:ascii="Times New Roman" w:hAnsi="Times New Roman"/>
      <w:spacing w:val="4"/>
      <w:w w:val="103"/>
      <w:kern w:val="14"/>
      <w:sz w:val="17"/>
    </w:rPr>
  </w:style>
  <w:style w:type="character" w:customStyle="1" w:styleId="Titre7Car">
    <w:name w:val="Titre 7 Car"/>
    <w:link w:val="Titre7"/>
    <w:uiPriority w:val="9"/>
    <w:semiHidden/>
    <w:rsid w:val="005B74B8"/>
    <w:rPr>
      <w:rFonts w:ascii="Cambria" w:eastAsia="Times New Roman" w:hAnsi="Cambria" w:cs="Times New Roman"/>
      <w:i/>
      <w:iCs/>
      <w:color w:val="404040"/>
      <w:spacing w:val="4"/>
      <w:w w:val="103"/>
      <w:kern w:val="14"/>
      <w:sz w:val="20"/>
    </w:rPr>
  </w:style>
  <w:style w:type="character" w:customStyle="1" w:styleId="Titre8Car">
    <w:name w:val="Titre 8 Car"/>
    <w:link w:val="Titre8"/>
    <w:uiPriority w:val="9"/>
    <w:semiHidden/>
    <w:rsid w:val="005B74B8"/>
    <w:rPr>
      <w:rFonts w:ascii="Cambria" w:eastAsia="Times New Roman" w:hAnsi="Cambria" w:cs="Times New Roman"/>
      <w:color w:val="404040"/>
      <w:spacing w:val="4"/>
      <w:w w:val="103"/>
      <w:kern w:val="14"/>
      <w:sz w:val="20"/>
      <w:szCs w:val="20"/>
    </w:rPr>
  </w:style>
  <w:style w:type="character" w:customStyle="1" w:styleId="Titre9Car">
    <w:name w:val="Titre 9 Car"/>
    <w:link w:val="Titre9"/>
    <w:uiPriority w:val="9"/>
    <w:semiHidden/>
    <w:rsid w:val="005B74B8"/>
    <w:rPr>
      <w:rFonts w:ascii="Cambria" w:eastAsia="Times New Roman" w:hAnsi="Cambria" w:cs="Times New Roman"/>
      <w:i/>
      <w:iCs/>
      <w:color w:val="404040"/>
      <w:spacing w:val="4"/>
      <w:w w:val="103"/>
      <w:kern w:val="14"/>
      <w:sz w:val="20"/>
      <w:szCs w:val="20"/>
    </w:rPr>
  </w:style>
  <w:style w:type="paragraph" w:styleId="Paragraphedeliste">
    <w:name w:val="List Paragraph"/>
    <w:basedOn w:val="Normal"/>
    <w:uiPriority w:val="34"/>
    <w:qFormat/>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Notedefin">
    <w:name w:val="endnote text"/>
    <w:aliases w:val="2_G"/>
    <w:basedOn w:val="Normal"/>
    <w:link w:val="NotedefinCar"/>
    <w:unhideWhenUsed/>
    <w:rsid w:val="00F3330B"/>
    <w:pPr>
      <w:spacing w:line="210" w:lineRule="exact"/>
    </w:pPr>
    <w:rPr>
      <w:sz w:val="17"/>
      <w:szCs w:val="20"/>
    </w:rPr>
  </w:style>
  <w:style w:type="character" w:customStyle="1" w:styleId="NotedefinCar">
    <w:name w:val="Note de fin Car"/>
    <w:aliases w:val="2_G Car"/>
    <w:link w:val="Notedefin"/>
    <w:rsid w:val="00F3330B"/>
    <w:rPr>
      <w:rFonts w:ascii="Times New Roman" w:hAnsi="Times New Roman"/>
      <w:spacing w:val="4"/>
      <w:w w:val="103"/>
      <w:kern w:val="14"/>
      <w:sz w:val="17"/>
    </w:rPr>
  </w:style>
  <w:style w:type="character" w:styleId="Appelnotedebasdep">
    <w:name w:val="footnote reference"/>
    <w:aliases w:val="4_G"/>
    <w:rsid w:val="00915FB9"/>
    <w:rPr>
      <w:color w:val="943634" w:themeColor="accent2" w:themeShade="BF"/>
      <w:spacing w:val="5"/>
      <w:w w:val="103"/>
      <w:kern w:val="14"/>
      <w:position w:val="0"/>
      <w:vertAlign w:val="superscript"/>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Appeldenotedefin">
    <w:name w:val="endnote reference"/>
    <w:aliases w:val="1_G"/>
    <w:basedOn w:val="Policepardfaut"/>
    <w:rsid w:val="009C5249"/>
    <w:rPr>
      <w:color w:val="943634" w:themeColor="accent2" w:themeShade="BF"/>
      <w:spacing w:val="5"/>
      <w:w w:val="103"/>
      <w:kern w:val="14"/>
      <w:position w:val="0"/>
      <w:vertAlign w:val="superscript"/>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Marquedecommentaire">
    <w:name w:val="annotation reference"/>
    <w:basedOn w:val="Policepardfaut"/>
    <w:unhideWhenUsed/>
    <w:rsid w:val="00F23332"/>
    <w:rPr>
      <w:sz w:val="16"/>
      <w:szCs w:val="16"/>
    </w:rPr>
  </w:style>
  <w:style w:type="paragraph" w:styleId="Commentaire">
    <w:name w:val="annotation text"/>
    <w:basedOn w:val="Normal"/>
    <w:link w:val="CommentaireCar"/>
    <w:unhideWhenUsed/>
    <w:rsid w:val="00F23332"/>
    <w:pPr>
      <w:spacing w:line="240" w:lineRule="auto"/>
    </w:pPr>
    <w:rPr>
      <w:szCs w:val="20"/>
    </w:rPr>
  </w:style>
  <w:style w:type="character" w:customStyle="1" w:styleId="CommentaireCar">
    <w:name w:val="Commentaire Car"/>
    <w:basedOn w:val="Policepardfaut"/>
    <w:link w:val="Commentaire"/>
    <w:rsid w:val="00F23332"/>
    <w:rPr>
      <w:rFonts w:ascii="Times New Roman" w:hAnsi="Times New Roman"/>
      <w:spacing w:val="4"/>
      <w:w w:val="103"/>
      <w:kern w:val="14"/>
      <w:lang w:val="fr-CA"/>
    </w:rPr>
  </w:style>
  <w:style w:type="paragraph" w:styleId="Objetducommentaire">
    <w:name w:val="annotation subject"/>
    <w:basedOn w:val="Commentaire"/>
    <w:next w:val="Commentaire"/>
    <w:link w:val="ObjetducommentaireCar"/>
    <w:unhideWhenUsed/>
    <w:rsid w:val="00F23332"/>
    <w:rPr>
      <w:b/>
      <w:bCs/>
    </w:rPr>
  </w:style>
  <w:style w:type="character" w:customStyle="1" w:styleId="ObjetducommentaireCar">
    <w:name w:val="Objet du commentaire Car"/>
    <w:basedOn w:val="CommentaireCar"/>
    <w:link w:val="Objetducommentaire"/>
    <w:rsid w:val="00F23332"/>
    <w:rPr>
      <w:rFonts w:ascii="Times New Roman" w:hAnsi="Times New Roman"/>
      <w:b/>
      <w:bCs/>
      <w:spacing w:val="4"/>
      <w:w w:val="103"/>
      <w:kern w:val="14"/>
      <w:lang w:val="fr-CA"/>
    </w:rPr>
  </w:style>
  <w:style w:type="character" w:styleId="Numrodepage">
    <w:name w:val="page number"/>
    <w:aliases w:val="7_G"/>
    <w:rsid w:val="00EF6384"/>
    <w:rPr>
      <w:rFonts w:ascii="Times New Roman" w:hAnsi="Times New Roman"/>
      <w:b/>
      <w:sz w:val="18"/>
      <w:lang w:val="fr-CH"/>
    </w:rPr>
  </w:style>
  <w:style w:type="paragraph" w:customStyle="1" w:styleId="HMG">
    <w:name w:val="_ H __M_G"/>
    <w:basedOn w:val="Normal"/>
    <w:next w:val="Normal"/>
    <w:qFormat/>
    <w:rsid w:val="00EF6384"/>
    <w:pPr>
      <w:keepNext/>
      <w:keepLines/>
      <w:tabs>
        <w:tab w:val="right" w:pos="851"/>
      </w:tabs>
      <w:suppressAutoHyphens/>
      <w:kinsoku w:val="0"/>
      <w:overflowPunct w:val="0"/>
      <w:autoSpaceDE w:val="0"/>
      <w:autoSpaceDN w:val="0"/>
      <w:adjustRightInd w:val="0"/>
      <w:snapToGrid w:val="0"/>
      <w:spacing w:before="240" w:after="240" w:line="360" w:lineRule="exact"/>
      <w:ind w:left="1134" w:right="1134" w:hanging="1134"/>
    </w:pPr>
    <w:rPr>
      <w:rFonts w:eastAsia="Calibri"/>
      <w:b/>
      <w:spacing w:val="0"/>
      <w:w w:val="100"/>
      <w:kern w:val="0"/>
      <w:sz w:val="34"/>
      <w:szCs w:val="20"/>
      <w:lang w:val="fr-CH"/>
    </w:rPr>
  </w:style>
  <w:style w:type="paragraph" w:customStyle="1" w:styleId="HChG">
    <w:name w:val="_ H _Ch_G"/>
    <w:basedOn w:val="Normal"/>
    <w:next w:val="Normal"/>
    <w:qFormat/>
    <w:rsid w:val="00EF6384"/>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eastAsia="Calibri"/>
      <w:b/>
      <w:spacing w:val="0"/>
      <w:w w:val="100"/>
      <w:kern w:val="0"/>
      <w:sz w:val="28"/>
      <w:szCs w:val="20"/>
      <w:lang w:val="fr-CH"/>
    </w:rPr>
  </w:style>
  <w:style w:type="paragraph" w:customStyle="1" w:styleId="H1G">
    <w:name w:val="_ H_1_G"/>
    <w:basedOn w:val="Normal"/>
    <w:next w:val="Normal"/>
    <w:qFormat/>
    <w:rsid w:val="00EF6384"/>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pPr>
    <w:rPr>
      <w:rFonts w:eastAsia="Calibri"/>
      <w:b/>
      <w:spacing w:val="0"/>
      <w:w w:val="100"/>
      <w:kern w:val="0"/>
      <w:sz w:val="24"/>
      <w:szCs w:val="20"/>
      <w:lang w:val="fr-CH"/>
    </w:rPr>
  </w:style>
  <w:style w:type="paragraph" w:customStyle="1" w:styleId="H23G">
    <w:name w:val="_ H_2/3_G"/>
    <w:basedOn w:val="Normal"/>
    <w:next w:val="Normal"/>
    <w:qFormat/>
    <w:rsid w:val="00EF6384"/>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Calibri"/>
      <w:b/>
      <w:spacing w:val="0"/>
      <w:w w:val="100"/>
      <w:kern w:val="0"/>
      <w:sz w:val="24"/>
      <w:szCs w:val="20"/>
      <w:lang w:val="fr-CH"/>
    </w:rPr>
  </w:style>
  <w:style w:type="paragraph" w:customStyle="1" w:styleId="H4G">
    <w:name w:val="_ H_4_G"/>
    <w:basedOn w:val="Normal"/>
    <w:next w:val="Normal"/>
    <w:qFormat/>
    <w:rsid w:val="00EF6384"/>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Calibri"/>
      <w:i/>
      <w:spacing w:val="0"/>
      <w:w w:val="100"/>
      <w:kern w:val="0"/>
      <w:sz w:val="24"/>
      <w:szCs w:val="20"/>
      <w:lang w:val="fr-CH"/>
    </w:rPr>
  </w:style>
  <w:style w:type="paragraph" w:customStyle="1" w:styleId="H56G">
    <w:name w:val="_ H_5/6_G"/>
    <w:basedOn w:val="Normal"/>
    <w:next w:val="Normal"/>
    <w:rsid w:val="00EF6384"/>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Calibri"/>
      <w:spacing w:val="0"/>
      <w:w w:val="100"/>
      <w:kern w:val="0"/>
      <w:sz w:val="24"/>
      <w:szCs w:val="20"/>
      <w:lang w:val="fr-CH"/>
    </w:rPr>
  </w:style>
  <w:style w:type="paragraph" w:customStyle="1" w:styleId="SingleTxtG">
    <w:name w:val="_ Single Txt_G"/>
    <w:basedOn w:val="Normal"/>
    <w:qFormat/>
    <w:rsid w:val="00EF6384"/>
    <w:pPr>
      <w:suppressAutoHyphens/>
      <w:kinsoku w:val="0"/>
      <w:overflowPunct w:val="0"/>
      <w:autoSpaceDE w:val="0"/>
      <w:autoSpaceDN w:val="0"/>
      <w:adjustRightInd w:val="0"/>
      <w:snapToGrid w:val="0"/>
      <w:spacing w:after="120" w:line="240" w:lineRule="atLeast"/>
      <w:ind w:left="1134" w:right="1134"/>
      <w:jc w:val="both"/>
    </w:pPr>
    <w:rPr>
      <w:rFonts w:eastAsia="Calibri"/>
      <w:spacing w:val="0"/>
      <w:w w:val="100"/>
      <w:kern w:val="0"/>
      <w:sz w:val="24"/>
      <w:szCs w:val="20"/>
      <w:lang w:val="fr-CH"/>
    </w:rPr>
  </w:style>
  <w:style w:type="paragraph" w:customStyle="1" w:styleId="SLG">
    <w:name w:val="__S_L_G"/>
    <w:basedOn w:val="Normal"/>
    <w:next w:val="Normal"/>
    <w:rsid w:val="00EF6384"/>
    <w:pPr>
      <w:keepNext/>
      <w:keepLines/>
      <w:suppressAutoHyphens/>
      <w:kinsoku w:val="0"/>
      <w:overflowPunct w:val="0"/>
      <w:autoSpaceDE w:val="0"/>
      <w:autoSpaceDN w:val="0"/>
      <w:adjustRightInd w:val="0"/>
      <w:snapToGrid w:val="0"/>
      <w:spacing w:before="240" w:after="240" w:line="580" w:lineRule="exact"/>
      <w:ind w:left="1134" w:right="1134"/>
    </w:pPr>
    <w:rPr>
      <w:rFonts w:eastAsia="Calibri"/>
      <w:b/>
      <w:spacing w:val="0"/>
      <w:w w:val="100"/>
      <w:kern w:val="0"/>
      <w:sz w:val="56"/>
      <w:szCs w:val="20"/>
      <w:lang w:val="fr-CH"/>
    </w:rPr>
  </w:style>
  <w:style w:type="paragraph" w:customStyle="1" w:styleId="SMG">
    <w:name w:val="__S_M_G"/>
    <w:basedOn w:val="Normal"/>
    <w:next w:val="Normal"/>
    <w:rsid w:val="00EF6384"/>
    <w:pPr>
      <w:keepNext/>
      <w:keepLines/>
      <w:suppressAutoHyphens/>
      <w:kinsoku w:val="0"/>
      <w:overflowPunct w:val="0"/>
      <w:autoSpaceDE w:val="0"/>
      <w:autoSpaceDN w:val="0"/>
      <w:adjustRightInd w:val="0"/>
      <w:snapToGrid w:val="0"/>
      <w:spacing w:before="240" w:after="240" w:line="420" w:lineRule="exact"/>
      <w:ind w:left="1134" w:right="1134"/>
    </w:pPr>
    <w:rPr>
      <w:rFonts w:eastAsia="Calibri"/>
      <w:b/>
      <w:spacing w:val="0"/>
      <w:w w:val="100"/>
      <w:kern w:val="0"/>
      <w:sz w:val="40"/>
      <w:szCs w:val="20"/>
      <w:lang w:val="fr-CH"/>
    </w:rPr>
  </w:style>
  <w:style w:type="paragraph" w:customStyle="1" w:styleId="SSG">
    <w:name w:val="__S_S_G"/>
    <w:basedOn w:val="Normal"/>
    <w:next w:val="Normal"/>
    <w:rsid w:val="00EF6384"/>
    <w:pPr>
      <w:keepNext/>
      <w:keepLines/>
      <w:suppressAutoHyphens/>
      <w:kinsoku w:val="0"/>
      <w:overflowPunct w:val="0"/>
      <w:autoSpaceDE w:val="0"/>
      <w:autoSpaceDN w:val="0"/>
      <w:adjustRightInd w:val="0"/>
      <w:snapToGrid w:val="0"/>
      <w:spacing w:before="240" w:after="240" w:line="300" w:lineRule="exact"/>
      <w:ind w:left="1134" w:right="1134"/>
    </w:pPr>
    <w:rPr>
      <w:rFonts w:eastAsia="Calibri"/>
      <w:b/>
      <w:spacing w:val="0"/>
      <w:w w:val="100"/>
      <w:kern w:val="0"/>
      <w:sz w:val="28"/>
      <w:szCs w:val="20"/>
      <w:lang w:val="fr-CH"/>
    </w:rPr>
  </w:style>
  <w:style w:type="paragraph" w:customStyle="1" w:styleId="XLargeG">
    <w:name w:val="__XLarge_G"/>
    <w:basedOn w:val="Normal"/>
    <w:next w:val="Normal"/>
    <w:rsid w:val="00EF6384"/>
    <w:pPr>
      <w:keepNext/>
      <w:keepLines/>
      <w:suppressAutoHyphens/>
      <w:kinsoku w:val="0"/>
      <w:overflowPunct w:val="0"/>
      <w:autoSpaceDE w:val="0"/>
      <w:autoSpaceDN w:val="0"/>
      <w:adjustRightInd w:val="0"/>
      <w:snapToGrid w:val="0"/>
      <w:spacing w:before="240" w:after="240" w:line="420" w:lineRule="exact"/>
      <w:ind w:left="1134" w:right="1134"/>
    </w:pPr>
    <w:rPr>
      <w:rFonts w:eastAsia="Calibri"/>
      <w:b/>
      <w:spacing w:val="0"/>
      <w:w w:val="100"/>
      <w:kern w:val="0"/>
      <w:sz w:val="40"/>
      <w:szCs w:val="20"/>
      <w:lang w:val="fr-CH"/>
    </w:rPr>
  </w:style>
  <w:style w:type="paragraph" w:customStyle="1" w:styleId="Bullet1G">
    <w:name w:val="_Bullet 1_G"/>
    <w:basedOn w:val="Normal"/>
    <w:qFormat/>
    <w:rsid w:val="00EF6384"/>
    <w:pPr>
      <w:numPr>
        <w:numId w:val="10"/>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CH"/>
    </w:rPr>
  </w:style>
  <w:style w:type="paragraph" w:customStyle="1" w:styleId="Bullet2G">
    <w:name w:val="_Bullet 2_G"/>
    <w:basedOn w:val="Normal"/>
    <w:qFormat/>
    <w:rsid w:val="00EF6384"/>
    <w:pPr>
      <w:numPr>
        <w:numId w:val="11"/>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CH"/>
    </w:rPr>
  </w:style>
  <w:style w:type="table" w:styleId="Grilledutableau">
    <w:name w:val="Table Grid"/>
    <w:basedOn w:val="TableauNormal"/>
    <w:rsid w:val="00EF6384"/>
    <w:pPr>
      <w:suppressAutoHyphens/>
      <w:spacing w:line="240" w:lineRule="atLeast"/>
    </w:pPr>
    <w:rPr>
      <w:rFonts w:ascii="Times New Roman" w:eastAsia="Calibri"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Lienhypertexte">
    <w:name w:val="Hyperlink"/>
    <w:semiHidden/>
    <w:rsid w:val="00EF6384"/>
    <w:rPr>
      <w:color w:val="auto"/>
      <w:u w:val="none"/>
    </w:rPr>
  </w:style>
  <w:style w:type="character" w:styleId="Lienhypertextesuivivisit">
    <w:name w:val="FollowedHyperlink"/>
    <w:semiHidden/>
    <w:rsid w:val="00EF6384"/>
    <w:rPr>
      <w:color w:val="auto"/>
      <w:u w:val="none"/>
    </w:rPr>
  </w:style>
  <w:style w:type="paragraph" w:customStyle="1" w:styleId="ParNoG">
    <w:name w:val="_ParNo_G"/>
    <w:basedOn w:val="SingleTxtG"/>
    <w:qFormat/>
    <w:rsid w:val="00EF6384"/>
    <w:pPr>
      <w:numPr>
        <w:numId w:val="1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semiHidden="0" w:uiPriority="0" w:unhideWhenUsed="0"/>
    <w:lsdException w:name="footer" w:semiHidden="0" w:uiPriority="0" w:unhideWhenUsed="0" w:qFormat="1"/>
    <w:lsdException w:name="caption" w:uiPriority="35" w:qFormat="1"/>
    <w:lsdException w:name="footnote reference" w:uiPriority="0"/>
    <w:lsdException w:name="annotation reference" w:uiPriority="0"/>
    <w:lsdException w:name="line number" w:semiHidden="0" w:unhideWhenUsed="0" w:qFormat="1"/>
    <w:lsdException w:name="page number" w:uiPriority="0"/>
    <w:lsdException w:name="endnote reference" w:semiHidden="0" w:uiPriority="0" w:unhideWhenUsed="0"/>
    <w:lsdException w:name="endnote text" w:uiPriority="0"/>
    <w:lsdException w:name="Title" w:uiPriority="10" w:unhideWhenUsed="0"/>
    <w:lsdException w:name="Default Paragraph Font" w:uiPriority="1"/>
    <w:lsdException w:name="Subtitle" w:uiPriority="11" w:unhideWhenUsed="0"/>
    <w:lsdException w:name="Hyperlink" w:uiPriority="0"/>
    <w:lsdException w:name="FollowedHyperlink" w:uiPriority="0"/>
    <w:lsdException w:name="Strong" w:semiHidden="0" w:uiPriority="22" w:unhideWhenUsed="0"/>
    <w:lsdException w:name="Emphasis" w:uiPriority="20" w:unhideWhenUsed="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aliases w:val="Table_G"/>
    <w:basedOn w:val="Normal"/>
    <w:next w:val="Normal"/>
    <w:link w:val="Heading1Char"/>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nhideWhenUsed/>
    <w:qFormat/>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nhideWhenUsed/>
    <w:qFormat/>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nhideWhenUsed/>
    <w:qFormat/>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aliases w:val="Table_G Char"/>
    <w:link w:val="Heading1"/>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aliases w:val="3_G"/>
    <w:link w:val="FooterChar"/>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aliases w:val="3_G Char"/>
    <w:link w:val="Footer"/>
    <w:rsid w:val="00745376"/>
    <w:rPr>
      <w:rFonts w:ascii="Times New Roman" w:hAnsi="Times New Roman"/>
      <w:b/>
      <w:spacing w:val="3"/>
      <w:w w:val="105"/>
      <w:sz w:val="17"/>
    </w:rPr>
  </w:style>
  <w:style w:type="paragraph" w:styleId="Header">
    <w:name w:val="header"/>
    <w:aliases w:val="6_G"/>
    <w:link w:val="HeaderChar"/>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aliases w:val="6_G Char"/>
    <w:link w:val="Header"/>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nhideWhenUsed/>
    <w:rsid w:val="00520271"/>
    <w:pPr>
      <w:spacing w:line="240" w:lineRule="auto"/>
    </w:pPr>
    <w:rPr>
      <w:rFonts w:ascii="Tahoma" w:hAnsi="Tahoma" w:cs="Tahoma"/>
      <w:sz w:val="16"/>
      <w:szCs w:val="16"/>
    </w:rPr>
  </w:style>
  <w:style w:type="character" w:customStyle="1" w:styleId="BalloonTextChar">
    <w:name w:val="Balloon Text Char"/>
    <w:link w:val="BalloonText"/>
    <w:rsid w:val="00520271"/>
    <w:rPr>
      <w:rFonts w:ascii="Tahoma" w:hAnsi="Tahoma" w:cs="Tahoma"/>
      <w:spacing w:val="4"/>
      <w:w w:val="103"/>
      <w:kern w:val="14"/>
      <w:sz w:val="16"/>
      <w:szCs w:val="16"/>
    </w:rPr>
  </w:style>
  <w:style w:type="paragraph" w:styleId="FootnoteText">
    <w:name w:val="footnote text"/>
    <w:aliases w:val="5_G"/>
    <w:basedOn w:val="Normal"/>
    <w:link w:val="FootnoteTextChar"/>
    <w:rsid w:val="00611DA0"/>
    <w:pPr>
      <w:spacing w:line="210" w:lineRule="exact"/>
    </w:pPr>
    <w:rPr>
      <w:sz w:val="17"/>
      <w:szCs w:val="20"/>
    </w:rPr>
  </w:style>
  <w:style w:type="character" w:customStyle="1" w:styleId="FootnoteTextChar">
    <w:name w:val="Footnote Text Char"/>
    <w:aliases w:val="5_G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qFormat/>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aliases w:val="2_G"/>
    <w:basedOn w:val="Normal"/>
    <w:link w:val="EndnoteTextChar"/>
    <w:unhideWhenUsed/>
    <w:rsid w:val="00F3330B"/>
    <w:pPr>
      <w:spacing w:line="210" w:lineRule="exact"/>
    </w:pPr>
    <w:rPr>
      <w:sz w:val="17"/>
      <w:szCs w:val="20"/>
    </w:rPr>
  </w:style>
  <w:style w:type="character" w:customStyle="1" w:styleId="EndnoteTextChar">
    <w:name w:val="Endnote Text Char"/>
    <w:aliases w:val="2_G Char"/>
    <w:link w:val="EndnoteText"/>
    <w:rsid w:val="00F3330B"/>
    <w:rPr>
      <w:rFonts w:ascii="Times New Roman" w:hAnsi="Times New Roman"/>
      <w:spacing w:val="4"/>
      <w:w w:val="103"/>
      <w:kern w:val="14"/>
      <w:sz w:val="17"/>
    </w:rPr>
  </w:style>
  <w:style w:type="character" w:styleId="FootnoteReference">
    <w:name w:val="footnote reference"/>
    <w:aliases w:val="4_G"/>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aliases w:val="1_G"/>
    <w:basedOn w:val="DefaultParagraphFont"/>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nhideWhenUsed/>
    <w:rsid w:val="00F23332"/>
    <w:rPr>
      <w:sz w:val="16"/>
      <w:szCs w:val="16"/>
    </w:rPr>
  </w:style>
  <w:style w:type="paragraph" w:styleId="CommentText">
    <w:name w:val="annotation text"/>
    <w:basedOn w:val="Normal"/>
    <w:link w:val="CommentTextChar"/>
    <w:unhideWhenUsed/>
    <w:rsid w:val="00F23332"/>
    <w:pPr>
      <w:spacing w:line="240" w:lineRule="auto"/>
    </w:pPr>
    <w:rPr>
      <w:szCs w:val="20"/>
    </w:rPr>
  </w:style>
  <w:style w:type="character" w:customStyle="1" w:styleId="CommentTextChar">
    <w:name w:val="Comment Text Char"/>
    <w:basedOn w:val="DefaultParagraphFont"/>
    <w:link w:val="CommentText"/>
    <w:rsid w:val="00F23332"/>
    <w:rPr>
      <w:rFonts w:ascii="Times New Roman" w:hAnsi="Times New Roman"/>
      <w:spacing w:val="4"/>
      <w:w w:val="103"/>
      <w:kern w:val="14"/>
      <w:lang w:val="fr-CA"/>
    </w:rPr>
  </w:style>
  <w:style w:type="paragraph" w:styleId="CommentSubject">
    <w:name w:val="annotation subject"/>
    <w:basedOn w:val="CommentText"/>
    <w:next w:val="CommentText"/>
    <w:link w:val="CommentSubjectChar"/>
    <w:unhideWhenUsed/>
    <w:rsid w:val="00F23332"/>
    <w:rPr>
      <w:b/>
      <w:bCs/>
    </w:rPr>
  </w:style>
  <w:style w:type="character" w:customStyle="1" w:styleId="CommentSubjectChar">
    <w:name w:val="Comment Subject Char"/>
    <w:basedOn w:val="CommentTextChar"/>
    <w:link w:val="CommentSubject"/>
    <w:rsid w:val="00F23332"/>
    <w:rPr>
      <w:rFonts w:ascii="Times New Roman" w:hAnsi="Times New Roman"/>
      <w:b/>
      <w:bCs/>
      <w:spacing w:val="4"/>
      <w:w w:val="103"/>
      <w:kern w:val="14"/>
      <w:lang w:val="fr-CA"/>
    </w:rPr>
  </w:style>
  <w:style w:type="character" w:styleId="PageNumber">
    <w:name w:val="page number"/>
    <w:aliases w:val="7_G"/>
    <w:rsid w:val="00EF6384"/>
    <w:rPr>
      <w:rFonts w:ascii="Times New Roman" w:hAnsi="Times New Roman"/>
      <w:b/>
      <w:sz w:val="18"/>
      <w:lang w:val="fr-CH"/>
    </w:rPr>
  </w:style>
  <w:style w:type="paragraph" w:customStyle="1" w:styleId="HMG">
    <w:name w:val="_ H __M_G"/>
    <w:basedOn w:val="Normal"/>
    <w:next w:val="Normal"/>
    <w:qFormat/>
    <w:rsid w:val="00EF6384"/>
    <w:pPr>
      <w:keepNext/>
      <w:keepLines/>
      <w:tabs>
        <w:tab w:val="right" w:pos="851"/>
      </w:tabs>
      <w:suppressAutoHyphens/>
      <w:kinsoku w:val="0"/>
      <w:overflowPunct w:val="0"/>
      <w:autoSpaceDE w:val="0"/>
      <w:autoSpaceDN w:val="0"/>
      <w:adjustRightInd w:val="0"/>
      <w:snapToGrid w:val="0"/>
      <w:spacing w:before="240" w:after="240" w:line="360" w:lineRule="exact"/>
      <w:ind w:left="1134" w:right="1134" w:hanging="1134"/>
    </w:pPr>
    <w:rPr>
      <w:rFonts w:eastAsia="Calibri"/>
      <w:b/>
      <w:spacing w:val="0"/>
      <w:w w:val="100"/>
      <w:kern w:val="0"/>
      <w:sz w:val="34"/>
      <w:szCs w:val="20"/>
      <w:lang w:val="fr-CH"/>
    </w:rPr>
  </w:style>
  <w:style w:type="paragraph" w:customStyle="1" w:styleId="HChG">
    <w:name w:val="_ H _Ch_G"/>
    <w:basedOn w:val="Normal"/>
    <w:next w:val="Normal"/>
    <w:qFormat/>
    <w:rsid w:val="00EF6384"/>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eastAsia="Calibri"/>
      <w:b/>
      <w:spacing w:val="0"/>
      <w:w w:val="100"/>
      <w:kern w:val="0"/>
      <w:sz w:val="28"/>
      <w:szCs w:val="20"/>
      <w:lang w:val="fr-CH"/>
    </w:rPr>
  </w:style>
  <w:style w:type="paragraph" w:customStyle="1" w:styleId="H1G">
    <w:name w:val="_ H_1_G"/>
    <w:basedOn w:val="Normal"/>
    <w:next w:val="Normal"/>
    <w:qFormat/>
    <w:rsid w:val="00EF6384"/>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pPr>
    <w:rPr>
      <w:rFonts w:eastAsia="Calibri"/>
      <w:b/>
      <w:spacing w:val="0"/>
      <w:w w:val="100"/>
      <w:kern w:val="0"/>
      <w:sz w:val="24"/>
      <w:szCs w:val="20"/>
      <w:lang w:val="fr-CH"/>
    </w:rPr>
  </w:style>
  <w:style w:type="paragraph" w:customStyle="1" w:styleId="H23G">
    <w:name w:val="_ H_2/3_G"/>
    <w:basedOn w:val="Normal"/>
    <w:next w:val="Normal"/>
    <w:qFormat/>
    <w:rsid w:val="00EF6384"/>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Calibri"/>
      <w:b/>
      <w:spacing w:val="0"/>
      <w:w w:val="100"/>
      <w:kern w:val="0"/>
      <w:sz w:val="24"/>
      <w:szCs w:val="20"/>
      <w:lang w:val="fr-CH"/>
    </w:rPr>
  </w:style>
  <w:style w:type="paragraph" w:customStyle="1" w:styleId="H4G">
    <w:name w:val="_ H_4_G"/>
    <w:basedOn w:val="Normal"/>
    <w:next w:val="Normal"/>
    <w:qFormat/>
    <w:rsid w:val="00EF6384"/>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Calibri"/>
      <w:i/>
      <w:spacing w:val="0"/>
      <w:w w:val="100"/>
      <w:kern w:val="0"/>
      <w:sz w:val="24"/>
      <w:szCs w:val="20"/>
      <w:lang w:val="fr-CH"/>
    </w:rPr>
  </w:style>
  <w:style w:type="paragraph" w:customStyle="1" w:styleId="H56G">
    <w:name w:val="_ H_5/6_G"/>
    <w:basedOn w:val="Normal"/>
    <w:next w:val="Normal"/>
    <w:rsid w:val="00EF6384"/>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Calibri"/>
      <w:spacing w:val="0"/>
      <w:w w:val="100"/>
      <w:kern w:val="0"/>
      <w:sz w:val="24"/>
      <w:szCs w:val="20"/>
      <w:lang w:val="fr-CH"/>
    </w:rPr>
  </w:style>
  <w:style w:type="paragraph" w:customStyle="1" w:styleId="SingleTxtG">
    <w:name w:val="_ Single Txt_G"/>
    <w:basedOn w:val="Normal"/>
    <w:qFormat/>
    <w:rsid w:val="00EF6384"/>
    <w:pPr>
      <w:suppressAutoHyphens/>
      <w:kinsoku w:val="0"/>
      <w:overflowPunct w:val="0"/>
      <w:autoSpaceDE w:val="0"/>
      <w:autoSpaceDN w:val="0"/>
      <w:adjustRightInd w:val="0"/>
      <w:snapToGrid w:val="0"/>
      <w:spacing w:after="120" w:line="240" w:lineRule="atLeast"/>
      <w:ind w:left="1134" w:right="1134"/>
      <w:jc w:val="both"/>
    </w:pPr>
    <w:rPr>
      <w:rFonts w:eastAsia="Calibri"/>
      <w:spacing w:val="0"/>
      <w:w w:val="100"/>
      <w:kern w:val="0"/>
      <w:sz w:val="24"/>
      <w:szCs w:val="20"/>
      <w:lang w:val="fr-CH"/>
    </w:rPr>
  </w:style>
  <w:style w:type="paragraph" w:customStyle="1" w:styleId="SLG">
    <w:name w:val="__S_L_G"/>
    <w:basedOn w:val="Normal"/>
    <w:next w:val="Normal"/>
    <w:rsid w:val="00EF6384"/>
    <w:pPr>
      <w:keepNext/>
      <w:keepLines/>
      <w:suppressAutoHyphens/>
      <w:kinsoku w:val="0"/>
      <w:overflowPunct w:val="0"/>
      <w:autoSpaceDE w:val="0"/>
      <w:autoSpaceDN w:val="0"/>
      <w:adjustRightInd w:val="0"/>
      <w:snapToGrid w:val="0"/>
      <w:spacing w:before="240" w:after="240" w:line="580" w:lineRule="exact"/>
      <w:ind w:left="1134" w:right="1134"/>
    </w:pPr>
    <w:rPr>
      <w:rFonts w:eastAsia="Calibri"/>
      <w:b/>
      <w:spacing w:val="0"/>
      <w:w w:val="100"/>
      <w:kern w:val="0"/>
      <w:sz w:val="56"/>
      <w:szCs w:val="20"/>
      <w:lang w:val="fr-CH"/>
    </w:rPr>
  </w:style>
  <w:style w:type="paragraph" w:customStyle="1" w:styleId="SMG">
    <w:name w:val="__S_M_G"/>
    <w:basedOn w:val="Normal"/>
    <w:next w:val="Normal"/>
    <w:rsid w:val="00EF6384"/>
    <w:pPr>
      <w:keepNext/>
      <w:keepLines/>
      <w:suppressAutoHyphens/>
      <w:kinsoku w:val="0"/>
      <w:overflowPunct w:val="0"/>
      <w:autoSpaceDE w:val="0"/>
      <w:autoSpaceDN w:val="0"/>
      <w:adjustRightInd w:val="0"/>
      <w:snapToGrid w:val="0"/>
      <w:spacing w:before="240" w:after="240" w:line="420" w:lineRule="exact"/>
      <w:ind w:left="1134" w:right="1134"/>
    </w:pPr>
    <w:rPr>
      <w:rFonts w:eastAsia="Calibri"/>
      <w:b/>
      <w:spacing w:val="0"/>
      <w:w w:val="100"/>
      <w:kern w:val="0"/>
      <w:sz w:val="40"/>
      <w:szCs w:val="20"/>
      <w:lang w:val="fr-CH"/>
    </w:rPr>
  </w:style>
  <w:style w:type="paragraph" w:customStyle="1" w:styleId="SSG">
    <w:name w:val="__S_S_G"/>
    <w:basedOn w:val="Normal"/>
    <w:next w:val="Normal"/>
    <w:rsid w:val="00EF6384"/>
    <w:pPr>
      <w:keepNext/>
      <w:keepLines/>
      <w:suppressAutoHyphens/>
      <w:kinsoku w:val="0"/>
      <w:overflowPunct w:val="0"/>
      <w:autoSpaceDE w:val="0"/>
      <w:autoSpaceDN w:val="0"/>
      <w:adjustRightInd w:val="0"/>
      <w:snapToGrid w:val="0"/>
      <w:spacing w:before="240" w:after="240" w:line="300" w:lineRule="exact"/>
      <w:ind w:left="1134" w:right="1134"/>
    </w:pPr>
    <w:rPr>
      <w:rFonts w:eastAsia="Calibri"/>
      <w:b/>
      <w:spacing w:val="0"/>
      <w:w w:val="100"/>
      <w:kern w:val="0"/>
      <w:sz w:val="28"/>
      <w:szCs w:val="20"/>
      <w:lang w:val="fr-CH"/>
    </w:rPr>
  </w:style>
  <w:style w:type="paragraph" w:customStyle="1" w:styleId="XLargeG">
    <w:name w:val="__XLarge_G"/>
    <w:basedOn w:val="Normal"/>
    <w:next w:val="Normal"/>
    <w:rsid w:val="00EF6384"/>
    <w:pPr>
      <w:keepNext/>
      <w:keepLines/>
      <w:suppressAutoHyphens/>
      <w:kinsoku w:val="0"/>
      <w:overflowPunct w:val="0"/>
      <w:autoSpaceDE w:val="0"/>
      <w:autoSpaceDN w:val="0"/>
      <w:adjustRightInd w:val="0"/>
      <w:snapToGrid w:val="0"/>
      <w:spacing w:before="240" w:after="240" w:line="420" w:lineRule="exact"/>
      <w:ind w:left="1134" w:right="1134"/>
    </w:pPr>
    <w:rPr>
      <w:rFonts w:eastAsia="Calibri"/>
      <w:b/>
      <w:spacing w:val="0"/>
      <w:w w:val="100"/>
      <w:kern w:val="0"/>
      <w:sz w:val="40"/>
      <w:szCs w:val="20"/>
      <w:lang w:val="fr-CH"/>
    </w:rPr>
  </w:style>
  <w:style w:type="paragraph" w:customStyle="1" w:styleId="Bullet1G">
    <w:name w:val="_Bullet 1_G"/>
    <w:basedOn w:val="Normal"/>
    <w:qFormat/>
    <w:rsid w:val="00EF6384"/>
    <w:pPr>
      <w:numPr>
        <w:numId w:val="10"/>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CH"/>
    </w:rPr>
  </w:style>
  <w:style w:type="paragraph" w:customStyle="1" w:styleId="Bullet2G">
    <w:name w:val="_Bullet 2_G"/>
    <w:basedOn w:val="Normal"/>
    <w:qFormat/>
    <w:rsid w:val="00EF6384"/>
    <w:pPr>
      <w:numPr>
        <w:numId w:val="11"/>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CH"/>
    </w:rPr>
  </w:style>
  <w:style w:type="table" w:styleId="TableGrid">
    <w:name w:val="Table Grid"/>
    <w:basedOn w:val="TableNormal"/>
    <w:rsid w:val="00EF6384"/>
    <w:pPr>
      <w:suppressAutoHyphens/>
      <w:spacing w:line="240" w:lineRule="atLeast"/>
    </w:pPr>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EF6384"/>
    <w:rPr>
      <w:color w:val="auto"/>
      <w:u w:val="none"/>
    </w:rPr>
  </w:style>
  <w:style w:type="character" w:styleId="FollowedHyperlink">
    <w:name w:val="FollowedHyperlink"/>
    <w:semiHidden/>
    <w:rsid w:val="00EF6384"/>
    <w:rPr>
      <w:color w:val="auto"/>
      <w:u w:val="none"/>
    </w:rPr>
  </w:style>
  <w:style w:type="paragraph" w:customStyle="1" w:styleId="ParNoG">
    <w:name w:val="_ParNo_G"/>
    <w:basedOn w:val="SingleTxtG"/>
    <w:qFormat/>
    <w:rsid w:val="00EF6384"/>
    <w:pPr>
      <w:numPr>
        <w:numId w:val="12"/>
      </w:numPr>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92DE4-7998-4536-A6C3-2CF9EABEE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4080</Words>
  <Characters>22440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26468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Bourion</dc:creator>
  <cp:lastModifiedBy>Maison</cp:lastModifiedBy>
  <cp:revision>2</cp:revision>
  <cp:lastPrinted>2015-08-13T07:30:00Z</cp:lastPrinted>
  <dcterms:created xsi:type="dcterms:W3CDTF">2015-08-13T16:13:00Z</dcterms:created>
  <dcterms:modified xsi:type="dcterms:W3CDTF">2015-08-13T16:13:00Z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1510984F</vt:lpwstr>
  </property>
  <property fmtid="{D5CDD505-2E9C-101B-9397-08002B2CF9AE}" pid="3" name="ODSRefJobNo">
    <vt:lpwstr>1514164F</vt:lpwstr>
  </property>
  <property fmtid="{D5CDD505-2E9C-101B-9397-08002B2CF9AE}" pid="4" name="Symbol1">
    <vt:lpwstr>ECE/TRANS/WP.15/AC.1/2015/38</vt:lpwstr>
  </property>
  <property fmtid="{D5CDD505-2E9C-101B-9397-08002B2CF9AE}" pid="5" name="Symbol2">
    <vt:lpwstr/>
  </property>
  <property fmtid="{D5CDD505-2E9C-101B-9397-08002B2CF9AE}" pid="6" name="Translator">
    <vt:lpwstr/>
  </property>
  <property fmtid="{D5CDD505-2E9C-101B-9397-08002B2CF9AE}" pid="7" name="Distribution">
    <vt:lpwstr>générale</vt:lpwstr>
  </property>
  <property fmtid="{D5CDD505-2E9C-101B-9397-08002B2CF9AE}" pid="8" name="Publication Date">
    <vt:lpwstr>1 juillet 2015</vt:lpwstr>
  </property>
  <property fmtid="{D5CDD505-2E9C-101B-9397-08002B2CF9AE}" pid="9" name="Original">
    <vt:lpwstr>anglais</vt:lpwstr>
  </property>
  <property fmtid="{D5CDD505-2E9C-101B-9397-08002B2CF9AE}" pid="10" name="Release Date">
    <vt:lpwstr>120815</vt:lpwstr>
  </property>
  <property fmtid="{D5CDD505-2E9C-101B-9397-08002B2CF9AE}" pid="11" name="Comment">
    <vt:lpwstr/>
  </property>
  <property fmtid="{D5CDD505-2E9C-101B-9397-08002B2CF9AE}" pid="12" name="DraftPages">
    <vt:lpwstr> </vt:lpwstr>
  </property>
  <property fmtid="{D5CDD505-2E9C-101B-9397-08002B2CF9AE}" pid="13" name="Operator">
    <vt:lpwstr>Edith</vt:lpwstr>
  </property>
</Properties>
</file>