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0A28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0A287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A2877" w:rsidRDefault="00B56E9C" w:rsidP="000A287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A287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1A4BA9" w:rsidP="00761CC1">
            <w:pPr>
              <w:jc w:val="right"/>
            </w:pPr>
            <w:r w:rsidRPr="000A2877">
              <w:rPr>
                <w:sz w:val="40"/>
              </w:rPr>
              <w:t>ECE</w:t>
            </w:r>
            <w:r w:rsidR="00B77790">
              <w:t>/TRANS/WP.15/AC.1/201</w:t>
            </w:r>
            <w:r w:rsidR="00CC4771">
              <w:t>5</w:t>
            </w:r>
            <w:r w:rsidR="001A7083">
              <w:t>/</w:t>
            </w:r>
            <w:r w:rsidR="00761CC1">
              <w:t>36</w:t>
            </w:r>
          </w:p>
        </w:tc>
      </w:tr>
      <w:tr w:rsidR="00B56E9C" w:rsidTr="000A287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8B2E3D" w:rsidP="000A2877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A2877" w:rsidRDefault="00D773DF" w:rsidP="000A2877">
            <w:pPr>
              <w:spacing w:before="120" w:line="420" w:lineRule="exact"/>
              <w:rPr>
                <w:sz w:val="40"/>
                <w:szCs w:val="40"/>
              </w:rPr>
            </w:pPr>
            <w:r w:rsidRPr="000A287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4BA9" w:rsidRDefault="001A4BA9" w:rsidP="000A2877">
            <w:pPr>
              <w:spacing w:before="240" w:line="240" w:lineRule="exact"/>
            </w:pPr>
            <w:r>
              <w:t>Distr.: General</w:t>
            </w:r>
          </w:p>
          <w:p w:rsidR="001A4BA9" w:rsidRDefault="00EA1AD8" w:rsidP="000A2877">
            <w:pPr>
              <w:spacing w:line="240" w:lineRule="exact"/>
            </w:pPr>
            <w:r>
              <w:t>2</w:t>
            </w:r>
            <w:r w:rsidR="000B5F4E">
              <w:t>6</w:t>
            </w:r>
            <w:r w:rsidR="005B2930">
              <w:t xml:space="preserve"> </w:t>
            </w:r>
            <w:r w:rsidR="007C1314">
              <w:t xml:space="preserve">June </w:t>
            </w:r>
            <w:r w:rsidR="00BA3578">
              <w:t>2015</w:t>
            </w:r>
          </w:p>
          <w:p w:rsidR="001A4BA9" w:rsidRDefault="001A4BA9" w:rsidP="000A2877">
            <w:pPr>
              <w:spacing w:line="240" w:lineRule="exact"/>
            </w:pPr>
          </w:p>
          <w:p w:rsidR="00B56E9C" w:rsidRDefault="001A4BA9" w:rsidP="000A2877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96DF2" w:rsidRDefault="008F31D2" w:rsidP="00C96DF2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:rsidR="00C96DF2" w:rsidRPr="008D26CC" w:rsidRDefault="00C96DF2" w:rsidP="005E0EA9">
      <w:pPr>
        <w:spacing w:before="120"/>
      </w:pPr>
      <w:r w:rsidRPr="008D26CC">
        <w:t xml:space="preserve">Geneva, </w:t>
      </w:r>
      <w:r w:rsidR="00E05AC4">
        <w:t>1</w:t>
      </w:r>
      <w:r w:rsidR="00D914B2">
        <w:t>5</w:t>
      </w:r>
      <w:r w:rsidR="001A4BA9" w:rsidRPr="008D26CC">
        <w:t>–2</w:t>
      </w:r>
      <w:r w:rsidR="00D914B2">
        <w:t>5</w:t>
      </w:r>
      <w:r w:rsidR="001A4BA9" w:rsidRPr="008D26CC">
        <w:t xml:space="preserve"> </w:t>
      </w:r>
      <w:r w:rsidR="00E05AC4">
        <w:t>September</w:t>
      </w:r>
      <w:r w:rsidR="001A4BA9" w:rsidRPr="008D26CC">
        <w:t xml:space="preserve"> 201</w:t>
      </w:r>
      <w:r w:rsidR="00D914B2">
        <w:t>5</w:t>
      </w:r>
    </w:p>
    <w:p w:rsidR="00761CC1" w:rsidRPr="00224B74" w:rsidRDefault="00761CC1" w:rsidP="00761CC1">
      <w:r w:rsidRPr="00224B74">
        <w:t>Ite</w:t>
      </w:r>
      <w:r>
        <w:t>m 3</w:t>
      </w:r>
      <w:r w:rsidRPr="00224B74">
        <w:t xml:space="preserve"> (b) of the provisional agenda</w:t>
      </w:r>
    </w:p>
    <w:p w:rsidR="00761CC1" w:rsidRPr="00224B74" w:rsidRDefault="00761CC1" w:rsidP="00761CC1">
      <w:pPr>
        <w:rPr>
          <w:b/>
        </w:rPr>
      </w:pPr>
      <w:r w:rsidRPr="00224B74">
        <w:rPr>
          <w:b/>
        </w:rPr>
        <w:t>Proposals for amendments to RID/ADR/ADN:</w:t>
      </w:r>
    </w:p>
    <w:p w:rsidR="00A6129C" w:rsidRPr="00D27983" w:rsidRDefault="00761CC1" w:rsidP="00761CC1">
      <w:pPr>
        <w:pStyle w:val="SingleTxtG"/>
        <w:ind w:left="0"/>
        <w:jc w:val="left"/>
        <w:rPr>
          <w:b/>
        </w:rPr>
      </w:pPr>
      <w:proofErr w:type="gramStart"/>
      <w:r w:rsidRPr="00A4181A">
        <w:rPr>
          <w:b/>
        </w:rPr>
        <w:t>new</w:t>
      </w:r>
      <w:proofErr w:type="gramEnd"/>
      <w:r w:rsidRPr="00A4181A">
        <w:rPr>
          <w:b/>
        </w:rPr>
        <w:t xml:space="preserve"> proposals</w:t>
      </w:r>
    </w:p>
    <w:p w:rsidR="005E0EA9" w:rsidRPr="005C008E" w:rsidRDefault="005E0EA9" w:rsidP="005B2930">
      <w:pPr>
        <w:pStyle w:val="HChG"/>
        <w:rPr>
          <w:vertAlign w:val="superscript"/>
        </w:rPr>
      </w:pPr>
      <w:r>
        <w:tab/>
      </w:r>
      <w:r>
        <w:tab/>
      </w:r>
      <w:r w:rsidR="00761CC1">
        <w:t>Clarification to Dangerous Goods List (Table A)</w:t>
      </w:r>
    </w:p>
    <w:p w:rsidR="005E0EA9" w:rsidRDefault="005E0EA9" w:rsidP="005E0EA9">
      <w:pPr>
        <w:pStyle w:val="H1G"/>
      </w:pPr>
      <w:r>
        <w:tab/>
      </w:r>
      <w:r>
        <w:tab/>
      </w:r>
      <w:r w:rsidR="00761CC1" w:rsidRPr="00761CC1">
        <w:t>Transmitted by the Government of Portugal</w:t>
      </w:r>
      <w:r w:rsidR="00BA3578" w:rsidRPr="008021DB">
        <w:rPr>
          <w:rStyle w:val="FootnoteReference"/>
          <w:b w:val="0"/>
        </w:rPr>
        <w:footnoteReference w:id="2"/>
      </w:r>
      <w:r w:rsidR="00BA3578" w:rsidRPr="00381475">
        <w:rPr>
          <w:b w:val="0"/>
          <w:sz w:val="18"/>
          <w:szCs w:val="18"/>
          <w:vertAlign w:val="superscript"/>
        </w:rPr>
        <w:t>,</w:t>
      </w:r>
      <w:r w:rsidR="00BA3578">
        <w:rPr>
          <w:b w:val="0"/>
          <w:sz w:val="18"/>
          <w:szCs w:val="18"/>
        </w:rPr>
        <w:t xml:space="preserve"> </w:t>
      </w:r>
      <w:r w:rsidR="00BA3578" w:rsidRPr="008021DB">
        <w:rPr>
          <w:rStyle w:val="FootnoteReference"/>
          <w:b w:val="0"/>
        </w:rPr>
        <w:footnoteReference w:id="3"/>
      </w:r>
    </w:p>
    <w:tbl>
      <w:tblPr>
        <w:tblW w:w="9082" w:type="dxa"/>
        <w:jc w:val="center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2"/>
      </w:tblGrid>
      <w:tr w:rsidR="00761CC1" w:rsidRPr="00B107B4" w:rsidTr="00BF1FAF">
        <w:trPr>
          <w:jc w:val="center"/>
        </w:trPr>
        <w:tc>
          <w:tcPr>
            <w:tcW w:w="9082" w:type="dxa"/>
            <w:tcBorders>
              <w:bottom w:val="nil"/>
            </w:tcBorders>
            <w:shd w:val="clear" w:color="auto" w:fill="auto"/>
          </w:tcPr>
          <w:p w:rsidR="00761CC1" w:rsidRPr="00B107B4" w:rsidRDefault="0092057C" w:rsidP="00BF1FAF">
            <w:pPr>
              <w:tabs>
                <w:tab w:val="left" w:pos="255"/>
              </w:tabs>
              <w:spacing w:before="240" w:after="120"/>
              <w:rPr>
                <w:sz w:val="24"/>
              </w:rPr>
            </w:pPr>
            <w:r>
              <w:tab/>
            </w:r>
            <w:r w:rsidR="00761CC1" w:rsidRPr="00B107B4">
              <w:tab/>
            </w:r>
            <w:r w:rsidR="00761CC1" w:rsidRPr="00B107B4">
              <w:rPr>
                <w:i/>
                <w:sz w:val="24"/>
              </w:rPr>
              <w:t>Summary</w:t>
            </w:r>
          </w:p>
        </w:tc>
      </w:tr>
      <w:tr w:rsidR="00761CC1" w:rsidRPr="000A7F3D" w:rsidTr="00BF1FAF">
        <w:trPr>
          <w:jc w:val="center"/>
        </w:trPr>
        <w:tc>
          <w:tcPr>
            <w:tcW w:w="9082" w:type="dxa"/>
            <w:tcBorders>
              <w:top w:val="nil"/>
              <w:bottom w:val="nil"/>
            </w:tcBorders>
            <w:shd w:val="clear" w:color="auto" w:fill="auto"/>
          </w:tcPr>
          <w:p w:rsidR="00761CC1" w:rsidRPr="005046AB" w:rsidRDefault="00761CC1" w:rsidP="00BF1FAF">
            <w:pPr>
              <w:pStyle w:val="Hoofdtekst"/>
              <w:tabs>
                <w:tab w:val="left" w:pos="1139"/>
                <w:tab w:val="left" w:pos="3407"/>
              </w:tabs>
              <w:spacing w:before="120"/>
              <w:ind w:left="3407" w:right="713" w:hanging="226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107B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GB" w:eastAsia="en-US"/>
              </w:rPr>
              <w:t>Executive summary</w:t>
            </w:r>
            <w:r w:rsidRPr="00B107B4">
              <w:rPr>
                <w:rFonts w:ascii="Times New Roman" w:eastAsia="Times New Roman" w:hAnsi="Times New Roman" w:cs="Times New Roman"/>
                <w:color w:val="auto"/>
                <w:sz w:val="20"/>
                <w:lang w:val="en-GB" w:eastAsia="en-US"/>
              </w:rPr>
              <w:t>:</w:t>
            </w:r>
            <w:r w:rsidRPr="00B107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en-US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The aim of this proposal is to clarify certain entries of column 15 </w:t>
            </w:r>
            <w:r w:rsidR="001532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the Dangerous Goods List (chapter 3.2) where we cannot find any packing instruction in column 8 but </w:t>
            </w:r>
            <w:r w:rsidR="001532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the contrary we find in column 15 a transport category concerning 1.1.3.6 exemptions related to quantities carried by transport unit, creating to the user some ambiguity.</w:t>
            </w:r>
          </w:p>
          <w:p w:rsidR="00761CC1" w:rsidRPr="00B107B4" w:rsidRDefault="00761CC1" w:rsidP="00BF1FAF">
            <w:pPr>
              <w:spacing w:after="120"/>
              <w:ind w:left="3402" w:right="1134" w:hanging="2268"/>
              <w:jc w:val="both"/>
              <w:rPr>
                <w:lang w:val="en-US"/>
              </w:rPr>
            </w:pPr>
          </w:p>
        </w:tc>
      </w:tr>
      <w:tr w:rsidR="00761CC1" w:rsidRPr="000A7F3D" w:rsidTr="00BF1FAF">
        <w:trPr>
          <w:jc w:val="center"/>
        </w:trPr>
        <w:tc>
          <w:tcPr>
            <w:tcW w:w="9082" w:type="dxa"/>
            <w:tcBorders>
              <w:top w:val="nil"/>
              <w:bottom w:val="nil"/>
            </w:tcBorders>
            <w:shd w:val="clear" w:color="auto" w:fill="auto"/>
          </w:tcPr>
          <w:p w:rsidR="00761CC1" w:rsidRPr="00B107B4" w:rsidRDefault="00761CC1" w:rsidP="0015329A">
            <w:pPr>
              <w:spacing w:after="120"/>
              <w:ind w:left="3402" w:right="713" w:hanging="2268"/>
              <w:jc w:val="both"/>
              <w:rPr>
                <w:lang w:val="en-US"/>
              </w:rPr>
            </w:pPr>
            <w:r w:rsidRPr="00B107B4">
              <w:rPr>
                <w:b/>
              </w:rPr>
              <w:t>Action to be taken</w:t>
            </w:r>
            <w:r w:rsidRPr="00B107B4">
              <w:t>:</w:t>
            </w:r>
            <w:r w:rsidRPr="00B107B4">
              <w:tab/>
            </w:r>
            <w:r>
              <w:t xml:space="preserve">Amend this table, in order to remove ambiguity and giving to </w:t>
            </w:r>
            <w:r w:rsidR="0015329A">
              <w:t>these entries</w:t>
            </w:r>
            <w:r>
              <w:t xml:space="preserve"> (with no packaging instructions) the same result i.e. no exemptions according to 1.1.3.6.</w:t>
            </w:r>
          </w:p>
        </w:tc>
      </w:tr>
      <w:tr w:rsidR="00761CC1" w:rsidRPr="009045F5" w:rsidTr="00BF1FAF">
        <w:trPr>
          <w:trHeight w:val="66"/>
          <w:jc w:val="center"/>
        </w:trPr>
        <w:tc>
          <w:tcPr>
            <w:tcW w:w="9082" w:type="dxa"/>
            <w:tcBorders>
              <w:top w:val="nil"/>
            </w:tcBorders>
            <w:shd w:val="clear" w:color="auto" w:fill="auto"/>
          </w:tcPr>
          <w:p w:rsidR="00761CC1" w:rsidRPr="00B107B4" w:rsidRDefault="00761CC1" w:rsidP="00BF1FAF"/>
        </w:tc>
      </w:tr>
    </w:tbl>
    <w:p w:rsidR="00761CC1" w:rsidRPr="00436A32" w:rsidRDefault="00761CC1" w:rsidP="00761CC1">
      <w:pPr>
        <w:pStyle w:val="HChG"/>
        <w:ind w:left="1341" w:hanging="490"/>
      </w:pPr>
      <w:r>
        <w:rPr>
          <w:b w:val="0"/>
          <w:sz w:val="20"/>
        </w:rPr>
        <w:br w:type="page"/>
      </w:r>
      <w:r w:rsidRPr="00436A32">
        <w:lastRenderedPageBreak/>
        <w:t>Introduction</w:t>
      </w:r>
    </w:p>
    <w:p w:rsidR="00761CC1" w:rsidRDefault="0015329A" w:rsidP="00761CC1">
      <w:pPr>
        <w:pStyle w:val="SingleTxtG"/>
        <w:ind w:left="851" w:right="850"/>
      </w:pPr>
      <w:r>
        <w:t>1.</w:t>
      </w:r>
      <w:r>
        <w:tab/>
        <w:t>Some entries</w:t>
      </w:r>
      <w:r w:rsidR="00761CC1" w:rsidRPr="00DD50FF">
        <w:t xml:space="preserve"> of the Dangerous Goods List (chapter 3.2) have no packing instructions in column 8, which means that the transport in packaging is not allowed. However we find in column 15 a transport category (e.g. 0, 2, </w:t>
      </w:r>
      <w:proofErr w:type="gramStart"/>
      <w:r w:rsidR="00761CC1" w:rsidRPr="00DD50FF">
        <w:t>3</w:t>
      </w:r>
      <w:proofErr w:type="gramEnd"/>
      <w:r w:rsidR="00761CC1" w:rsidRPr="00DD50FF">
        <w:t xml:space="preserve">) concerning 1.1.3.6 exemptions. These exemptions are related to maximum total quantity carried by the transport unit and are applicable only to the </w:t>
      </w:r>
      <w:r>
        <w:t>carriage</w:t>
      </w:r>
      <w:r w:rsidR="00761CC1" w:rsidRPr="00DD50FF">
        <w:t xml:space="preserve"> of packages. This creates some ambiguity, and perhaps is misleading, creating a wrong interpretation. The complete list of dangerous substances affected by this inconsistency is listed (by UN numbers) in the following table:</w:t>
      </w:r>
    </w:p>
    <w:tbl>
      <w:tblPr>
        <w:tblW w:w="8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122"/>
        <w:gridCol w:w="672"/>
        <w:gridCol w:w="916"/>
        <w:gridCol w:w="905"/>
        <w:gridCol w:w="783"/>
        <w:gridCol w:w="1105"/>
        <w:gridCol w:w="1105"/>
      </w:tblGrid>
      <w:tr w:rsidR="00606C75" w:rsidRPr="00EC111D" w:rsidTr="00FD45A8">
        <w:trPr>
          <w:trHeight w:val="20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606C75" w:rsidRPr="00EC111D" w:rsidRDefault="00606C75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UN No.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606C75" w:rsidRPr="00EC111D" w:rsidRDefault="00606C75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Name and description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606C75" w:rsidRPr="00EC111D" w:rsidRDefault="00606C75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Class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  <w:hideMark/>
          </w:tcPr>
          <w:p w:rsidR="00606C75" w:rsidRPr="00EC111D" w:rsidRDefault="00606C75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proofErr w:type="spellStart"/>
            <w:r w:rsidRPr="00EC111D">
              <w:rPr>
                <w:b/>
                <w:bCs/>
                <w:sz w:val="14"/>
                <w:szCs w:val="14"/>
                <w:lang w:eastAsia="en-GB"/>
              </w:rPr>
              <w:t>Classifi-cation</w:t>
            </w:r>
            <w:proofErr w:type="spellEnd"/>
            <w:r w:rsidRPr="00EC111D">
              <w:rPr>
                <w:b/>
                <w:bCs/>
                <w:sz w:val="14"/>
                <w:szCs w:val="14"/>
                <w:lang w:eastAsia="en-GB"/>
              </w:rPr>
              <w:t xml:space="preserve"> code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606C75" w:rsidRPr="00EC111D" w:rsidRDefault="00606C75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Packing group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  <w:hideMark/>
          </w:tcPr>
          <w:p w:rsidR="00606C75" w:rsidRPr="00EC111D" w:rsidRDefault="00606C75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Labels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606C75" w:rsidRPr="00EC111D" w:rsidRDefault="00606C75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Packaging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606C75" w:rsidRPr="00EC111D" w:rsidRDefault="00606C75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Transport category</w:t>
            </w:r>
            <w:r w:rsidRPr="00EC111D">
              <w:rPr>
                <w:b/>
                <w:bCs/>
                <w:sz w:val="14"/>
                <w:szCs w:val="14"/>
                <w:lang w:eastAsia="en-GB"/>
              </w:rPr>
              <w:br/>
              <w:t>(Tunnel restriction code)</w:t>
            </w:r>
          </w:p>
        </w:tc>
      </w:tr>
      <w:tr w:rsidR="00606C75" w:rsidRPr="00EC111D" w:rsidTr="00734E1A">
        <w:trPr>
          <w:trHeight w:val="20"/>
          <w:jc w:val="center"/>
        </w:trPr>
        <w:tc>
          <w:tcPr>
            <w:tcW w:w="616" w:type="dxa"/>
            <w:vMerge/>
            <w:tcBorders>
              <w:bottom w:val="nil"/>
            </w:tcBorders>
            <w:hideMark/>
          </w:tcPr>
          <w:p w:rsidR="00606C75" w:rsidRPr="00EC111D" w:rsidRDefault="00606C75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2122" w:type="dxa"/>
            <w:vMerge/>
            <w:tcBorders>
              <w:bottom w:val="nil"/>
            </w:tcBorders>
            <w:hideMark/>
          </w:tcPr>
          <w:p w:rsidR="00606C75" w:rsidRPr="00EC111D" w:rsidRDefault="00606C75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vMerge/>
            <w:tcBorders>
              <w:bottom w:val="nil"/>
            </w:tcBorders>
            <w:hideMark/>
          </w:tcPr>
          <w:p w:rsidR="00606C75" w:rsidRPr="00EC111D" w:rsidRDefault="00606C75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nil"/>
            </w:tcBorders>
            <w:hideMark/>
          </w:tcPr>
          <w:p w:rsidR="00606C75" w:rsidRPr="00EC111D" w:rsidRDefault="00606C75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905" w:type="dxa"/>
            <w:vMerge/>
            <w:tcBorders>
              <w:bottom w:val="nil"/>
            </w:tcBorders>
            <w:hideMark/>
          </w:tcPr>
          <w:p w:rsidR="00606C75" w:rsidRPr="00EC111D" w:rsidRDefault="00606C75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783" w:type="dxa"/>
            <w:vMerge/>
            <w:tcBorders>
              <w:bottom w:val="nil"/>
            </w:tcBorders>
            <w:hideMark/>
          </w:tcPr>
          <w:p w:rsidR="00606C75" w:rsidRPr="00EC111D" w:rsidRDefault="00606C75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1105" w:type="dxa"/>
            <w:tcBorders>
              <w:bottom w:val="nil"/>
            </w:tcBorders>
            <w:shd w:val="clear" w:color="auto" w:fill="auto"/>
            <w:hideMark/>
          </w:tcPr>
          <w:p w:rsidR="00606C75" w:rsidRPr="00EC111D" w:rsidRDefault="000B5F4E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Packing instruc</w:t>
            </w:r>
            <w:r w:rsidR="00606C75" w:rsidRPr="00EC111D">
              <w:rPr>
                <w:b/>
                <w:bCs/>
                <w:sz w:val="14"/>
                <w:szCs w:val="14"/>
                <w:lang w:eastAsia="en-GB"/>
              </w:rPr>
              <w:t>tions</w:t>
            </w:r>
          </w:p>
        </w:tc>
        <w:tc>
          <w:tcPr>
            <w:tcW w:w="1105" w:type="dxa"/>
            <w:vMerge/>
            <w:tcBorders>
              <w:bottom w:val="nil"/>
            </w:tcBorders>
            <w:hideMark/>
          </w:tcPr>
          <w:p w:rsidR="00606C75" w:rsidRPr="00EC111D" w:rsidRDefault="00606C75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</w:p>
        </w:tc>
      </w:tr>
      <w:tr w:rsidR="005B5FD4" w:rsidRPr="00EC111D" w:rsidTr="00734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</w:rPr>
            </w:pPr>
            <w:r w:rsidRPr="00EC111D">
              <w:rPr>
                <w:b/>
                <w:bCs/>
                <w:sz w:val="14"/>
                <w:szCs w:val="14"/>
              </w:rPr>
              <w:t>3.1.2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</w:rPr>
            </w:pPr>
            <w:r w:rsidRPr="00EC111D">
              <w:rPr>
                <w:b/>
                <w:bCs/>
                <w:sz w:val="14"/>
                <w:szCs w:val="14"/>
              </w:rPr>
              <w:t>2.2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</w:rPr>
            </w:pPr>
            <w:r w:rsidRPr="00EC111D">
              <w:rPr>
                <w:b/>
                <w:bCs/>
                <w:sz w:val="14"/>
                <w:szCs w:val="14"/>
              </w:rPr>
              <w:t>2.2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</w:rPr>
            </w:pPr>
            <w:r w:rsidRPr="00EC111D">
              <w:rPr>
                <w:b/>
                <w:bCs/>
                <w:sz w:val="14"/>
                <w:szCs w:val="14"/>
              </w:rPr>
              <w:t>2.1.1.3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</w:rPr>
            </w:pPr>
            <w:r w:rsidRPr="00EC111D">
              <w:rPr>
                <w:b/>
                <w:bCs/>
                <w:sz w:val="14"/>
                <w:szCs w:val="14"/>
              </w:rPr>
              <w:t>5.2.2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</w:rPr>
            </w:pPr>
            <w:r w:rsidRPr="00EC111D">
              <w:rPr>
                <w:b/>
                <w:bCs/>
                <w:sz w:val="14"/>
                <w:szCs w:val="14"/>
              </w:rPr>
              <w:t>4.1.4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</w:rPr>
            </w:pPr>
            <w:r w:rsidRPr="00EC111D">
              <w:rPr>
                <w:b/>
                <w:bCs/>
                <w:sz w:val="14"/>
                <w:szCs w:val="14"/>
              </w:rPr>
              <w:t>1.1.3.6 (8.6)</w:t>
            </w:r>
          </w:p>
        </w:tc>
      </w:tr>
      <w:tr w:rsidR="00EA2C27" w:rsidRPr="00EC111D" w:rsidTr="00734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7" w:rsidRPr="00EC111D" w:rsidRDefault="00EA2C27" w:rsidP="000B5F4E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</w:rPr>
            </w:pPr>
            <w:r w:rsidRPr="00EC111D">
              <w:rPr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7" w:rsidRPr="00EC111D" w:rsidRDefault="00EA2C27" w:rsidP="000B5F4E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</w:rPr>
            </w:pPr>
            <w:r w:rsidRPr="00EC111D">
              <w:rPr>
                <w:b/>
                <w:bCs/>
                <w:sz w:val="14"/>
                <w:szCs w:val="14"/>
              </w:rPr>
              <w:t>(2)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7" w:rsidRPr="00EC111D" w:rsidRDefault="00EA2C27" w:rsidP="000B5F4E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</w:rPr>
            </w:pPr>
            <w:r w:rsidRPr="00EC111D">
              <w:rPr>
                <w:b/>
                <w:bCs/>
                <w:sz w:val="14"/>
                <w:szCs w:val="14"/>
              </w:rPr>
              <w:t>(3a)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7" w:rsidRPr="00EC111D" w:rsidRDefault="00EA2C27" w:rsidP="000B5F4E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</w:rPr>
            </w:pPr>
            <w:r w:rsidRPr="00EC111D">
              <w:rPr>
                <w:b/>
                <w:bCs/>
                <w:sz w:val="14"/>
                <w:szCs w:val="14"/>
              </w:rPr>
              <w:t>(3b)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7" w:rsidRPr="00EC111D" w:rsidRDefault="00EA2C27" w:rsidP="000B5F4E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</w:rPr>
            </w:pPr>
            <w:r w:rsidRPr="00EC111D">
              <w:rPr>
                <w:b/>
                <w:bCs/>
                <w:sz w:val="14"/>
                <w:szCs w:val="14"/>
              </w:rPr>
              <w:t>(4)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7" w:rsidRPr="00EC111D" w:rsidRDefault="00EA2C27" w:rsidP="000B5F4E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</w:rPr>
            </w:pPr>
            <w:r w:rsidRPr="00EC111D">
              <w:rPr>
                <w:b/>
                <w:bCs/>
                <w:sz w:val="14"/>
                <w:szCs w:val="14"/>
              </w:rPr>
              <w:t>(5)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7" w:rsidRPr="00EC111D" w:rsidRDefault="00EA2C27" w:rsidP="000B5F4E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</w:rPr>
            </w:pPr>
            <w:r w:rsidRPr="00EC111D">
              <w:rPr>
                <w:b/>
                <w:bCs/>
                <w:sz w:val="14"/>
                <w:szCs w:val="14"/>
              </w:rPr>
              <w:t>(8)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27" w:rsidRPr="00EC111D" w:rsidRDefault="00EA2C27" w:rsidP="000B5F4E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</w:rPr>
            </w:pPr>
            <w:r w:rsidRPr="00EC111D">
              <w:rPr>
                <w:b/>
                <w:bCs/>
                <w:sz w:val="14"/>
                <w:szCs w:val="14"/>
              </w:rPr>
              <w:t>(15)</w:t>
            </w:r>
          </w:p>
        </w:tc>
      </w:tr>
      <w:tr w:rsidR="00EA2C27" w:rsidRPr="00EC111D" w:rsidTr="00734E1A">
        <w:trPr>
          <w:trHeight w:val="20"/>
          <w:jc w:val="center"/>
        </w:trPr>
        <w:tc>
          <w:tcPr>
            <w:tcW w:w="616" w:type="dxa"/>
          </w:tcPr>
          <w:p w:rsidR="00EA2C27" w:rsidRPr="00EC111D" w:rsidRDefault="00EA2C27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1043</w:t>
            </w:r>
          </w:p>
        </w:tc>
        <w:tc>
          <w:tcPr>
            <w:tcW w:w="2122" w:type="dxa"/>
          </w:tcPr>
          <w:p w:rsidR="00EA2C27" w:rsidRPr="00EC111D" w:rsidRDefault="00EA2C27" w:rsidP="000B5F4E">
            <w:pPr>
              <w:suppressAutoHyphens w:val="0"/>
              <w:spacing w:beforeLines="20" w:before="48" w:afterLines="20" w:after="48" w:line="240" w:lineRule="auto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sz w:val="14"/>
                <w:szCs w:val="14"/>
                <w:lang w:eastAsia="en-GB"/>
              </w:rPr>
              <w:t>FERTILIZER AMMONIATING SOLUTION with free ammonia</w:t>
            </w:r>
          </w:p>
        </w:tc>
        <w:tc>
          <w:tcPr>
            <w:tcW w:w="672" w:type="dxa"/>
          </w:tcPr>
          <w:p w:rsidR="00EA2C27" w:rsidRPr="00EC111D" w:rsidRDefault="00EA2C27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2</w:t>
            </w:r>
          </w:p>
        </w:tc>
        <w:tc>
          <w:tcPr>
            <w:tcW w:w="916" w:type="dxa"/>
          </w:tcPr>
          <w:p w:rsidR="00EA2C27" w:rsidRPr="00EC111D" w:rsidRDefault="00EA2C27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4A</w:t>
            </w:r>
          </w:p>
        </w:tc>
        <w:tc>
          <w:tcPr>
            <w:tcW w:w="905" w:type="dxa"/>
          </w:tcPr>
          <w:p w:rsidR="00EA2C27" w:rsidRPr="00EC111D" w:rsidRDefault="00EA2C27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</w:tcPr>
          <w:p w:rsidR="00EA2C27" w:rsidRPr="00EC111D" w:rsidRDefault="00EA2C27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2.2</w:t>
            </w:r>
          </w:p>
        </w:tc>
        <w:tc>
          <w:tcPr>
            <w:tcW w:w="1105" w:type="dxa"/>
            <w:shd w:val="clear" w:color="auto" w:fill="auto"/>
          </w:tcPr>
          <w:p w:rsidR="00EA2C27" w:rsidRPr="00EC111D" w:rsidRDefault="00EA2C27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</w:tcPr>
          <w:p w:rsidR="00EA2C27" w:rsidRPr="00EC111D" w:rsidRDefault="00EA2C27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br/>
              <w:t>(E)</w:t>
            </w:r>
          </w:p>
        </w:tc>
      </w:tr>
      <w:tr w:rsidR="005B5FD4" w:rsidRPr="00EC111D" w:rsidTr="00734E1A">
        <w:trPr>
          <w:trHeight w:val="20"/>
          <w:jc w:val="center"/>
        </w:trPr>
        <w:tc>
          <w:tcPr>
            <w:tcW w:w="616" w:type="dxa"/>
          </w:tcPr>
          <w:p w:rsidR="005B5FD4" w:rsidRPr="00EC111D" w:rsidRDefault="005B5FD4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1600</w:t>
            </w:r>
          </w:p>
        </w:tc>
        <w:tc>
          <w:tcPr>
            <w:tcW w:w="2122" w:type="dxa"/>
          </w:tcPr>
          <w:p w:rsidR="005B5FD4" w:rsidRPr="00EC111D" w:rsidRDefault="005B5FD4" w:rsidP="000B5F4E">
            <w:pPr>
              <w:spacing w:beforeLines="20" w:before="48" w:afterLines="20" w:after="48"/>
              <w:rPr>
                <w:sz w:val="14"/>
                <w:szCs w:val="14"/>
                <w:lang w:eastAsia="en-GB"/>
              </w:rPr>
            </w:pPr>
            <w:r w:rsidRPr="00EC111D">
              <w:rPr>
                <w:sz w:val="14"/>
                <w:szCs w:val="14"/>
              </w:rPr>
              <w:t>DINITROTOLUENES, MOLTEN</w:t>
            </w:r>
          </w:p>
        </w:tc>
        <w:tc>
          <w:tcPr>
            <w:tcW w:w="672" w:type="dxa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6.1</w:t>
            </w:r>
          </w:p>
        </w:tc>
        <w:tc>
          <w:tcPr>
            <w:tcW w:w="916" w:type="dxa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T1</w:t>
            </w:r>
          </w:p>
        </w:tc>
        <w:tc>
          <w:tcPr>
            <w:tcW w:w="905" w:type="dxa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II</w:t>
            </w:r>
          </w:p>
        </w:tc>
        <w:tc>
          <w:tcPr>
            <w:tcW w:w="783" w:type="dxa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6.1</w:t>
            </w:r>
          </w:p>
        </w:tc>
        <w:tc>
          <w:tcPr>
            <w:tcW w:w="1105" w:type="dxa"/>
            <w:shd w:val="clear" w:color="auto" w:fill="auto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0</w:t>
            </w:r>
            <w:r w:rsidRPr="00EC111D">
              <w:rPr>
                <w:sz w:val="14"/>
                <w:szCs w:val="14"/>
              </w:rPr>
              <w:br/>
              <w:t>(D/E)</w:t>
            </w:r>
          </w:p>
        </w:tc>
      </w:tr>
      <w:tr w:rsidR="005B5FD4" w:rsidRPr="00EC111D" w:rsidTr="00734E1A">
        <w:trPr>
          <w:trHeight w:val="20"/>
          <w:jc w:val="center"/>
        </w:trPr>
        <w:tc>
          <w:tcPr>
            <w:tcW w:w="616" w:type="dxa"/>
          </w:tcPr>
          <w:p w:rsidR="005B5FD4" w:rsidRPr="00EC111D" w:rsidRDefault="005B5FD4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2215</w:t>
            </w:r>
          </w:p>
        </w:tc>
        <w:tc>
          <w:tcPr>
            <w:tcW w:w="2122" w:type="dxa"/>
          </w:tcPr>
          <w:p w:rsidR="005B5FD4" w:rsidRPr="00EC111D" w:rsidRDefault="005B5FD4" w:rsidP="000B5F4E">
            <w:pPr>
              <w:spacing w:beforeLines="20" w:before="48" w:afterLines="20" w:after="48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MALEIC ANHYDRIDE, MOLTEN</w:t>
            </w:r>
          </w:p>
        </w:tc>
        <w:tc>
          <w:tcPr>
            <w:tcW w:w="672" w:type="dxa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8</w:t>
            </w:r>
          </w:p>
        </w:tc>
        <w:tc>
          <w:tcPr>
            <w:tcW w:w="916" w:type="dxa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C3</w:t>
            </w:r>
          </w:p>
        </w:tc>
        <w:tc>
          <w:tcPr>
            <w:tcW w:w="905" w:type="dxa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III</w:t>
            </w:r>
          </w:p>
        </w:tc>
        <w:tc>
          <w:tcPr>
            <w:tcW w:w="783" w:type="dxa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</w:tcPr>
          <w:p w:rsidR="005B5FD4" w:rsidRPr="00EC111D" w:rsidRDefault="005B5FD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0</w:t>
            </w:r>
            <w:r w:rsidRPr="00EC111D">
              <w:rPr>
                <w:sz w:val="14"/>
                <w:szCs w:val="14"/>
              </w:rPr>
              <w:br/>
              <w:t>(E)</w:t>
            </w:r>
          </w:p>
        </w:tc>
      </w:tr>
      <w:tr w:rsidR="007F5524" w:rsidRPr="00EC111D" w:rsidTr="00734E1A">
        <w:trPr>
          <w:trHeight w:val="20"/>
          <w:jc w:val="center"/>
        </w:trPr>
        <w:tc>
          <w:tcPr>
            <w:tcW w:w="616" w:type="dxa"/>
          </w:tcPr>
          <w:p w:rsidR="007F5524" w:rsidRPr="00EC111D" w:rsidRDefault="007F5524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2304</w:t>
            </w:r>
          </w:p>
        </w:tc>
        <w:tc>
          <w:tcPr>
            <w:tcW w:w="2122" w:type="dxa"/>
          </w:tcPr>
          <w:p w:rsidR="007F5524" w:rsidRPr="00EC111D" w:rsidRDefault="007F5524" w:rsidP="000B5F4E">
            <w:pPr>
              <w:spacing w:beforeLines="20" w:before="48" w:afterLines="20" w:after="48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NAPHTHALENE, MOLTEN</w:t>
            </w:r>
          </w:p>
        </w:tc>
        <w:tc>
          <w:tcPr>
            <w:tcW w:w="672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4.1</w:t>
            </w:r>
          </w:p>
        </w:tc>
        <w:tc>
          <w:tcPr>
            <w:tcW w:w="916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F2</w:t>
            </w:r>
          </w:p>
        </w:tc>
        <w:tc>
          <w:tcPr>
            <w:tcW w:w="9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III</w:t>
            </w:r>
          </w:p>
        </w:tc>
        <w:tc>
          <w:tcPr>
            <w:tcW w:w="783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4.1</w:t>
            </w:r>
          </w:p>
        </w:tc>
        <w:tc>
          <w:tcPr>
            <w:tcW w:w="1105" w:type="dxa"/>
            <w:shd w:val="clear" w:color="auto" w:fill="auto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3</w:t>
            </w:r>
            <w:r w:rsidRPr="00EC111D">
              <w:rPr>
                <w:sz w:val="14"/>
                <w:szCs w:val="14"/>
              </w:rPr>
              <w:br/>
              <w:t>(E)</w:t>
            </w:r>
          </w:p>
        </w:tc>
      </w:tr>
      <w:tr w:rsidR="007F5524" w:rsidRPr="00EC111D" w:rsidTr="00734E1A">
        <w:trPr>
          <w:trHeight w:val="20"/>
          <w:jc w:val="center"/>
        </w:trPr>
        <w:tc>
          <w:tcPr>
            <w:tcW w:w="616" w:type="dxa"/>
          </w:tcPr>
          <w:p w:rsidR="007F5524" w:rsidRPr="00EC111D" w:rsidRDefault="007F5524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2312</w:t>
            </w:r>
          </w:p>
        </w:tc>
        <w:tc>
          <w:tcPr>
            <w:tcW w:w="2122" w:type="dxa"/>
          </w:tcPr>
          <w:p w:rsidR="007F5524" w:rsidRPr="00EC111D" w:rsidRDefault="007F5524" w:rsidP="000B5F4E">
            <w:pPr>
              <w:spacing w:beforeLines="20" w:before="48" w:afterLines="20" w:after="48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PHENOL, MOLTEN</w:t>
            </w:r>
          </w:p>
        </w:tc>
        <w:tc>
          <w:tcPr>
            <w:tcW w:w="672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6.1</w:t>
            </w:r>
          </w:p>
        </w:tc>
        <w:tc>
          <w:tcPr>
            <w:tcW w:w="916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T1</w:t>
            </w:r>
          </w:p>
        </w:tc>
        <w:tc>
          <w:tcPr>
            <w:tcW w:w="9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II</w:t>
            </w:r>
          </w:p>
        </w:tc>
        <w:tc>
          <w:tcPr>
            <w:tcW w:w="783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6.1</w:t>
            </w:r>
          </w:p>
        </w:tc>
        <w:tc>
          <w:tcPr>
            <w:tcW w:w="1105" w:type="dxa"/>
            <w:shd w:val="clear" w:color="auto" w:fill="auto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0</w:t>
            </w:r>
            <w:r w:rsidRPr="00EC111D">
              <w:rPr>
                <w:sz w:val="14"/>
                <w:szCs w:val="14"/>
              </w:rPr>
              <w:br/>
              <w:t>(D/E)</w:t>
            </w:r>
          </w:p>
        </w:tc>
      </w:tr>
      <w:tr w:rsidR="007F5524" w:rsidRPr="00EC111D" w:rsidTr="00734E1A">
        <w:trPr>
          <w:trHeight w:val="20"/>
          <w:jc w:val="center"/>
        </w:trPr>
        <w:tc>
          <w:tcPr>
            <w:tcW w:w="616" w:type="dxa"/>
          </w:tcPr>
          <w:p w:rsidR="007F5524" w:rsidRPr="00EC111D" w:rsidRDefault="007F5524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2426</w:t>
            </w:r>
          </w:p>
        </w:tc>
        <w:tc>
          <w:tcPr>
            <w:tcW w:w="2122" w:type="dxa"/>
          </w:tcPr>
          <w:p w:rsidR="007F5524" w:rsidRPr="00EC111D" w:rsidRDefault="007F5524" w:rsidP="000B5F4E">
            <w:pPr>
              <w:spacing w:beforeLines="20" w:before="48" w:afterLines="20" w:after="48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AMMONIUM NITRATE, LIQUID, hot concentrated solution, in a concentration of more than 80% but not more than 93%</w:t>
            </w:r>
          </w:p>
        </w:tc>
        <w:tc>
          <w:tcPr>
            <w:tcW w:w="672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5.1</w:t>
            </w:r>
          </w:p>
        </w:tc>
        <w:tc>
          <w:tcPr>
            <w:tcW w:w="916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O1</w:t>
            </w:r>
          </w:p>
        </w:tc>
        <w:tc>
          <w:tcPr>
            <w:tcW w:w="9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5.1</w:t>
            </w:r>
          </w:p>
        </w:tc>
        <w:tc>
          <w:tcPr>
            <w:tcW w:w="1105" w:type="dxa"/>
            <w:shd w:val="clear" w:color="auto" w:fill="auto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0</w:t>
            </w:r>
            <w:r w:rsidRPr="00EC111D">
              <w:rPr>
                <w:sz w:val="14"/>
                <w:szCs w:val="14"/>
              </w:rPr>
              <w:br/>
              <w:t>(E)</w:t>
            </w:r>
          </w:p>
        </w:tc>
      </w:tr>
      <w:tr w:rsidR="007F5524" w:rsidRPr="00EC111D" w:rsidTr="00734E1A">
        <w:trPr>
          <w:trHeight w:val="20"/>
          <w:jc w:val="center"/>
        </w:trPr>
        <w:tc>
          <w:tcPr>
            <w:tcW w:w="616" w:type="dxa"/>
          </w:tcPr>
          <w:p w:rsidR="007F5524" w:rsidRPr="00EC111D" w:rsidRDefault="007F5524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2447</w:t>
            </w:r>
          </w:p>
        </w:tc>
        <w:tc>
          <w:tcPr>
            <w:tcW w:w="2122" w:type="dxa"/>
          </w:tcPr>
          <w:p w:rsidR="007F5524" w:rsidRPr="00EC111D" w:rsidRDefault="007F5524" w:rsidP="000B5F4E">
            <w:pPr>
              <w:spacing w:beforeLines="20" w:before="48" w:afterLines="20" w:after="48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PHOSPHORUS, WHITE, MOLTEN</w:t>
            </w:r>
          </w:p>
        </w:tc>
        <w:tc>
          <w:tcPr>
            <w:tcW w:w="672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4.2</w:t>
            </w:r>
          </w:p>
        </w:tc>
        <w:tc>
          <w:tcPr>
            <w:tcW w:w="916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ST3</w:t>
            </w:r>
          </w:p>
        </w:tc>
        <w:tc>
          <w:tcPr>
            <w:tcW w:w="9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I</w:t>
            </w:r>
          </w:p>
        </w:tc>
        <w:tc>
          <w:tcPr>
            <w:tcW w:w="783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4.2</w:t>
            </w:r>
            <w:r w:rsidRPr="00EC111D">
              <w:rPr>
                <w:sz w:val="14"/>
                <w:szCs w:val="14"/>
              </w:rPr>
              <w:br/>
              <w:t>+6.1</w:t>
            </w:r>
          </w:p>
        </w:tc>
        <w:tc>
          <w:tcPr>
            <w:tcW w:w="1105" w:type="dxa"/>
            <w:shd w:val="clear" w:color="auto" w:fill="auto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0</w:t>
            </w:r>
            <w:r w:rsidRPr="00EC111D">
              <w:rPr>
                <w:sz w:val="14"/>
                <w:szCs w:val="14"/>
              </w:rPr>
              <w:br/>
              <w:t>(B/E)</w:t>
            </w:r>
          </w:p>
        </w:tc>
      </w:tr>
      <w:tr w:rsidR="007F5524" w:rsidRPr="00EC111D" w:rsidTr="00734E1A">
        <w:trPr>
          <w:trHeight w:val="20"/>
          <w:jc w:val="center"/>
        </w:trPr>
        <w:tc>
          <w:tcPr>
            <w:tcW w:w="616" w:type="dxa"/>
          </w:tcPr>
          <w:p w:rsidR="007F5524" w:rsidRPr="00EC111D" w:rsidRDefault="007F5524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2448</w:t>
            </w:r>
          </w:p>
        </w:tc>
        <w:tc>
          <w:tcPr>
            <w:tcW w:w="2122" w:type="dxa"/>
          </w:tcPr>
          <w:p w:rsidR="007F5524" w:rsidRPr="00EC111D" w:rsidRDefault="007F5524" w:rsidP="000B5F4E">
            <w:pPr>
              <w:spacing w:beforeLines="20" w:before="48" w:afterLines="20" w:after="48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SULPHUR, MOLTEN</w:t>
            </w:r>
          </w:p>
        </w:tc>
        <w:tc>
          <w:tcPr>
            <w:tcW w:w="672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4.1</w:t>
            </w:r>
          </w:p>
        </w:tc>
        <w:tc>
          <w:tcPr>
            <w:tcW w:w="916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F3</w:t>
            </w:r>
          </w:p>
        </w:tc>
        <w:tc>
          <w:tcPr>
            <w:tcW w:w="9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III</w:t>
            </w:r>
          </w:p>
        </w:tc>
        <w:tc>
          <w:tcPr>
            <w:tcW w:w="783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4.1</w:t>
            </w:r>
          </w:p>
        </w:tc>
        <w:tc>
          <w:tcPr>
            <w:tcW w:w="1105" w:type="dxa"/>
            <w:shd w:val="clear" w:color="auto" w:fill="auto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3</w:t>
            </w:r>
            <w:r w:rsidRPr="00EC111D">
              <w:rPr>
                <w:sz w:val="14"/>
                <w:szCs w:val="14"/>
              </w:rPr>
              <w:br/>
              <w:t>(E)</w:t>
            </w:r>
          </w:p>
        </w:tc>
      </w:tr>
      <w:tr w:rsidR="007F5524" w:rsidRPr="00EC111D" w:rsidTr="00734E1A">
        <w:trPr>
          <w:trHeight w:val="20"/>
          <w:jc w:val="center"/>
        </w:trPr>
        <w:tc>
          <w:tcPr>
            <w:tcW w:w="616" w:type="dxa"/>
          </w:tcPr>
          <w:p w:rsidR="007F5524" w:rsidRPr="00EC111D" w:rsidRDefault="007F5524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2576</w:t>
            </w:r>
          </w:p>
        </w:tc>
        <w:tc>
          <w:tcPr>
            <w:tcW w:w="2122" w:type="dxa"/>
          </w:tcPr>
          <w:p w:rsidR="007F5524" w:rsidRPr="00EC111D" w:rsidRDefault="007F5524" w:rsidP="000B5F4E">
            <w:pPr>
              <w:spacing w:beforeLines="20" w:before="48" w:afterLines="20" w:after="48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PHOSPHORUS OXYBROMIDE, MOLTEN</w:t>
            </w:r>
          </w:p>
        </w:tc>
        <w:tc>
          <w:tcPr>
            <w:tcW w:w="672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8</w:t>
            </w:r>
          </w:p>
        </w:tc>
        <w:tc>
          <w:tcPr>
            <w:tcW w:w="916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C1</w:t>
            </w:r>
          </w:p>
        </w:tc>
        <w:tc>
          <w:tcPr>
            <w:tcW w:w="9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II</w:t>
            </w:r>
          </w:p>
        </w:tc>
        <w:tc>
          <w:tcPr>
            <w:tcW w:w="783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2</w:t>
            </w:r>
            <w:r w:rsidRPr="00EC111D">
              <w:rPr>
                <w:sz w:val="14"/>
                <w:szCs w:val="14"/>
              </w:rPr>
              <w:br/>
              <w:t>(E)</w:t>
            </w:r>
          </w:p>
        </w:tc>
      </w:tr>
      <w:tr w:rsidR="007F5524" w:rsidRPr="00EC111D" w:rsidTr="00734E1A">
        <w:trPr>
          <w:trHeight w:val="20"/>
          <w:jc w:val="center"/>
        </w:trPr>
        <w:tc>
          <w:tcPr>
            <w:tcW w:w="616" w:type="dxa"/>
          </w:tcPr>
          <w:p w:rsidR="007F5524" w:rsidRPr="00EC111D" w:rsidRDefault="007F5524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3176</w:t>
            </w:r>
          </w:p>
        </w:tc>
        <w:tc>
          <w:tcPr>
            <w:tcW w:w="2122" w:type="dxa"/>
          </w:tcPr>
          <w:p w:rsidR="007F5524" w:rsidRPr="00EC111D" w:rsidRDefault="007F5524" w:rsidP="000B5F4E">
            <w:pPr>
              <w:spacing w:beforeLines="20" w:before="48" w:afterLines="20" w:after="48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FLAMMABLE SOLID, ORGANIC, MOLTEN, N.O.S.</w:t>
            </w:r>
          </w:p>
        </w:tc>
        <w:tc>
          <w:tcPr>
            <w:tcW w:w="672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4.1</w:t>
            </w:r>
          </w:p>
        </w:tc>
        <w:tc>
          <w:tcPr>
            <w:tcW w:w="916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F2</w:t>
            </w:r>
          </w:p>
        </w:tc>
        <w:tc>
          <w:tcPr>
            <w:tcW w:w="9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III</w:t>
            </w:r>
          </w:p>
        </w:tc>
        <w:tc>
          <w:tcPr>
            <w:tcW w:w="783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4.1</w:t>
            </w:r>
          </w:p>
        </w:tc>
        <w:tc>
          <w:tcPr>
            <w:tcW w:w="1105" w:type="dxa"/>
            <w:shd w:val="clear" w:color="auto" w:fill="auto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3</w:t>
            </w:r>
            <w:r w:rsidRPr="00EC111D">
              <w:rPr>
                <w:sz w:val="14"/>
                <w:szCs w:val="14"/>
              </w:rPr>
              <w:br/>
              <w:t>(E)</w:t>
            </w:r>
          </w:p>
        </w:tc>
      </w:tr>
      <w:tr w:rsidR="007F5524" w:rsidRPr="00EC111D" w:rsidTr="00734E1A">
        <w:trPr>
          <w:trHeight w:val="20"/>
          <w:jc w:val="center"/>
        </w:trPr>
        <w:tc>
          <w:tcPr>
            <w:tcW w:w="616" w:type="dxa"/>
          </w:tcPr>
          <w:p w:rsidR="007F5524" w:rsidRPr="00EC111D" w:rsidRDefault="007F5524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3176</w:t>
            </w:r>
          </w:p>
        </w:tc>
        <w:tc>
          <w:tcPr>
            <w:tcW w:w="2122" w:type="dxa"/>
          </w:tcPr>
          <w:p w:rsidR="007F5524" w:rsidRPr="00EC111D" w:rsidRDefault="007F5524" w:rsidP="000B5F4E">
            <w:pPr>
              <w:spacing w:beforeLines="20" w:before="48" w:afterLines="20" w:after="48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FLAMMABLE SOLID, ORGANIC, MOLTEN, N.O.S.</w:t>
            </w:r>
          </w:p>
        </w:tc>
        <w:tc>
          <w:tcPr>
            <w:tcW w:w="672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4.1</w:t>
            </w:r>
          </w:p>
        </w:tc>
        <w:tc>
          <w:tcPr>
            <w:tcW w:w="916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F2</w:t>
            </w:r>
          </w:p>
        </w:tc>
        <w:tc>
          <w:tcPr>
            <w:tcW w:w="9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III</w:t>
            </w:r>
          </w:p>
        </w:tc>
        <w:tc>
          <w:tcPr>
            <w:tcW w:w="783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4.1</w:t>
            </w:r>
          </w:p>
        </w:tc>
        <w:tc>
          <w:tcPr>
            <w:tcW w:w="1105" w:type="dxa"/>
            <w:shd w:val="clear" w:color="auto" w:fill="auto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3</w:t>
            </w:r>
            <w:r w:rsidRPr="00EC111D">
              <w:rPr>
                <w:sz w:val="14"/>
                <w:szCs w:val="14"/>
              </w:rPr>
              <w:br/>
              <w:t>(E)</w:t>
            </w:r>
          </w:p>
        </w:tc>
      </w:tr>
      <w:tr w:rsidR="007F5524" w:rsidRPr="00EC111D" w:rsidTr="00734E1A">
        <w:trPr>
          <w:trHeight w:val="20"/>
          <w:jc w:val="center"/>
        </w:trPr>
        <w:tc>
          <w:tcPr>
            <w:tcW w:w="616" w:type="dxa"/>
          </w:tcPr>
          <w:p w:rsidR="007F5524" w:rsidRPr="00EC111D" w:rsidRDefault="007F5524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3250</w:t>
            </w:r>
          </w:p>
        </w:tc>
        <w:tc>
          <w:tcPr>
            <w:tcW w:w="2122" w:type="dxa"/>
          </w:tcPr>
          <w:p w:rsidR="007F5524" w:rsidRPr="00EC111D" w:rsidRDefault="007F5524" w:rsidP="000B5F4E">
            <w:pPr>
              <w:spacing w:beforeLines="20" w:before="48" w:afterLines="20" w:after="48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CHLOROACETIC ACID, MOLTEN</w:t>
            </w:r>
          </w:p>
        </w:tc>
        <w:tc>
          <w:tcPr>
            <w:tcW w:w="672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6.1</w:t>
            </w:r>
          </w:p>
        </w:tc>
        <w:tc>
          <w:tcPr>
            <w:tcW w:w="916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TC1</w:t>
            </w:r>
          </w:p>
        </w:tc>
        <w:tc>
          <w:tcPr>
            <w:tcW w:w="9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II</w:t>
            </w:r>
          </w:p>
        </w:tc>
        <w:tc>
          <w:tcPr>
            <w:tcW w:w="783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6.1</w:t>
            </w:r>
            <w:r w:rsidRPr="00EC111D">
              <w:rPr>
                <w:sz w:val="14"/>
                <w:szCs w:val="14"/>
              </w:rPr>
              <w:br/>
              <w:t>+8</w:t>
            </w:r>
          </w:p>
        </w:tc>
        <w:tc>
          <w:tcPr>
            <w:tcW w:w="1105" w:type="dxa"/>
            <w:shd w:val="clear" w:color="auto" w:fill="auto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0</w:t>
            </w:r>
            <w:r w:rsidRPr="00EC111D">
              <w:rPr>
                <w:sz w:val="14"/>
                <w:szCs w:val="14"/>
              </w:rPr>
              <w:br/>
              <w:t>(D/E)</w:t>
            </w:r>
          </w:p>
        </w:tc>
      </w:tr>
      <w:tr w:rsidR="007F5524" w:rsidRPr="00EC111D" w:rsidTr="00734E1A">
        <w:trPr>
          <w:trHeight w:val="20"/>
          <w:jc w:val="center"/>
        </w:trPr>
        <w:tc>
          <w:tcPr>
            <w:tcW w:w="616" w:type="dxa"/>
          </w:tcPr>
          <w:p w:rsidR="007F5524" w:rsidRPr="00EC111D" w:rsidRDefault="007F5524" w:rsidP="000B5F4E">
            <w:pPr>
              <w:suppressAutoHyphens w:val="0"/>
              <w:spacing w:beforeLines="20" w:before="48" w:afterLines="20" w:after="48" w:line="240" w:lineRule="auto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EC111D">
              <w:rPr>
                <w:b/>
                <w:bCs/>
                <w:sz w:val="14"/>
                <w:szCs w:val="14"/>
                <w:lang w:eastAsia="en-GB"/>
              </w:rPr>
              <w:t>3359</w:t>
            </w:r>
          </w:p>
        </w:tc>
        <w:tc>
          <w:tcPr>
            <w:tcW w:w="2122" w:type="dxa"/>
          </w:tcPr>
          <w:p w:rsidR="007F5524" w:rsidRPr="00EC111D" w:rsidRDefault="007F5524" w:rsidP="000B5F4E">
            <w:pPr>
              <w:spacing w:beforeLines="20" w:before="48" w:afterLines="20" w:after="48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FUMIGATED CARGO TRANSPORT UNIT</w:t>
            </w:r>
          </w:p>
        </w:tc>
        <w:tc>
          <w:tcPr>
            <w:tcW w:w="672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9</w:t>
            </w:r>
          </w:p>
        </w:tc>
        <w:tc>
          <w:tcPr>
            <w:tcW w:w="916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t>M11</w:t>
            </w:r>
          </w:p>
        </w:tc>
        <w:tc>
          <w:tcPr>
            <w:tcW w:w="9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shd w:val="clear" w:color="auto" w:fill="auto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</w:tcPr>
          <w:p w:rsidR="007F5524" w:rsidRPr="00EC111D" w:rsidRDefault="007F5524" w:rsidP="000B5F4E">
            <w:pPr>
              <w:spacing w:beforeLines="20" w:before="48" w:afterLines="20" w:after="48"/>
              <w:jc w:val="center"/>
              <w:rPr>
                <w:sz w:val="14"/>
                <w:szCs w:val="14"/>
              </w:rPr>
            </w:pPr>
            <w:r w:rsidRPr="00EC111D">
              <w:rPr>
                <w:sz w:val="14"/>
                <w:szCs w:val="14"/>
              </w:rPr>
              <w:br/>
              <w:t>(-)</w:t>
            </w:r>
          </w:p>
        </w:tc>
      </w:tr>
    </w:tbl>
    <w:p w:rsidR="00761CC1" w:rsidRPr="00436A32" w:rsidRDefault="0015329A" w:rsidP="0015329A">
      <w:pPr>
        <w:pStyle w:val="H1G"/>
      </w:pPr>
      <w:bookmarkStart w:id="0" w:name="_GoBack"/>
      <w:bookmarkEnd w:id="0"/>
      <w:r>
        <w:lastRenderedPageBreak/>
        <w:tab/>
      </w:r>
      <w:r>
        <w:tab/>
      </w:r>
      <w:r w:rsidR="00761CC1" w:rsidRPr="00436A32">
        <w:t>Proposal 1 (</w:t>
      </w:r>
      <w:r w:rsidR="00761CC1">
        <w:t>a</w:t>
      </w:r>
      <w:r w:rsidR="00761CC1" w:rsidRPr="00436A32">
        <w:t>lternative 1)</w:t>
      </w:r>
    </w:p>
    <w:p w:rsidR="00761CC1" w:rsidRPr="0015329A" w:rsidRDefault="0015329A" w:rsidP="0015329A">
      <w:pPr>
        <w:pStyle w:val="SingleTxtG"/>
      </w:pPr>
      <w:r>
        <w:t>2.</w:t>
      </w:r>
      <w:r>
        <w:tab/>
      </w:r>
      <w:r w:rsidR="00761CC1" w:rsidRPr="0015329A">
        <w:t xml:space="preserve">To avoid this ambiguity we propose to delete the transport category in all </w:t>
      </w:r>
      <w:r>
        <w:t xml:space="preserve">the </w:t>
      </w:r>
      <w:r w:rsidR="00761CC1" w:rsidRPr="0015329A">
        <w:t xml:space="preserve">entries listed above and to introduce a mention made by a hyphen (“-“). </w:t>
      </w:r>
    </w:p>
    <w:p w:rsidR="00761CC1" w:rsidRPr="00436A32" w:rsidRDefault="0015329A" w:rsidP="0015329A">
      <w:pPr>
        <w:pStyle w:val="SingleTxtG"/>
      </w:pPr>
      <w:r>
        <w:t>3.</w:t>
      </w:r>
      <w:r>
        <w:tab/>
      </w:r>
      <w:r w:rsidR="00761CC1" w:rsidRPr="0015329A">
        <w:t>For accomplishing this amendment it would be necessary to change the wording of the following subsections</w:t>
      </w:r>
      <w:r w:rsidR="00761CC1" w:rsidRPr="00436A32">
        <w:t>:</w:t>
      </w:r>
    </w:p>
    <w:p w:rsidR="00761CC1" w:rsidRPr="0015329A" w:rsidRDefault="0015329A" w:rsidP="00EE2670">
      <w:pPr>
        <w:pStyle w:val="SingleTxtG"/>
        <w:ind w:firstLine="567"/>
      </w:pPr>
      <w:r>
        <w:t>-</w:t>
      </w:r>
      <w:r>
        <w:tab/>
      </w:r>
      <w:r w:rsidR="00761CC1" w:rsidRPr="0015329A">
        <w:t xml:space="preserve">In 1.1.3.6 it would be necessary to add: </w:t>
      </w:r>
      <w:r>
        <w:t>“the mention</w:t>
      </w:r>
      <w:r w:rsidR="000B5F4E">
        <w:t>“</w:t>
      </w:r>
      <w:r>
        <w:t>-</w:t>
      </w:r>
      <w:r w:rsidR="000B5F4E">
        <w:t>”</w:t>
      </w:r>
      <w:r w:rsidR="00761CC1" w:rsidRPr="0015329A">
        <w:t>means that no exemption is permitted related to maximum total quantity carried by the transport unit.</w:t>
      </w:r>
      <w:proofErr w:type="gramStart"/>
      <w:r>
        <w:t>”.</w:t>
      </w:r>
      <w:proofErr w:type="gramEnd"/>
    </w:p>
    <w:p w:rsidR="00761CC1" w:rsidRPr="0015329A" w:rsidRDefault="0015329A" w:rsidP="00EE2670">
      <w:pPr>
        <w:pStyle w:val="SingleTxtG"/>
        <w:ind w:firstLine="567"/>
      </w:pPr>
      <w:r>
        <w:t>-</w:t>
      </w:r>
      <w:r>
        <w:tab/>
        <w:t>In 1.8.5.3 the concept of “loss of product”</w:t>
      </w:r>
      <w:r w:rsidR="00761CC1" w:rsidRPr="0015329A">
        <w:t xml:space="preserve"> should be a</w:t>
      </w:r>
      <w:r>
        <w:t>dapted to the new entry (“-”</w:t>
      </w:r>
      <w:r w:rsidR="00761CC1" w:rsidRPr="0015329A">
        <w:t xml:space="preserve">). </w:t>
      </w:r>
      <w:r>
        <w:t>The</w:t>
      </w:r>
      <w:r w:rsidR="00761CC1" w:rsidRPr="0015329A">
        <w:t xml:space="preserve"> quantity </w:t>
      </w:r>
      <w:r>
        <w:t>to</w:t>
      </w:r>
      <w:r w:rsidR="00761CC1" w:rsidRPr="0015329A">
        <w:t xml:space="preserve"> be considered for the purpose of notification of </w:t>
      </w:r>
      <w:proofErr w:type="gramStart"/>
      <w:r w:rsidR="00761CC1" w:rsidRPr="0015329A">
        <w:t>occurrences,</w:t>
      </w:r>
      <w:proofErr w:type="gramEnd"/>
      <w:r w:rsidR="00761CC1" w:rsidRPr="0015329A">
        <w:t xml:space="preserve"> </w:t>
      </w:r>
      <w:r>
        <w:t>should be discussed</w:t>
      </w:r>
      <w:r w:rsidR="00761CC1" w:rsidRPr="0015329A">
        <w:t>.</w:t>
      </w:r>
    </w:p>
    <w:p w:rsidR="00761CC1" w:rsidRPr="0015329A" w:rsidRDefault="0015329A" w:rsidP="00EE2670">
      <w:pPr>
        <w:pStyle w:val="SingleTxtG"/>
        <w:ind w:firstLine="567"/>
      </w:pPr>
      <w:r>
        <w:t>-</w:t>
      </w:r>
      <w:r>
        <w:tab/>
      </w:r>
      <w:r w:rsidR="00761CC1" w:rsidRPr="0015329A">
        <w:t xml:space="preserve">Section 3.2.1 should be changed in order to </w:t>
      </w:r>
      <w:r w:rsidR="00EE2670">
        <w:t xml:space="preserve">explain that the new mention </w:t>
      </w:r>
      <w:r w:rsidR="00EE2670">
        <w:br/>
        <w:t>(“-</w:t>
      </w:r>
      <w:r>
        <w:t>”</w:t>
      </w:r>
      <w:r w:rsidR="00761CC1" w:rsidRPr="0015329A">
        <w:t>) means that no transport category is assigned.</w:t>
      </w:r>
    </w:p>
    <w:p w:rsidR="00761CC1" w:rsidRPr="005759B8" w:rsidRDefault="0015329A" w:rsidP="0015329A">
      <w:pPr>
        <w:pStyle w:val="H1G"/>
      </w:pPr>
      <w:r>
        <w:tab/>
      </w:r>
      <w:r>
        <w:tab/>
      </w:r>
      <w:r w:rsidR="00761CC1" w:rsidRPr="005759B8">
        <w:t>Proposal 2 (alternative 2)</w:t>
      </w:r>
    </w:p>
    <w:p w:rsidR="00761CC1" w:rsidRPr="0015329A" w:rsidRDefault="0015329A" w:rsidP="0015329A">
      <w:pPr>
        <w:pStyle w:val="SingleTxtG"/>
      </w:pPr>
      <w:r>
        <w:t>4.</w:t>
      </w:r>
      <w:r>
        <w:tab/>
      </w:r>
      <w:r w:rsidR="00761CC1" w:rsidRPr="0015329A">
        <w:t>To avoid the same ambiguity we can have an alternative solution:</w:t>
      </w:r>
      <w:r>
        <w:t xml:space="preserve"> to delete</w:t>
      </w:r>
      <w:r w:rsidR="00761CC1" w:rsidRPr="0015329A">
        <w:t xml:space="preserve"> transport categories other than “0” (when assigned), and to extend transport category “0” to these cases, for dangerous goods mentioned in the table above. </w:t>
      </w:r>
      <w:r w:rsidR="00CB6D38">
        <w:t>N</w:t>
      </w:r>
      <w:r w:rsidR="00761CC1" w:rsidRPr="0015329A">
        <w:t>o exemptions from 1.1.3.6 would be accepted for those entries.</w:t>
      </w:r>
    </w:p>
    <w:p w:rsidR="00761CC1" w:rsidRPr="0015329A" w:rsidRDefault="00CB6D38" w:rsidP="0015329A">
      <w:pPr>
        <w:pStyle w:val="SingleTxtG"/>
      </w:pPr>
      <w:r>
        <w:t>5.</w:t>
      </w:r>
      <w:r>
        <w:tab/>
      </w:r>
      <w:r w:rsidR="00761CC1" w:rsidRPr="0015329A">
        <w:t>To accomplish this proposal we should make minor adjustments in 1.1.3.6.3 table, concerning the UN numbers 2304, 2448, 2576 and 3176 under transport category “0”.</w:t>
      </w:r>
    </w:p>
    <w:p w:rsidR="00761CC1" w:rsidRPr="005759B8" w:rsidRDefault="00CB6D38" w:rsidP="00CB6D38">
      <w:pPr>
        <w:pStyle w:val="HChG"/>
      </w:pPr>
      <w:r>
        <w:tab/>
      </w:r>
      <w:r>
        <w:tab/>
      </w:r>
      <w:r w:rsidR="00761CC1" w:rsidRPr="005759B8">
        <w:t>Justification</w:t>
      </w:r>
    </w:p>
    <w:p w:rsidR="00761CC1" w:rsidRPr="00436A32" w:rsidRDefault="00CB6D38" w:rsidP="00CB6D38">
      <w:pPr>
        <w:pStyle w:val="SingleTxtG"/>
      </w:pPr>
      <w:r>
        <w:rPr>
          <w:rStyle w:val="SingleTxtGChar"/>
        </w:rPr>
        <w:t>6.</w:t>
      </w:r>
      <w:r>
        <w:rPr>
          <w:rStyle w:val="SingleTxtGChar"/>
        </w:rPr>
        <w:tab/>
      </w:r>
      <w:r w:rsidR="00761CC1" w:rsidRPr="00436A32">
        <w:rPr>
          <w:rStyle w:val="SingleTxtGChar"/>
        </w:rPr>
        <w:t xml:space="preserve">This proposal aims to ensure uniform application of the regulations </w:t>
      </w:r>
      <w:r w:rsidR="00761CC1">
        <w:rPr>
          <w:rStyle w:val="SingleTxtGChar"/>
        </w:rPr>
        <w:t>concerning table A of</w:t>
      </w:r>
      <w:r w:rsidR="00761CC1" w:rsidRPr="00436A32">
        <w:rPr>
          <w:rStyle w:val="SingleTxtGChar"/>
        </w:rPr>
        <w:t xml:space="preserve"> chapter 3.2, giving clear indication in column </w:t>
      </w:r>
      <w:r w:rsidR="00761CC1">
        <w:rPr>
          <w:rStyle w:val="SingleTxtGChar"/>
        </w:rPr>
        <w:t>(</w:t>
      </w:r>
      <w:r w:rsidR="00761CC1" w:rsidRPr="00436A32">
        <w:rPr>
          <w:rStyle w:val="SingleTxtGChar"/>
        </w:rPr>
        <w:t>15</w:t>
      </w:r>
      <w:r w:rsidR="00761CC1">
        <w:rPr>
          <w:rStyle w:val="SingleTxtGChar"/>
        </w:rPr>
        <w:t>)</w:t>
      </w:r>
      <w:r w:rsidR="00761CC1" w:rsidRPr="00436A32">
        <w:rPr>
          <w:rStyle w:val="SingleTxtGChar"/>
        </w:rPr>
        <w:t xml:space="preserve"> that</w:t>
      </w:r>
      <w:r w:rsidR="00761CC1">
        <w:rPr>
          <w:rStyle w:val="SingleTxtGChar"/>
        </w:rPr>
        <w:t xml:space="preserve"> </w:t>
      </w:r>
      <w:r w:rsidR="00761CC1" w:rsidRPr="00436A32">
        <w:rPr>
          <w:rStyle w:val="SingleTxtGChar"/>
        </w:rPr>
        <w:t>substances which cannot be trans</w:t>
      </w:r>
      <w:r w:rsidR="00761CC1">
        <w:rPr>
          <w:rStyle w:val="SingleTxtGChar"/>
        </w:rPr>
        <w:t>ported in packages [no instructions in column (8</w:t>
      </w:r>
      <w:r w:rsidR="00761CC1" w:rsidRPr="00436A32">
        <w:rPr>
          <w:rStyle w:val="SingleTxtGChar"/>
        </w:rPr>
        <w:t>)</w:t>
      </w:r>
      <w:r w:rsidR="00761CC1">
        <w:rPr>
          <w:rStyle w:val="SingleTxtGChar"/>
        </w:rPr>
        <w:t>]</w:t>
      </w:r>
      <w:r w:rsidR="00761CC1" w:rsidRPr="00436A32">
        <w:rPr>
          <w:rStyle w:val="SingleTxtGChar"/>
        </w:rPr>
        <w:t xml:space="preserve"> do not benefit </w:t>
      </w:r>
      <w:r w:rsidR="00761CC1">
        <w:rPr>
          <w:rStyle w:val="SingleTxtGChar"/>
        </w:rPr>
        <w:t>of</w:t>
      </w:r>
      <w:r w:rsidR="00761CC1" w:rsidRPr="00436A32">
        <w:rPr>
          <w:rStyle w:val="SingleTxtGChar"/>
        </w:rPr>
        <w:t xml:space="preserve"> </w:t>
      </w:r>
      <w:r w:rsidR="00761CC1">
        <w:rPr>
          <w:rStyle w:val="SingleTxtGChar"/>
        </w:rPr>
        <w:t xml:space="preserve">1.1.3.6 exemptions. </w:t>
      </w:r>
    </w:p>
    <w:p w:rsidR="00062BBD" w:rsidRPr="00062BBD" w:rsidRDefault="00062BBD" w:rsidP="00062BB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2BBD" w:rsidRPr="00062BBD" w:rsidSect="001A4BA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27" w:rsidRDefault="00EA2C27"/>
  </w:endnote>
  <w:endnote w:type="continuationSeparator" w:id="0">
    <w:p w:rsidR="00EA2C27" w:rsidRDefault="00EA2C27"/>
  </w:endnote>
  <w:endnote w:type="continuationNotice" w:id="1">
    <w:p w:rsidR="00EA2C27" w:rsidRDefault="00EA2C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27" w:rsidRPr="001A4BA9" w:rsidRDefault="00EA2C27" w:rsidP="001A4BA9">
    <w:pPr>
      <w:pStyle w:val="Footer"/>
      <w:tabs>
        <w:tab w:val="right" w:pos="9638"/>
      </w:tabs>
      <w:rPr>
        <w:sz w:val="18"/>
      </w:rPr>
    </w:pPr>
    <w:r w:rsidRPr="001A4BA9">
      <w:rPr>
        <w:b/>
        <w:sz w:val="18"/>
      </w:rPr>
      <w:fldChar w:fldCharType="begin"/>
    </w:r>
    <w:r w:rsidRPr="001A4BA9">
      <w:rPr>
        <w:b/>
        <w:sz w:val="18"/>
      </w:rPr>
      <w:instrText xml:space="preserve"> PAGE  \* MERGEFORMAT </w:instrText>
    </w:r>
    <w:r w:rsidRPr="001A4BA9">
      <w:rPr>
        <w:b/>
        <w:sz w:val="18"/>
      </w:rPr>
      <w:fldChar w:fldCharType="separate"/>
    </w:r>
    <w:r w:rsidR="00DB0C30">
      <w:rPr>
        <w:b/>
        <w:noProof/>
        <w:sz w:val="18"/>
      </w:rPr>
      <w:t>2</w:t>
    </w:r>
    <w:r w:rsidRPr="001A4BA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27" w:rsidRPr="001A4BA9" w:rsidRDefault="00EA2C27" w:rsidP="001A4BA9">
    <w:pPr>
      <w:pStyle w:val="Footer"/>
      <w:tabs>
        <w:tab w:val="right" w:pos="9638"/>
      </w:tabs>
      <w:rPr>
        <w:b/>
        <w:sz w:val="18"/>
      </w:rPr>
    </w:pPr>
    <w:r>
      <w:tab/>
    </w:r>
    <w:r w:rsidRPr="001A4BA9">
      <w:rPr>
        <w:b/>
        <w:sz w:val="18"/>
      </w:rPr>
      <w:fldChar w:fldCharType="begin"/>
    </w:r>
    <w:r w:rsidRPr="001A4BA9">
      <w:rPr>
        <w:b/>
        <w:sz w:val="18"/>
      </w:rPr>
      <w:instrText xml:space="preserve"> PAGE  \* MERGEFORMAT </w:instrText>
    </w:r>
    <w:r w:rsidRPr="001A4BA9">
      <w:rPr>
        <w:b/>
        <w:sz w:val="18"/>
      </w:rPr>
      <w:fldChar w:fldCharType="separate"/>
    </w:r>
    <w:r w:rsidR="00DB0C30">
      <w:rPr>
        <w:b/>
        <w:noProof/>
        <w:sz w:val="18"/>
      </w:rPr>
      <w:t>3</w:t>
    </w:r>
    <w:r w:rsidRPr="001A4B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27" w:rsidRPr="001A4BA9" w:rsidRDefault="00EA2C27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 wp14:anchorId="562109EB" wp14:editId="4C865084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27" w:rsidRPr="000B175B" w:rsidRDefault="00EA2C2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2C27" w:rsidRPr="00FC68B7" w:rsidRDefault="00EA2C2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A2C27" w:rsidRDefault="00EA2C27"/>
  </w:footnote>
  <w:footnote w:id="2">
    <w:p w:rsidR="00EA2C27" w:rsidRPr="00BA3578" w:rsidRDefault="00EA2C27" w:rsidP="00BA3578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BA3578">
        <w:t>In accordance with the programme of work of the Inland Transport Committee for 2014–2015 (ECE/TRANS/240, para. 100, ECE/TRANS/2014/23, cluster 9, para.9.2).</w:t>
      </w:r>
      <w:proofErr w:type="gramEnd"/>
    </w:p>
  </w:footnote>
  <w:footnote w:id="3">
    <w:p w:rsidR="00EA2C27" w:rsidRPr="00BA3578" w:rsidRDefault="00EA2C27" w:rsidP="00BA3578">
      <w:pPr>
        <w:pStyle w:val="FootnoteText"/>
        <w:widowControl w:val="0"/>
        <w:tabs>
          <w:tab w:val="clear" w:pos="1021"/>
          <w:tab w:val="right" w:pos="1020"/>
        </w:tabs>
      </w:pPr>
      <w:r w:rsidRPr="00BA3578">
        <w:tab/>
      </w:r>
      <w:r w:rsidRPr="00BA3578">
        <w:rPr>
          <w:rStyle w:val="FootnoteReference"/>
        </w:rPr>
        <w:footnoteRef/>
      </w:r>
      <w:r w:rsidRPr="00BA3578">
        <w:tab/>
      </w:r>
      <w:proofErr w:type="gramStart"/>
      <w:r w:rsidRPr="00BA3578">
        <w:t>Circulated by the Intergovernmental Organisation for International Carriage by Rail (OTIF) unde</w:t>
      </w:r>
      <w:r>
        <w:t>r the symbol OTIF/RID/RC/2015/36</w:t>
      </w:r>
      <w:r w:rsidRPr="00BA3578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27" w:rsidRPr="001A4BA9" w:rsidRDefault="00EA2C27">
    <w:pPr>
      <w:pStyle w:val="Header"/>
    </w:pPr>
    <w:r>
      <w:t>ECE/TRANS/WP.15/AC.1/2015/36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27" w:rsidRPr="001A4BA9" w:rsidRDefault="00EA2C27" w:rsidP="001A4BA9">
    <w:pPr>
      <w:pStyle w:val="Header"/>
      <w:jc w:val="right"/>
    </w:pPr>
    <w:r>
      <w:t>ECE/TRANS/WP.15/AC.1/2015/36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205056"/>
    <w:multiLevelType w:val="hybridMultilevel"/>
    <w:tmpl w:val="91085706"/>
    <w:lvl w:ilvl="0" w:tplc="0816000F">
      <w:start w:val="1"/>
      <w:numFmt w:val="decimal"/>
      <w:lvlText w:val="%1."/>
      <w:lvlJc w:val="left"/>
      <w:pPr>
        <w:ind w:left="927" w:hanging="360"/>
      </w:pPr>
    </w:lvl>
    <w:lvl w:ilvl="1" w:tplc="DCC4DA68">
      <w:numFmt w:val="bullet"/>
      <w:lvlText w:val="-"/>
      <w:lvlJc w:val="left"/>
      <w:pPr>
        <w:ind w:left="1647" w:hanging="360"/>
      </w:pPr>
      <w:rPr>
        <w:rFonts w:ascii="Times New Roman" w:eastAsia="MS Mincho" w:hAnsi="Times New Roman" w:cs="Times New Roman" w:hint="default"/>
      </w:r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F1871"/>
    <w:multiLevelType w:val="hybridMultilevel"/>
    <w:tmpl w:val="998E7E28"/>
    <w:lvl w:ilvl="0" w:tplc="E8025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80252F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03A97"/>
    <w:rsid w:val="00005900"/>
    <w:rsid w:val="000123B8"/>
    <w:rsid w:val="0001518A"/>
    <w:rsid w:val="000228FC"/>
    <w:rsid w:val="00033BCE"/>
    <w:rsid w:val="00046B1F"/>
    <w:rsid w:val="00050F6B"/>
    <w:rsid w:val="0005796B"/>
    <w:rsid w:val="00057E97"/>
    <w:rsid w:val="00062BBD"/>
    <w:rsid w:val="000646F4"/>
    <w:rsid w:val="00067D64"/>
    <w:rsid w:val="000715C1"/>
    <w:rsid w:val="00072C8C"/>
    <w:rsid w:val="000733B5"/>
    <w:rsid w:val="00081815"/>
    <w:rsid w:val="000931C0"/>
    <w:rsid w:val="000A2877"/>
    <w:rsid w:val="000A60BA"/>
    <w:rsid w:val="000B0595"/>
    <w:rsid w:val="000B175B"/>
    <w:rsid w:val="000B3A0F"/>
    <w:rsid w:val="000B4EF7"/>
    <w:rsid w:val="000B5F4E"/>
    <w:rsid w:val="000B61E3"/>
    <w:rsid w:val="000C2C03"/>
    <w:rsid w:val="000C2D2E"/>
    <w:rsid w:val="000D2789"/>
    <w:rsid w:val="000E0415"/>
    <w:rsid w:val="000E6D17"/>
    <w:rsid w:val="000F2E6C"/>
    <w:rsid w:val="001103AA"/>
    <w:rsid w:val="0011666B"/>
    <w:rsid w:val="00127C9D"/>
    <w:rsid w:val="00133C96"/>
    <w:rsid w:val="001411C8"/>
    <w:rsid w:val="0015329A"/>
    <w:rsid w:val="00156134"/>
    <w:rsid w:val="00165F3A"/>
    <w:rsid w:val="00174FEC"/>
    <w:rsid w:val="00183C33"/>
    <w:rsid w:val="001946B4"/>
    <w:rsid w:val="001949B1"/>
    <w:rsid w:val="001A08F0"/>
    <w:rsid w:val="001A2CF2"/>
    <w:rsid w:val="001A4BA9"/>
    <w:rsid w:val="001A7083"/>
    <w:rsid w:val="001B4B04"/>
    <w:rsid w:val="001B762B"/>
    <w:rsid w:val="001C05E5"/>
    <w:rsid w:val="001C0CC4"/>
    <w:rsid w:val="001C25B3"/>
    <w:rsid w:val="001C6663"/>
    <w:rsid w:val="001C7895"/>
    <w:rsid w:val="001D0C8C"/>
    <w:rsid w:val="001D1419"/>
    <w:rsid w:val="001D26DF"/>
    <w:rsid w:val="001D3A03"/>
    <w:rsid w:val="001D5D33"/>
    <w:rsid w:val="001E1D38"/>
    <w:rsid w:val="001E3433"/>
    <w:rsid w:val="001E7B67"/>
    <w:rsid w:val="00202DA8"/>
    <w:rsid w:val="00211E0B"/>
    <w:rsid w:val="00224BC9"/>
    <w:rsid w:val="002373B1"/>
    <w:rsid w:val="0024772E"/>
    <w:rsid w:val="00247EEC"/>
    <w:rsid w:val="00254463"/>
    <w:rsid w:val="00260B1F"/>
    <w:rsid w:val="00262167"/>
    <w:rsid w:val="00263111"/>
    <w:rsid w:val="0026640F"/>
    <w:rsid w:val="00267F5F"/>
    <w:rsid w:val="00286B4D"/>
    <w:rsid w:val="00295870"/>
    <w:rsid w:val="002A4BDA"/>
    <w:rsid w:val="002A7ECC"/>
    <w:rsid w:val="002D4643"/>
    <w:rsid w:val="002E657A"/>
    <w:rsid w:val="002F175C"/>
    <w:rsid w:val="00302E18"/>
    <w:rsid w:val="0031106A"/>
    <w:rsid w:val="003229D8"/>
    <w:rsid w:val="003247BB"/>
    <w:rsid w:val="00324C41"/>
    <w:rsid w:val="0033704E"/>
    <w:rsid w:val="00344996"/>
    <w:rsid w:val="0034732B"/>
    <w:rsid w:val="00352709"/>
    <w:rsid w:val="003619B5"/>
    <w:rsid w:val="00365763"/>
    <w:rsid w:val="00371178"/>
    <w:rsid w:val="00386D72"/>
    <w:rsid w:val="00392E47"/>
    <w:rsid w:val="003A191B"/>
    <w:rsid w:val="003A6810"/>
    <w:rsid w:val="003B2AEF"/>
    <w:rsid w:val="003B7C35"/>
    <w:rsid w:val="003C0EDD"/>
    <w:rsid w:val="003C2CC4"/>
    <w:rsid w:val="003C6701"/>
    <w:rsid w:val="003C7BED"/>
    <w:rsid w:val="003D4B23"/>
    <w:rsid w:val="003E130E"/>
    <w:rsid w:val="003F5A0E"/>
    <w:rsid w:val="00401128"/>
    <w:rsid w:val="00410C89"/>
    <w:rsid w:val="00422E03"/>
    <w:rsid w:val="004252CB"/>
    <w:rsid w:val="00425E63"/>
    <w:rsid w:val="00426B9B"/>
    <w:rsid w:val="004320BA"/>
    <w:rsid w:val="004325CB"/>
    <w:rsid w:val="00442A83"/>
    <w:rsid w:val="00446873"/>
    <w:rsid w:val="0045495B"/>
    <w:rsid w:val="004561E5"/>
    <w:rsid w:val="00460996"/>
    <w:rsid w:val="0046462F"/>
    <w:rsid w:val="00480CE5"/>
    <w:rsid w:val="0048397A"/>
    <w:rsid w:val="00483D51"/>
    <w:rsid w:val="0048425A"/>
    <w:rsid w:val="00485CBB"/>
    <w:rsid w:val="004866B7"/>
    <w:rsid w:val="004B6496"/>
    <w:rsid w:val="004C2461"/>
    <w:rsid w:val="004C2C56"/>
    <w:rsid w:val="004C5DB7"/>
    <w:rsid w:val="004C7462"/>
    <w:rsid w:val="004D60AB"/>
    <w:rsid w:val="004D798C"/>
    <w:rsid w:val="004E6005"/>
    <w:rsid w:val="004E77B2"/>
    <w:rsid w:val="004F78CF"/>
    <w:rsid w:val="00504B2D"/>
    <w:rsid w:val="0052136D"/>
    <w:rsid w:val="00521AC2"/>
    <w:rsid w:val="00525BFA"/>
    <w:rsid w:val="0052775E"/>
    <w:rsid w:val="005420F2"/>
    <w:rsid w:val="005628B6"/>
    <w:rsid w:val="00571698"/>
    <w:rsid w:val="005878FB"/>
    <w:rsid w:val="00591B06"/>
    <w:rsid w:val="005941EC"/>
    <w:rsid w:val="0059724D"/>
    <w:rsid w:val="005A4A9B"/>
    <w:rsid w:val="005A63CC"/>
    <w:rsid w:val="005B2930"/>
    <w:rsid w:val="005B3DB3"/>
    <w:rsid w:val="005B42B6"/>
    <w:rsid w:val="005B4E13"/>
    <w:rsid w:val="005B5FD4"/>
    <w:rsid w:val="005C342F"/>
    <w:rsid w:val="005E0EA9"/>
    <w:rsid w:val="005F7B75"/>
    <w:rsid w:val="006001EE"/>
    <w:rsid w:val="00605042"/>
    <w:rsid w:val="00606872"/>
    <w:rsid w:val="00606C75"/>
    <w:rsid w:val="00611FC4"/>
    <w:rsid w:val="006176FB"/>
    <w:rsid w:val="00623AC0"/>
    <w:rsid w:val="00640B26"/>
    <w:rsid w:val="00652D0A"/>
    <w:rsid w:val="00656FFE"/>
    <w:rsid w:val="00662BB6"/>
    <w:rsid w:val="00670523"/>
    <w:rsid w:val="00670969"/>
    <w:rsid w:val="00676606"/>
    <w:rsid w:val="00684C21"/>
    <w:rsid w:val="00695C79"/>
    <w:rsid w:val="006A2530"/>
    <w:rsid w:val="006A6E4F"/>
    <w:rsid w:val="006A72EC"/>
    <w:rsid w:val="006B553E"/>
    <w:rsid w:val="006C3589"/>
    <w:rsid w:val="006C6C4D"/>
    <w:rsid w:val="006D1F2C"/>
    <w:rsid w:val="006D37AF"/>
    <w:rsid w:val="006D51D0"/>
    <w:rsid w:val="006D5FB9"/>
    <w:rsid w:val="006E564B"/>
    <w:rsid w:val="006E7191"/>
    <w:rsid w:val="006F369D"/>
    <w:rsid w:val="00703577"/>
    <w:rsid w:val="00705894"/>
    <w:rsid w:val="00714B4E"/>
    <w:rsid w:val="00715FCD"/>
    <w:rsid w:val="0072632A"/>
    <w:rsid w:val="007327D5"/>
    <w:rsid w:val="00734E1A"/>
    <w:rsid w:val="00741BE6"/>
    <w:rsid w:val="00750095"/>
    <w:rsid w:val="00760A80"/>
    <w:rsid w:val="00761CC1"/>
    <w:rsid w:val="007629C8"/>
    <w:rsid w:val="0077047D"/>
    <w:rsid w:val="007966C1"/>
    <w:rsid w:val="007B6BA5"/>
    <w:rsid w:val="007C1314"/>
    <w:rsid w:val="007C3390"/>
    <w:rsid w:val="007C4F4B"/>
    <w:rsid w:val="007E01E9"/>
    <w:rsid w:val="007E63F3"/>
    <w:rsid w:val="007F5524"/>
    <w:rsid w:val="007F6611"/>
    <w:rsid w:val="00802477"/>
    <w:rsid w:val="00805A05"/>
    <w:rsid w:val="00811920"/>
    <w:rsid w:val="00815AD0"/>
    <w:rsid w:val="008242D7"/>
    <w:rsid w:val="008257B1"/>
    <w:rsid w:val="00832334"/>
    <w:rsid w:val="00833059"/>
    <w:rsid w:val="00836DBC"/>
    <w:rsid w:val="00843767"/>
    <w:rsid w:val="00855DD8"/>
    <w:rsid w:val="00857CDA"/>
    <w:rsid w:val="00861AA8"/>
    <w:rsid w:val="00863166"/>
    <w:rsid w:val="00864236"/>
    <w:rsid w:val="00864EBB"/>
    <w:rsid w:val="008679D9"/>
    <w:rsid w:val="008711F2"/>
    <w:rsid w:val="00874749"/>
    <w:rsid w:val="008837EB"/>
    <w:rsid w:val="008878DE"/>
    <w:rsid w:val="00893A77"/>
    <w:rsid w:val="008979B1"/>
    <w:rsid w:val="008A00B7"/>
    <w:rsid w:val="008A149C"/>
    <w:rsid w:val="008A6B25"/>
    <w:rsid w:val="008A6C4F"/>
    <w:rsid w:val="008B2335"/>
    <w:rsid w:val="008B2E3D"/>
    <w:rsid w:val="008C28B7"/>
    <w:rsid w:val="008C340A"/>
    <w:rsid w:val="008D26CC"/>
    <w:rsid w:val="008D4685"/>
    <w:rsid w:val="008E0678"/>
    <w:rsid w:val="008F31D2"/>
    <w:rsid w:val="00910717"/>
    <w:rsid w:val="0091112B"/>
    <w:rsid w:val="00917F9B"/>
    <w:rsid w:val="0092057C"/>
    <w:rsid w:val="009223CA"/>
    <w:rsid w:val="009228F1"/>
    <w:rsid w:val="00927738"/>
    <w:rsid w:val="00940F93"/>
    <w:rsid w:val="00945B05"/>
    <w:rsid w:val="009760F3"/>
    <w:rsid w:val="00976CFB"/>
    <w:rsid w:val="0098203F"/>
    <w:rsid w:val="00984C88"/>
    <w:rsid w:val="009A0830"/>
    <w:rsid w:val="009A0E8D"/>
    <w:rsid w:val="009A1A67"/>
    <w:rsid w:val="009B16F3"/>
    <w:rsid w:val="009B2368"/>
    <w:rsid w:val="009B26E7"/>
    <w:rsid w:val="009D3AD1"/>
    <w:rsid w:val="009F7D02"/>
    <w:rsid w:val="00A00697"/>
    <w:rsid w:val="00A00A3F"/>
    <w:rsid w:val="00A01489"/>
    <w:rsid w:val="00A137A4"/>
    <w:rsid w:val="00A13F54"/>
    <w:rsid w:val="00A3026E"/>
    <w:rsid w:val="00A32F8B"/>
    <w:rsid w:val="00A338F1"/>
    <w:rsid w:val="00A35BE0"/>
    <w:rsid w:val="00A36BF7"/>
    <w:rsid w:val="00A53373"/>
    <w:rsid w:val="00A6129C"/>
    <w:rsid w:val="00A72F22"/>
    <w:rsid w:val="00A7360F"/>
    <w:rsid w:val="00A748A6"/>
    <w:rsid w:val="00A75D0E"/>
    <w:rsid w:val="00A7602A"/>
    <w:rsid w:val="00A76637"/>
    <w:rsid w:val="00A769F4"/>
    <w:rsid w:val="00A776B4"/>
    <w:rsid w:val="00A94361"/>
    <w:rsid w:val="00AA293C"/>
    <w:rsid w:val="00AA6192"/>
    <w:rsid w:val="00AE0C6D"/>
    <w:rsid w:val="00AE3504"/>
    <w:rsid w:val="00B0621A"/>
    <w:rsid w:val="00B07DD4"/>
    <w:rsid w:val="00B103B8"/>
    <w:rsid w:val="00B10EB3"/>
    <w:rsid w:val="00B20ADA"/>
    <w:rsid w:val="00B2347F"/>
    <w:rsid w:val="00B30179"/>
    <w:rsid w:val="00B3769A"/>
    <w:rsid w:val="00B421C1"/>
    <w:rsid w:val="00B55C71"/>
    <w:rsid w:val="00B56E4A"/>
    <w:rsid w:val="00B56E9C"/>
    <w:rsid w:val="00B64B1F"/>
    <w:rsid w:val="00B6553F"/>
    <w:rsid w:val="00B77790"/>
    <w:rsid w:val="00B77D05"/>
    <w:rsid w:val="00B81206"/>
    <w:rsid w:val="00B81E12"/>
    <w:rsid w:val="00B82520"/>
    <w:rsid w:val="00B9020C"/>
    <w:rsid w:val="00BA1A2C"/>
    <w:rsid w:val="00BA2FA0"/>
    <w:rsid w:val="00BA3578"/>
    <w:rsid w:val="00BA386D"/>
    <w:rsid w:val="00BB4F0B"/>
    <w:rsid w:val="00BB5D2F"/>
    <w:rsid w:val="00BC3FA0"/>
    <w:rsid w:val="00BC74E9"/>
    <w:rsid w:val="00BD0926"/>
    <w:rsid w:val="00BD5815"/>
    <w:rsid w:val="00BE6770"/>
    <w:rsid w:val="00BF1FAF"/>
    <w:rsid w:val="00BF68A8"/>
    <w:rsid w:val="00C0038B"/>
    <w:rsid w:val="00C11A03"/>
    <w:rsid w:val="00C15003"/>
    <w:rsid w:val="00C22C0C"/>
    <w:rsid w:val="00C4527F"/>
    <w:rsid w:val="00C463DD"/>
    <w:rsid w:val="00C4724C"/>
    <w:rsid w:val="00C47AAB"/>
    <w:rsid w:val="00C51F0C"/>
    <w:rsid w:val="00C629A0"/>
    <w:rsid w:val="00C64629"/>
    <w:rsid w:val="00C745C3"/>
    <w:rsid w:val="00C874A5"/>
    <w:rsid w:val="00C913DD"/>
    <w:rsid w:val="00C928CE"/>
    <w:rsid w:val="00C941F9"/>
    <w:rsid w:val="00C96DF2"/>
    <w:rsid w:val="00CA49A8"/>
    <w:rsid w:val="00CB3E03"/>
    <w:rsid w:val="00CB4B97"/>
    <w:rsid w:val="00CB6D38"/>
    <w:rsid w:val="00CC0812"/>
    <w:rsid w:val="00CC4771"/>
    <w:rsid w:val="00CD4AA6"/>
    <w:rsid w:val="00CD5E86"/>
    <w:rsid w:val="00CD7010"/>
    <w:rsid w:val="00CE24FC"/>
    <w:rsid w:val="00CE4A8F"/>
    <w:rsid w:val="00D01F76"/>
    <w:rsid w:val="00D17C17"/>
    <w:rsid w:val="00D2031B"/>
    <w:rsid w:val="00D248B6"/>
    <w:rsid w:val="00D25F37"/>
    <w:rsid w:val="00D25FE2"/>
    <w:rsid w:val="00D27983"/>
    <w:rsid w:val="00D43252"/>
    <w:rsid w:val="00D47EEA"/>
    <w:rsid w:val="00D5473D"/>
    <w:rsid w:val="00D56AA6"/>
    <w:rsid w:val="00D74907"/>
    <w:rsid w:val="00D751DE"/>
    <w:rsid w:val="00D773DF"/>
    <w:rsid w:val="00D914B2"/>
    <w:rsid w:val="00D934E6"/>
    <w:rsid w:val="00D95303"/>
    <w:rsid w:val="00D978C6"/>
    <w:rsid w:val="00DA3C1C"/>
    <w:rsid w:val="00DA418C"/>
    <w:rsid w:val="00DB0C30"/>
    <w:rsid w:val="00DB1FF8"/>
    <w:rsid w:val="00DC6E3A"/>
    <w:rsid w:val="00DE58DE"/>
    <w:rsid w:val="00DF4288"/>
    <w:rsid w:val="00DF5D1F"/>
    <w:rsid w:val="00DF79B5"/>
    <w:rsid w:val="00E00024"/>
    <w:rsid w:val="00E046DF"/>
    <w:rsid w:val="00E05AC4"/>
    <w:rsid w:val="00E05E80"/>
    <w:rsid w:val="00E067A5"/>
    <w:rsid w:val="00E07042"/>
    <w:rsid w:val="00E27346"/>
    <w:rsid w:val="00E33855"/>
    <w:rsid w:val="00E51D94"/>
    <w:rsid w:val="00E54085"/>
    <w:rsid w:val="00E63CDD"/>
    <w:rsid w:val="00E71BC8"/>
    <w:rsid w:val="00E7260F"/>
    <w:rsid w:val="00E73F5D"/>
    <w:rsid w:val="00E77E4E"/>
    <w:rsid w:val="00E81D53"/>
    <w:rsid w:val="00E82404"/>
    <w:rsid w:val="00E96630"/>
    <w:rsid w:val="00EA1AD8"/>
    <w:rsid w:val="00EA2C27"/>
    <w:rsid w:val="00EB5C00"/>
    <w:rsid w:val="00EC101D"/>
    <w:rsid w:val="00EC111D"/>
    <w:rsid w:val="00ED7A2A"/>
    <w:rsid w:val="00EE1532"/>
    <w:rsid w:val="00EE2670"/>
    <w:rsid w:val="00EE295F"/>
    <w:rsid w:val="00EF1D7F"/>
    <w:rsid w:val="00F045FD"/>
    <w:rsid w:val="00F15F0A"/>
    <w:rsid w:val="00F16A31"/>
    <w:rsid w:val="00F22AD1"/>
    <w:rsid w:val="00F26044"/>
    <w:rsid w:val="00F31E5F"/>
    <w:rsid w:val="00F322E5"/>
    <w:rsid w:val="00F334E8"/>
    <w:rsid w:val="00F509F8"/>
    <w:rsid w:val="00F6100A"/>
    <w:rsid w:val="00F7273D"/>
    <w:rsid w:val="00F93781"/>
    <w:rsid w:val="00FB613B"/>
    <w:rsid w:val="00FC53E5"/>
    <w:rsid w:val="00FC68B7"/>
    <w:rsid w:val="00FD3F98"/>
    <w:rsid w:val="00FD45A8"/>
    <w:rsid w:val="00FE106A"/>
    <w:rsid w:val="00FE5E42"/>
    <w:rsid w:val="00FF145D"/>
    <w:rsid w:val="00FF765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tandardowy">
    <w:name w:val="Standardowy"/>
    <w:rsid w:val="005E0EA9"/>
    <w:rPr>
      <w:rFonts w:ascii="Arial" w:hAnsi="Arial"/>
      <w:snapToGrid w:val="0"/>
      <w:sz w:val="24"/>
      <w:lang w:eastAsia="en-US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857C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3C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BA3578"/>
    <w:rPr>
      <w:sz w:val="18"/>
      <w:lang w:eastAsia="en-US"/>
    </w:rPr>
  </w:style>
  <w:style w:type="character" w:customStyle="1" w:styleId="SingleTxtGChar">
    <w:name w:val="_ Single Txt_G Char"/>
    <w:link w:val="SingleTxtG"/>
    <w:rsid w:val="00761CC1"/>
    <w:rPr>
      <w:lang w:eastAsia="en-US"/>
    </w:rPr>
  </w:style>
  <w:style w:type="character" w:customStyle="1" w:styleId="HChGChar">
    <w:name w:val="_ H _Ch_G Char"/>
    <w:link w:val="HChG"/>
    <w:rsid w:val="00761CC1"/>
    <w:rPr>
      <w:b/>
      <w:sz w:val="28"/>
      <w:lang w:eastAsia="en-US"/>
    </w:rPr>
  </w:style>
  <w:style w:type="character" w:customStyle="1" w:styleId="H1GChar">
    <w:name w:val="_ H_1_G Char"/>
    <w:link w:val="H1G"/>
    <w:rsid w:val="00761CC1"/>
    <w:rPr>
      <w:b/>
      <w:sz w:val="24"/>
      <w:lang w:eastAsia="en-US"/>
    </w:rPr>
  </w:style>
  <w:style w:type="paragraph" w:customStyle="1" w:styleId="Hoofdtekst">
    <w:name w:val="Hoofdtekst"/>
    <w:rsid w:val="00761C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tandardowy">
    <w:name w:val="Standardowy"/>
    <w:rsid w:val="005E0EA9"/>
    <w:rPr>
      <w:rFonts w:ascii="Arial" w:hAnsi="Arial"/>
      <w:snapToGrid w:val="0"/>
      <w:sz w:val="24"/>
      <w:lang w:eastAsia="en-US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857C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3C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BA3578"/>
    <w:rPr>
      <w:sz w:val="18"/>
      <w:lang w:eastAsia="en-US"/>
    </w:rPr>
  </w:style>
  <w:style w:type="character" w:customStyle="1" w:styleId="SingleTxtGChar">
    <w:name w:val="_ Single Txt_G Char"/>
    <w:link w:val="SingleTxtG"/>
    <w:rsid w:val="00761CC1"/>
    <w:rPr>
      <w:lang w:eastAsia="en-US"/>
    </w:rPr>
  </w:style>
  <w:style w:type="character" w:customStyle="1" w:styleId="HChGChar">
    <w:name w:val="_ H _Ch_G Char"/>
    <w:link w:val="HChG"/>
    <w:rsid w:val="00761CC1"/>
    <w:rPr>
      <w:b/>
      <w:sz w:val="28"/>
      <w:lang w:eastAsia="en-US"/>
    </w:rPr>
  </w:style>
  <w:style w:type="character" w:customStyle="1" w:styleId="H1GChar">
    <w:name w:val="_ H_1_G Char"/>
    <w:link w:val="H1G"/>
    <w:rsid w:val="00761CC1"/>
    <w:rPr>
      <w:b/>
      <w:sz w:val="24"/>
      <w:lang w:eastAsia="en-US"/>
    </w:rPr>
  </w:style>
  <w:style w:type="paragraph" w:customStyle="1" w:styleId="Hoofdtekst">
    <w:name w:val="Hoofdtekst"/>
    <w:rsid w:val="00761C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698</Words>
  <Characters>3578</Characters>
  <Application>Microsoft Office Word</Application>
  <DocSecurity>0</DocSecurity>
  <Lines>238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barrio-champeau</cp:lastModifiedBy>
  <cp:revision>18</cp:revision>
  <cp:lastPrinted>2015-06-26T09:15:00Z</cp:lastPrinted>
  <dcterms:created xsi:type="dcterms:W3CDTF">2015-06-24T08:22:00Z</dcterms:created>
  <dcterms:modified xsi:type="dcterms:W3CDTF">2015-06-26T09:16:00Z</dcterms:modified>
</cp:coreProperties>
</file>