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AB6" w:rsidRDefault="00CD7AB6" w:rsidP="00CD7AB6">
      <w:pPr>
        <w:spacing w:line="240" w:lineRule="auto"/>
        <w:rPr>
          <w:sz w:val="2"/>
        </w:rPr>
        <w:sectPr w:rsidR="00CD7AB6" w:rsidSect="00CD7AB6">
          <w:headerReference w:type="even" r:id="rId8"/>
          <w:headerReference w:type="default" r:id="rId9"/>
          <w:footerReference w:type="even" r:id="rId10"/>
          <w:footerReference w:type="default" r:id="rId11"/>
          <w:headerReference w:type="first" r:id="rId12"/>
          <w:footerReference w:type="first" r:id="rId13"/>
          <w:pgSz w:w="11909" w:h="16834"/>
          <w:pgMar w:top="1742" w:right="936" w:bottom="1898" w:left="936" w:header="576" w:footer="1030" w:gutter="0"/>
          <w:cols w:space="720"/>
          <w:titlePg/>
          <w:docGrid w:linePitch="360"/>
        </w:sectPr>
      </w:pPr>
      <w:bookmarkStart w:id="0" w:name="_GoBack"/>
      <w:bookmarkEnd w:id="0"/>
    </w:p>
    <w:p w:rsidR="00CD7AB6" w:rsidRDefault="00CD7AB6" w:rsidP="00CD7AB6">
      <w:pPr>
        <w:pStyle w:val="H1"/>
        <w:spacing w:after="120"/>
        <w:rPr>
          <w:sz w:val="28"/>
        </w:rPr>
      </w:pPr>
      <w:r>
        <w:rPr>
          <w:sz w:val="28"/>
        </w:rPr>
        <w:lastRenderedPageBreak/>
        <w:t>Commission économique pour l’Europe</w:t>
      </w:r>
    </w:p>
    <w:p w:rsidR="00CD7AB6" w:rsidRDefault="00CD7AB6" w:rsidP="00CD7AB6">
      <w:pPr>
        <w:pStyle w:val="H1"/>
        <w:spacing w:after="120" w:line="300" w:lineRule="exact"/>
        <w:rPr>
          <w:b w:val="0"/>
          <w:sz w:val="28"/>
        </w:rPr>
      </w:pPr>
      <w:r>
        <w:rPr>
          <w:b w:val="0"/>
          <w:sz w:val="28"/>
        </w:rPr>
        <w:t>Comité des transports intérieurs</w:t>
      </w:r>
    </w:p>
    <w:p w:rsidR="00E557BA" w:rsidRDefault="00E557BA" w:rsidP="002A5A1C">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E557BA">
        <w:rPr>
          <w:lang w:val="fr-FR"/>
        </w:rPr>
        <w:t xml:space="preserve">Groupe de travail des transports </w:t>
      </w:r>
      <w:r w:rsidR="002A5A1C">
        <w:rPr>
          <w:lang w:val="fr-FR"/>
        </w:rPr>
        <w:br/>
      </w:r>
      <w:r w:rsidRPr="00E557BA">
        <w:rPr>
          <w:lang w:val="fr-FR"/>
        </w:rPr>
        <w:t>de marchandises dangereuses</w:t>
      </w:r>
    </w:p>
    <w:p w:rsidR="009F1FA0" w:rsidRPr="009F1FA0" w:rsidRDefault="009F1FA0" w:rsidP="009F1FA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right="1260"/>
        <w:rPr>
          <w:sz w:val="10"/>
          <w:lang w:val="fr-FR"/>
        </w:rPr>
      </w:pPr>
    </w:p>
    <w:p w:rsidR="00E557BA" w:rsidRPr="00E557BA" w:rsidRDefault="00E557BA" w:rsidP="00E557BA">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E557BA">
        <w:rPr>
          <w:lang w:val="fr-FR"/>
        </w:rPr>
        <w:t>Réunion commune de la Commission d’experts du RID et du</w:t>
      </w:r>
      <w:r>
        <w:rPr>
          <w:lang w:val="fr-FR"/>
        </w:rPr>
        <w:t xml:space="preserve"> </w:t>
      </w:r>
      <w:r w:rsidRPr="00E557BA">
        <w:rPr>
          <w:lang w:val="fr-FR"/>
        </w:rPr>
        <w:t xml:space="preserve">Groupe </w:t>
      </w:r>
      <w:r w:rsidR="002A5A1C">
        <w:rPr>
          <w:lang w:val="fr-FR"/>
        </w:rPr>
        <w:br/>
      </w:r>
      <w:r w:rsidRPr="00E557BA">
        <w:rPr>
          <w:lang w:val="fr-FR"/>
        </w:rPr>
        <w:t>de travail des transports de marchandises dangereuses</w:t>
      </w:r>
    </w:p>
    <w:p w:rsidR="00E557BA" w:rsidRPr="00E557BA" w:rsidRDefault="00E557BA" w:rsidP="00E557B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r w:rsidRPr="00E557BA">
        <w:rPr>
          <w:lang w:val="fr-FR"/>
        </w:rPr>
        <w:t>Berne</w:t>
      </w:r>
      <w:r>
        <w:rPr>
          <w:lang w:val="fr-FR"/>
        </w:rPr>
        <w:t>, 14-25 </w:t>
      </w:r>
      <w:r w:rsidRPr="00E557BA">
        <w:rPr>
          <w:lang w:val="fr-FR"/>
        </w:rPr>
        <w:t>septembre 2015</w:t>
      </w:r>
    </w:p>
    <w:p w:rsidR="00E557BA" w:rsidRPr="00E557BA" w:rsidRDefault="00E557BA" w:rsidP="00E557B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r>
        <w:rPr>
          <w:lang w:val="fr-FR"/>
        </w:rPr>
        <w:t>Point 3 </w:t>
      </w:r>
      <w:r w:rsidRPr="00E557BA">
        <w:rPr>
          <w:lang w:val="fr-FR"/>
        </w:rPr>
        <w:t>b) de l’ordre du jour provisoire</w:t>
      </w:r>
    </w:p>
    <w:p w:rsidR="00E557BA" w:rsidRDefault="00E557BA" w:rsidP="00E557BA">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E557BA">
        <w:rPr>
          <w:lang w:val="fr-FR"/>
        </w:rPr>
        <w:t>Propositions diverses d’amendements au RID/ADR/ADN</w:t>
      </w:r>
      <w:r>
        <w:rPr>
          <w:lang w:val="fr-FR"/>
        </w:rPr>
        <w:t> </w:t>
      </w:r>
      <w:r w:rsidRPr="00E557BA">
        <w:rPr>
          <w:lang w:val="fr-FR"/>
        </w:rPr>
        <w:t>:</w:t>
      </w:r>
      <w:r>
        <w:rPr>
          <w:lang w:val="fr-FR"/>
        </w:rPr>
        <w:t xml:space="preserve"> </w:t>
      </w:r>
      <w:r>
        <w:rPr>
          <w:lang w:val="fr-FR"/>
        </w:rPr>
        <w:br/>
      </w:r>
      <w:r w:rsidRPr="00E557BA">
        <w:rPr>
          <w:lang w:val="fr-FR"/>
        </w:rPr>
        <w:t>Nouvelles propositions</w:t>
      </w:r>
    </w:p>
    <w:p w:rsidR="00E557BA" w:rsidRPr="00E557BA" w:rsidRDefault="00E557BA" w:rsidP="00E557BA">
      <w:pPr>
        <w:spacing w:line="120" w:lineRule="exact"/>
        <w:rPr>
          <w:sz w:val="10"/>
          <w:lang w:val="fr-FR"/>
        </w:rPr>
      </w:pPr>
    </w:p>
    <w:p w:rsidR="00E557BA" w:rsidRPr="00E557BA" w:rsidRDefault="00E557BA" w:rsidP="00E557BA">
      <w:pPr>
        <w:spacing w:line="120" w:lineRule="exact"/>
        <w:rPr>
          <w:sz w:val="10"/>
          <w:lang w:val="fr-FR"/>
        </w:rPr>
      </w:pPr>
    </w:p>
    <w:p w:rsidR="00E557BA" w:rsidRPr="00E557BA" w:rsidRDefault="00E557BA" w:rsidP="00E557BA">
      <w:pPr>
        <w:spacing w:line="120" w:lineRule="exact"/>
        <w:rPr>
          <w:sz w:val="10"/>
          <w:lang w:val="fr-FR"/>
        </w:rPr>
      </w:pPr>
    </w:p>
    <w:p w:rsidR="00E557BA" w:rsidRDefault="00E557BA" w:rsidP="00E557B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Pr="00E557BA">
        <w:rPr>
          <w:lang w:val="fr-FR"/>
        </w:rPr>
        <w:t>Amendements au</w:t>
      </w:r>
      <w:r>
        <w:rPr>
          <w:lang w:val="fr-FR"/>
        </w:rPr>
        <w:t>x obligations du transporteur − </w:t>
      </w:r>
      <w:r>
        <w:rPr>
          <w:lang w:val="fr-FR"/>
        </w:rPr>
        <w:br/>
        <w:t>sous-section </w:t>
      </w:r>
      <w:r w:rsidRPr="00E557BA">
        <w:rPr>
          <w:lang w:val="fr-FR"/>
        </w:rPr>
        <w:t>1.4.2.2 dans le RID/ADR/ADN</w:t>
      </w:r>
    </w:p>
    <w:p w:rsidR="00E557BA" w:rsidRPr="00E557BA" w:rsidRDefault="00E557BA" w:rsidP="00E557BA">
      <w:pPr>
        <w:pStyle w:val="SingleTxt"/>
        <w:spacing w:after="0" w:line="120" w:lineRule="exact"/>
        <w:rPr>
          <w:sz w:val="10"/>
          <w:lang w:val="fr-FR"/>
        </w:rPr>
      </w:pPr>
    </w:p>
    <w:p w:rsidR="00E557BA" w:rsidRPr="00E557BA" w:rsidRDefault="00E557BA" w:rsidP="00E557BA">
      <w:pPr>
        <w:pStyle w:val="SingleTxt"/>
        <w:spacing w:after="0" w:line="120" w:lineRule="exact"/>
        <w:rPr>
          <w:sz w:val="10"/>
          <w:lang w:val="fr-FR"/>
        </w:rPr>
      </w:pPr>
    </w:p>
    <w:p w:rsidR="00CD7AB6" w:rsidRDefault="00E557BA" w:rsidP="00E557B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Pr="00E557BA">
        <w:rPr>
          <w:lang w:val="fr-FR"/>
        </w:rPr>
        <w:t>Communication du Gouvernement de la Roumanie</w:t>
      </w:r>
      <w:r w:rsidRPr="00942880">
        <w:rPr>
          <w:rStyle w:val="Appelnotedebasdep"/>
          <w:b w:val="0"/>
          <w:color w:val="auto"/>
          <w:sz w:val="20"/>
          <w:szCs w:val="20"/>
          <w:lang w:val="fr-FR"/>
        </w:rPr>
        <w:footnoteReference w:id="1"/>
      </w:r>
      <w:r w:rsidRPr="00942880">
        <w:rPr>
          <w:b w:val="0"/>
          <w:sz w:val="20"/>
          <w:szCs w:val="20"/>
          <w:vertAlign w:val="superscript"/>
          <w:lang w:val="fr-FR"/>
        </w:rPr>
        <w:t xml:space="preserve">, </w:t>
      </w:r>
      <w:r w:rsidRPr="00942880">
        <w:rPr>
          <w:rStyle w:val="Appelnotedebasdep"/>
          <w:b w:val="0"/>
          <w:color w:val="auto"/>
          <w:sz w:val="20"/>
          <w:szCs w:val="20"/>
          <w:lang w:val="fr-FR"/>
        </w:rPr>
        <w:footnoteReference w:id="2"/>
      </w:r>
    </w:p>
    <w:p w:rsidR="00E557BA" w:rsidRPr="00E557BA" w:rsidRDefault="00E557BA" w:rsidP="00E557BA">
      <w:pPr>
        <w:pStyle w:val="SingleTxt"/>
        <w:spacing w:after="0" w:line="120" w:lineRule="exact"/>
        <w:rPr>
          <w:sz w:val="10"/>
          <w:lang w:val="fr-FR"/>
        </w:rPr>
      </w:pPr>
    </w:p>
    <w:p w:rsidR="00E557BA" w:rsidRPr="00E557BA" w:rsidRDefault="00E557BA" w:rsidP="00E557BA">
      <w:pPr>
        <w:pStyle w:val="SingleTxt"/>
        <w:spacing w:after="0" w:line="120" w:lineRule="exact"/>
        <w:rPr>
          <w:sz w:val="10"/>
          <w:lang w:val="fr-FR"/>
        </w:rPr>
      </w:pPr>
    </w:p>
    <w:p w:rsidR="00E557BA" w:rsidRDefault="00E557BA" w:rsidP="00E557BA">
      <w:pPr>
        <w:pStyle w:val="SingleTxt"/>
        <w:spacing w:after="0" w:line="120" w:lineRule="exact"/>
        <w:rPr>
          <w:sz w:val="10"/>
          <w:lang w:val="fr-FR"/>
        </w:rPr>
      </w:pPr>
    </w:p>
    <w:tbl>
      <w:tblPr>
        <w:tblW w:w="10051" w:type="dxa"/>
        <w:tblBorders>
          <w:left w:val="single" w:sz="2" w:space="0" w:color="auto"/>
          <w:right w:val="single" w:sz="2" w:space="0" w:color="auto"/>
        </w:tblBorders>
        <w:tblLayout w:type="fixed"/>
        <w:tblCellMar>
          <w:left w:w="0" w:type="dxa"/>
          <w:right w:w="0" w:type="dxa"/>
        </w:tblCellMar>
        <w:tblLook w:val="0000"/>
      </w:tblPr>
      <w:tblGrid>
        <w:gridCol w:w="10051"/>
      </w:tblGrid>
      <w:tr w:rsidR="00E557BA" w:rsidTr="00E557BA">
        <w:tc>
          <w:tcPr>
            <w:tcW w:w="10051" w:type="dxa"/>
            <w:tcBorders>
              <w:top w:val="single" w:sz="2" w:space="0" w:color="auto"/>
            </w:tcBorders>
            <w:shd w:val="clear" w:color="auto" w:fill="auto"/>
          </w:tcPr>
          <w:p w:rsidR="00E557BA" w:rsidRPr="00E557BA" w:rsidRDefault="00E557BA" w:rsidP="009729BB">
            <w:pPr>
              <w:tabs>
                <w:tab w:val="left" w:pos="240"/>
              </w:tabs>
              <w:spacing w:before="240" w:after="120"/>
              <w:rPr>
                <w:i/>
                <w:sz w:val="24"/>
                <w:lang w:val="fr-FR"/>
              </w:rPr>
            </w:pPr>
            <w:r>
              <w:rPr>
                <w:i/>
                <w:sz w:val="24"/>
                <w:lang w:val="fr-FR"/>
              </w:rPr>
              <w:tab/>
              <w:t>Résumé</w:t>
            </w:r>
          </w:p>
        </w:tc>
      </w:tr>
      <w:tr w:rsidR="00E557BA" w:rsidTr="00E557BA">
        <w:tc>
          <w:tcPr>
            <w:tcW w:w="10051" w:type="dxa"/>
            <w:shd w:val="clear" w:color="auto" w:fill="auto"/>
          </w:tcPr>
          <w:p w:rsidR="00E557BA" w:rsidRPr="00E557BA" w:rsidRDefault="00C46FD1" w:rsidP="002E6344">
            <w:pPr>
              <w:pStyle w:val="SingleTxt"/>
              <w:ind w:left="2693" w:hanging="2463"/>
              <w:rPr>
                <w:lang w:val="fr-FR"/>
              </w:rPr>
            </w:pPr>
            <w:r w:rsidRPr="00C46FD1">
              <w:rPr>
                <w:b/>
                <w:lang w:val="fr-FR"/>
              </w:rPr>
              <w:t>Résumé analytique</w:t>
            </w:r>
            <w:r>
              <w:rPr>
                <w:lang w:val="fr-FR"/>
              </w:rPr>
              <w:t> :</w:t>
            </w:r>
            <w:r w:rsidR="002E6344">
              <w:rPr>
                <w:lang w:val="fr-FR"/>
              </w:rPr>
              <w:tab/>
            </w:r>
            <w:r w:rsidR="002E6344">
              <w:rPr>
                <w:lang w:val="fr-FR"/>
              </w:rPr>
              <w:tab/>
            </w:r>
            <w:r>
              <w:rPr>
                <w:lang w:val="fr-FR"/>
              </w:rPr>
              <w:t>Préciser les obligations du transporteur au titre de la sous-section 1.4.2.2.</w:t>
            </w:r>
          </w:p>
        </w:tc>
      </w:tr>
      <w:tr w:rsidR="00E557BA" w:rsidTr="00E557BA">
        <w:tc>
          <w:tcPr>
            <w:tcW w:w="10051" w:type="dxa"/>
            <w:shd w:val="clear" w:color="auto" w:fill="auto"/>
          </w:tcPr>
          <w:p w:rsidR="00E557BA" w:rsidRPr="00E557BA" w:rsidRDefault="009A059D" w:rsidP="002E6344">
            <w:pPr>
              <w:pStyle w:val="SingleTxt"/>
              <w:ind w:left="2693" w:hanging="2463"/>
              <w:rPr>
                <w:lang w:val="fr-FR"/>
              </w:rPr>
            </w:pPr>
            <w:r w:rsidRPr="009A059D">
              <w:rPr>
                <w:b/>
                <w:lang w:val="fr-FR"/>
              </w:rPr>
              <w:t>Mesures à prendre</w:t>
            </w:r>
            <w:r>
              <w:rPr>
                <w:b/>
                <w:lang w:val="fr-FR"/>
              </w:rPr>
              <w:t> </w:t>
            </w:r>
            <w:r w:rsidR="002E6344">
              <w:rPr>
                <w:lang w:val="fr-FR"/>
              </w:rPr>
              <w:t>:</w:t>
            </w:r>
            <w:r w:rsidR="002E6344">
              <w:rPr>
                <w:lang w:val="fr-FR"/>
              </w:rPr>
              <w:tab/>
            </w:r>
            <w:r w:rsidR="002E6344">
              <w:rPr>
                <w:lang w:val="fr-FR"/>
              </w:rPr>
              <w:tab/>
            </w:r>
            <w:r w:rsidRPr="009A059D">
              <w:rPr>
                <w:lang w:val="fr-FR"/>
              </w:rPr>
              <w:t>Modifier les obligations du transpor</w:t>
            </w:r>
            <w:r w:rsidR="002E6344">
              <w:rPr>
                <w:lang w:val="fr-FR"/>
              </w:rPr>
              <w:t>teur énoncées à la sous-section </w:t>
            </w:r>
            <w:r w:rsidRPr="009A059D">
              <w:rPr>
                <w:lang w:val="fr-FR"/>
              </w:rPr>
              <w:t>1.4.2.2.</w:t>
            </w:r>
          </w:p>
        </w:tc>
      </w:tr>
      <w:tr w:rsidR="00E557BA" w:rsidTr="00E557BA">
        <w:tc>
          <w:tcPr>
            <w:tcW w:w="10051" w:type="dxa"/>
            <w:tcBorders>
              <w:bottom w:val="nil"/>
            </w:tcBorders>
            <w:shd w:val="clear" w:color="auto" w:fill="auto"/>
          </w:tcPr>
          <w:p w:rsidR="009A059D" w:rsidRPr="002E6344" w:rsidRDefault="009A059D" w:rsidP="002E6344">
            <w:pPr>
              <w:pStyle w:val="SingleTxt"/>
              <w:ind w:left="2693" w:hanging="2463"/>
            </w:pPr>
            <w:r w:rsidRPr="009A059D">
              <w:rPr>
                <w:b/>
                <w:lang w:val="fr-FR"/>
              </w:rPr>
              <w:t>Documents connexes</w:t>
            </w:r>
            <w:r w:rsidRPr="009A059D">
              <w:rPr>
                <w:lang w:val="fr-FR"/>
              </w:rPr>
              <w:t> :</w:t>
            </w:r>
            <w:r w:rsidR="002E6344">
              <w:rPr>
                <w:lang w:val="fr-FR"/>
              </w:rPr>
              <w:tab/>
            </w:r>
            <w:r w:rsidRPr="004511A5">
              <w:rPr>
                <w:spacing w:val="0"/>
              </w:rPr>
              <w:t xml:space="preserve">Point 11 du document ECE/TRANS/WP.15/AC.1/2015/1 et par. 61 du Rapport de la session de mars 2015 de la Réunion commune de la </w:t>
            </w:r>
            <w:r w:rsidRPr="004511A5">
              <w:rPr>
                <w:spacing w:val="-6"/>
              </w:rPr>
              <w:t>Commission d’experts du RID et du WP.15 (ECE/TRANS/WP.15/AC.1/138);</w:t>
            </w:r>
          </w:p>
          <w:p w:rsidR="00E557BA" w:rsidRPr="004511A5" w:rsidRDefault="002E6344" w:rsidP="002E6344">
            <w:pPr>
              <w:pStyle w:val="SingleTxt"/>
              <w:ind w:left="2693" w:hanging="1426"/>
              <w:rPr>
                <w:spacing w:val="0"/>
                <w:lang w:val="fr-FR"/>
              </w:rPr>
            </w:pPr>
            <w:r>
              <w:rPr>
                <w:lang w:val="fr-FR"/>
              </w:rPr>
              <w:tab/>
            </w:r>
            <w:r>
              <w:rPr>
                <w:lang w:val="fr-FR"/>
              </w:rPr>
              <w:tab/>
            </w:r>
            <w:r>
              <w:rPr>
                <w:lang w:val="fr-FR"/>
              </w:rPr>
              <w:tab/>
            </w:r>
            <w:r w:rsidR="009A059D" w:rsidRPr="004511A5">
              <w:rPr>
                <w:spacing w:val="0"/>
                <w:lang w:val="fr-FR"/>
              </w:rPr>
              <w:t>Proposition 2 du document ECE/TRANS/WP.15/2015/1 et par. 26 du Rapport de la session de mai 2015 du WP.15 (ECE/TRANS/WP.15/228).</w:t>
            </w:r>
          </w:p>
        </w:tc>
      </w:tr>
      <w:tr w:rsidR="00E557BA" w:rsidTr="00E557BA">
        <w:tc>
          <w:tcPr>
            <w:tcW w:w="10051" w:type="dxa"/>
            <w:tcBorders>
              <w:bottom w:val="single" w:sz="2" w:space="0" w:color="auto"/>
            </w:tcBorders>
            <w:shd w:val="clear" w:color="auto" w:fill="auto"/>
          </w:tcPr>
          <w:p w:rsidR="00E557BA" w:rsidRPr="00E557BA" w:rsidRDefault="00E557BA" w:rsidP="00E557BA">
            <w:pPr>
              <w:pStyle w:val="SingleTxt"/>
              <w:rPr>
                <w:lang w:val="fr-FR"/>
              </w:rPr>
            </w:pPr>
          </w:p>
        </w:tc>
      </w:tr>
    </w:tbl>
    <w:p w:rsidR="00E557BA" w:rsidRPr="00F375A4" w:rsidRDefault="00E557BA" w:rsidP="00F375A4">
      <w:pPr>
        <w:pStyle w:val="SingleTxt"/>
        <w:spacing w:after="0" w:line="120" w:lineRule="exact"/>
        <w:rPr>
          <w:sz w:val="10"/>
          <w:lang w:val="fr-FR"/>
        </w:rPr>
      </w:pPr>
    </w:p>
    <w:p w:rsidR="00F375A4" w:rsidRPr="00F375A4" w:rsidRDefault="00F375A4" w:rsidP="00F375A4">
      <w:pPr>
        <w:pStyle w:val="SingleTxt"/>
        <w:spacing w:after="0" w:line="120" w:lineRule="exact"/>
        <w:rPr>
          <w:sz w:val="10"/>
          <w:lang w:val="fr-FR"/>
        </w:rPr>
      </w:pPr>
    </w:p>
    <w:p w:rsidR="00F375A4" w:rsidRPr="00F375A4" w:rsidRDefault="00F375A4" w:rsidP="00F375A4">
      <w:pPr>
        <w:pStyle w:val="SingleTxt"/>
        <w:spacing w:after="0" w:line="120" w:lineRule="exact"/>
        <w:rPr>
          <w:sz w:val="10"/>
          <w:lang w:val="fr-FR"/>
        </w:rPr>
      </w:pPr>
    </w:p>
    <w:p w:rsidR="00F375A4" w:rsidRDefault="006C3AE3" w:rsidP="006C3AE3">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lastRenderedPageBreak/>
        <w:tab/>
      </w:r>
      <w:r w:rsidR="00F375A4" w:rsidRPr="00F375A4">
        <w:rPr>
          <w:lang w:val="fr-FR"/>
        </w:rPr>
        <w:tab/>
        <w:t>Introduction</w:t>
      </w:r>
    </w:p>
    <w:p w:rsidR="006C3AE3" w:rsidRPr="006C3AE3" w:rsidRDefault="006C3AE3" w:rsidP="006C3AE3">
      <w:pPr>
        <w:pStyle w:val="SingleTxt"/>
        <w:keepNext/>
        <w:keepLines/>
        <w:spacing w:after="0" w:line="120" w:lineRule="exact"/>
        <w:rPr>
          <w:sz w:val="10"/>
          <w:lang w:val="fr-FR"/>
        </w:rPr>
      </w:pPr>
    </w:p>
    <w:p w:rsidR="006C3AE3" w:rsidRPr="006C3AE3" w:rsidRDefault="006C3AE3" w:rsidP="006C3AE3">
      <w:pPr>
        <w:pStyle w:val="SingleTxt"/>
        <w:keepNext/>
        <w:keepLines/>
        <w:spacing w:after="0" w:line="120" w:lineRule="exact"/>
        <w:rPr>
          <w:sz w:val="10"/>
          <w:lang w:val="fr-FR"/>
        </w:rPr>
      </w:pPr>
    </w:p>
    <w:p w:rsidR="00F375A4" w:rsidRPr="00F375A4" w:rsidRDefault="00F375A4" w:rsidP="00B10640">
      <w:pPr>
        <w:pStyle w:val="SingleTxt"/>
        <w:numPr>
          <w:ilvl w:val="0"/>
          <w:numId w:val="8"/>
        </w:numPr>
        <w:tabs>
          <w:tab w:val="clear" w:pos="475"/>
          <w:tab w:val="num" w:pos="1742"/>
        </w:tabs>
        <w:ind w:left="1267"/>
        <w:rPr>
          <w:lang w:val="fr-FR"/>
        </w:rPr>
      </w:pPr>
      <w:r w:rsidRPr="00F375A4">
        <w:rPr>
          <w:lang w:val="fr-FR"/>
        </w:rPr>
        <w:t>La délégation roumaine a analysé les p</w:t>
      </w:r>
      <w:r w:rsidR="006C3AE3">
        <w:rPr>
          <w:lang w:val="fr-FR"/>
        </w:rPr>
        <w:t>rescriptions de la sous-section </w:t>
      </w:r>
      <w:r w:rsidRPr="00F375A4">
        <w:rPr>
          <w:lang w:val="fr-FR"/>
        </w:rPr>
        <w:t xml:space="preserve">1.4.2.2 </w:t>
      </w:r>
      <w:r w:rsidRPr="00F375A4">
        <w:rPr>
          <w:i/>
          <w:lang w:val="fr-FR"/>
        </w:rPr>
        <w:t xml:space="preserve">Transporteur, </w:t>
      </w:r>
      <w:r w:rsidRPr="00F375A4">
        <w:rPr>
          <w:lang w:val="fr-FR"/>
        </w:rPr>
        <w:t>et estime que</w:t>
      </w:r>
      <w:r w:rsidRPr="00F375A4">
        <w:rPr>
          <w:i/>
          <w:lang w:val="fr-FR"/>
        </w:rPr>
        <w:t xml:space="preserve"> </w:t>
      </w:r>
      <w:r w:rsidRPr="00F375A4">
        <w:rPr>
          <w:lang w:val="fr-FR"/>
        </w:rPr>
        <w:t>les obligations de ce participant au transport gagneraient à être explicitées dans le RID/ADR/ADN.</w:t>
      </w:r>
    </w:p>
    <w:p w:rsidR="00F375A4" w:rsidRPr="00F375A4" w:rsidRDefault="00F375A4" w:rsidP="00B10640">
      <w:pPr>
        <w:pStyle w:val="SingleTxt"/>
        <w:numPr>
          <w:ilvl w:val="0"/>
          <w:numId w:val="8"/>
        </w:numPr>
        <w:tabs>
          <w:tab w:val="clear" w:pos="475"/>
          <w:tab w:val="num" w:pos="1742"/>
        </w:tabs>
        <w:ind w:left="1267"/>
        <w:rPr>
          <w:lang w:val="fr-FR"/>
        </w:rPr>
      </w:pPr>
      <w:r w:rsidRPr="00F375A4">
        <w:rPr>
          <w:lang w:val="fr-FR"/>
        </w:rPr>
        <w:t>Les propositions que nous présentons ci-après portent principalement sur les obligations liées aux équipements (notamment au matériel de lutte contre l’incendie) et sur les consignes écrites, sur la base d’une analyse exhaustive de cette sous-section. Nous proposons également plusieurs solutions permettant d’assurer la cohérence des termes qui y sont employés.</w:t>
      </w:r>
    </w:p>
    <w:p w:rsidR="00F375A4" w:rsidRPr="00F375A4" w:rsidRDefault="00F375A4" w:rsidP="00B10640">
      <w:pPr>
        <w:pStyle w:val="SingleTxt"/>
        <w:numPr>
          <w:ilvl w:val="0"/>
          <w:numId w:val="8"/>
        </w:numPr>
        <w:tabs>
          <w:tab w:val="clear" w:pos="475"/>
          <w:tab w:val="num" w:pos="1742"/>
        </w:tabs>
        <w:ind w:left="1267"/>
        <w:rPr>
          <w:lang w:val="fr-FR"/>
        </w:rPr>
      </w:pPr>
      <w:r w:rsidRPr="00F375A4">
        <w:rPr>
          <w:lang w:val="fr-FR"/>
        </w:rPr>
        <w:t>Nous prions la Réunion commune d’examiner les arguments avancés ci-après en faveur d’une modificat</w:t>
      </w:r>
      <w:r w:rsidR="006C3AE3">
        <w:rPr>
          <w:lang w:val="fr-FR"/>
        </w:rPr>
        <w:t>ion du texte de la sous-section </w:t>
      </w:r>
      <w:r w:rsidRPr="00F375A4">
        <w:rPr>
          <w:lang w:val="fr-FR"/>
        </w:rPr>
        <w:t>1.4.2.2.</w:t>
      </w:r>
    </w:p>
    <w:p w:rsidR="00F375A4" w:rsidRPr="00F375A4" w:rsidRDefault="00F375A4" w:rsidP="00B10640">
      <w:pPr>
        <w:pStyle w:val="SingleTxt"/>
        <w:numPr>
          <w:ilvl w:val="0"/>
          <w:numId w:val="8"/>
        </w:numPr>
        <w:tabs>
          <w:tab w:val="clear" w:pos="475"/>
          <w:tab w:val="num" w:pos="1742"/>
        </w:tabs>
        <w:ind w:left="1267"/>
        <w:rPr>
          <w:lang w:val="fr-FR"/>
        </w:rPr>
      </w:pPr>
      <w:r w:rsidRPr="00F375A4">
        <w:rPr>
          <w:lang w:val="fr-FR"/>
        </w:rPr>
        <w:t>À la dernière session du WP.15, au cours des débats concernant le document ECE/TRANS/WP.15/2015/1, lorsqu’une disposition imposant une obligation</w:t>
      </w:r>
      <w:r w:rsidR="006C3AE3">
        <w:rPr>
          <w:lang w:val="fr-FR"/>
        </w:rPr>
        <w:t xml:space="preserve"> analogue à celle du paragraphe </w:t>
      </w:r>
      <w:r w:rsidRPr="00F375A4">
        <w:rPr>
          <w:lang w:val="fr-FR"/>
        </w:rPr>
        <w:t>1.4.2.2.6 du RID a été adoptée pour l’ADR, certaines délégations ont jugé nécessaire d’introduire un texte explicite faisant obligation au transporteur de s’assurer de la présence à bord de l’unité de transport du matériel de lutte contre l’incendie prescrit dans l’ADR. Nous avons également exprimé cette intention à la même session.</w:t>
      </w:r>
    </w:p>
    <w:p w:rsidR="00F375A4" w:rsidRPr="00F375A4" w:rsidRDefault="00F375A4" w:rsidP="00B10640">
      <w:pPr>
        <w:pStyle w:val="SingleTxt"/>
        <w:numPr>
          <w:ilvl w:val="0"/>
          <w:numId w:val="8"/>
        </w:numPr>
        <w:tabs>
          <w:tab w:val="clear" w:pos="475"/>
          <w:tab w:val="num" w:pos="1742"/>
        </w:tabs>
        <w:ind w:left="1267"/>
        <w:rPr>
          <w:lang w:val="fr-FR"/>
        </w:rPr>
      </w:pPr>
      <w:r w:rsidRPr="00F375A4">
        <w:rPr>
          <w:lang w:val="fr-FR"/>
        </w:rPr>
        <w:t>À la dernière session du WP.15, lors de la lecture du rapport, l’Union internationale des transports routiers (IRU) a demandé au Groupe de travail de maintenir entre crochets le nouveau texte adopté pou</w:t>
      </w:r>
      <w:r w:rsidR="006C3AE3">
        <w:rPr>
          <w:lang w:val="fr-FR"/>
        </w:rPr>
        <w:t>r le paragraphe </w:t>
      </w:r>
      <w:r w:rsidRPr="00F375A4">
        <w:rPr>
          <w:lang w:val="fr-FR"/>
        </w:rPr>
        <w:t>1.4.2.2.6 de l’ADR (identique au paragraphe correspondant du RID), au motif que les obligations du transporteur étaient principal</w:t>
      </w:r>
      <w:r w:rsidR="006C3AE3">
        <w:rPr>
          <w:lang w:val="fr-FR"/>
        </w:rPr>
        <w:t>ement énoncées dans les alinéas a) à g) du paragraphe </w:t>
      </w:r>
      <w:r w:rsidRPr="00F375A4">
        <w:rPr>
          <w:lang w:val="fr-FR"/>
        </w:rPr>
        <w:t>1.4.2.2.1 et que ce texte portait sur un autre domaine, qui relevait d’un autre paragraphe.</w:t>
      </w:r>
    </w:p>
    <w:p w:rsidR="00F375A4" w:rsidRPr="00F375A4" w:rsidRDefault="00F375A4" w:rsidP="00B10640">
      <w:pPr>
        <w:pStyle w:val="SingleTxt"/>
        <w:numPr>
          <w:ilvl w:val="0"/>
          <w:numId w:val="8"/>
        </w:numPr>
        <w:tabs>
          <w:tab w:val="clear" w:pos="475"/>
          <w:tab w:val="num" w:pos="1742"/>
        </w:tabs>
        <w:ind w:left="1267"/>
        <w:rPr>
          <w:lang w:val="fr-FR"/>
        </w:rPr>
      </w:pPr>
      <w:r w:rsidRPr="00F375A4">
        <w:rPr>
          <w:lang w:val="fr-FR"/>
        </w:rPr>
        <w:t xml:space="preserve">En comparant les obligations du </w:t>
      </w:r>
      <w:r w:rsidRPr="00F375A4">
        <w:rPr>
          <w:i/>
          <w:lang w:val="fr-FR"/>
        </w:rPr>
        <w:t>transporteur</w:t>
      </w:r>
      <w:r w:rsidRPr="00F375A4">
        <w:rPr>
          <w:lang w:val="fr-FR"/>
        </w:rPr>
        <w:t xml:space="preserve"> avec celles de </w:t>
      </w:r>
      <w:r w:rsidRPr="00F375A4">
        <w:rPr>
          <w:i/>
          <w:lang w:val="fr-FR"/>
        </w:rPr>
        <w:t>l’expéditeur</w:t>
      </w:r>
      <w:r w:rsidRPr="00F375A4">
        <w:rPr>
          <w:lang w:val="fr-FR"/>
        </w:rPr>
        <w:t>, telles qu’</w:t>
      </w:r>
      <w:r w:rsidR="006C3AE3">
        <w:rPr>
          <w:lang w:val="fr-FR"/>
        </w:rPr>
        <w:t>elles sont définies aux alinéas b) des paragraphes </w:t>
      </w:r>
      <w:r w:rsidRPr="00F375A4">
        <w:rPr>
          <w:lang w:val="fr-FR"/>
        </w:rPr>
        <w:t>1.4.2.2.1 et 1.4.2.1.1 respectivement, nous sommes parvenus à la conclusion qu’elles étaient corrélées</w:t>
      </w:r>
      <w:r w:rsidR="006C3AE3">
        <w:rPr>
          <w:lang w:val="fr-FR"/>
        </w:rPr>
        <w:t> </w:t>
      </w:r>
      <w:r w:rsidRPr="00F375A4">
        <w:rPr>
          <w:lang w:val="fr-FR"/>
        </w:rPr>
        <w:t>:</w:t>
      </w:r>
    </w:p>
    <w:p w:rsidR="00F375A4" w:rsidRPr="00F375A4" w:rsidRDefault="00F375A4" w:rsidP="0044092D">
      <w:pPr>
        <w:pStyle w:val="Bullet1"/>
        <w:rPr>
          <w:lang w:val="fr-FR"/>
        </w:rPr>
      </w:pPr>
      <w:r w:rsidRPr="00F375A4">
        <w:rPr>
          <w:lang w:val="fr-FR"/>
        </w:rPr>
        <w:t>L’</w:t>
      </w:r>
      <w:r w:rsidR="0044092D">
        <w:rPr>
          <w:lang w:val="fr-FR"/>
        </w:rPr>
        <w:t>alinéa 1.4.2.2.1 </w:t>
      </w:r>
      <w:r w:rsidRPr="00F375A4">
        <w:rPr>
          <w:lang w:val="fr-FR"/>
        </w:rPr>
        <w:t xml:space="preserve">b) prescrit de </w:t>
      </w:r>
      <w:r w:rsidR="0044092D">
        <w:rPr>
          <w:lang w:val="fr-FR"/>
        </w:rPr>
        <w:t>« </w:t>
      </w:r>
      <w:r w:rsidRPr="00F375A4">
        <w:rPr>
          <w:lang w:val="fr-FR"/>
        </w:rPr>
        <w:t xml:space="preserve">s’assurer que toutes les informations prescrites dans le </w:t>
      </w:r>
      <w:r w:rsidRPr="00F375A4">
        <w:rPr>
          <w:i/>
          <w:u w:val="single"/>
          <w:lang w:val="fr-FR"/>
        </w:rPr>
        <w:t>RID/ADR/ADN</w:t>
      </w:r>
      <w:r w:rsidRPr="00F375A4">
        <w:rPr>
          <w:lang w:val="fr-FR"/>
        </w:rPr>
        <w:t xml:space="preserve"> concernant les marchandises dangereuses à transporter ont été </w:t>
      </w:r>
      <w:r w:rsidRPr="00F375A4">
        <w:rPr>
          <w:b/>
          <w:lang w:val="fr-FR"/>
        </w:rPr>
        <w:t>transmises par l’expéditeur avant le transport</w:t>
      </w:r>
      <w:r w:rsidRPr="00F375A4">
        <w:rPr>
          <w:lang w:val="fr-FR"/>
        </w:rPr>
        <w:t xml:space="preserve">, que la documentation prescrite est </w:t>
      </w:r>
      <w:r w:rsidRPr="00F375A4">
        <w:rPr>
          <w:i/>
          <w:u w:val="single"/>
          <w:lang w:val="fr-FR"/>
        </w:rPr>
        <w:t>jointe au document de transport/se trouve à bord de l’unité de transport/se trouve à bord du bateau ou</w:t>
      </w:r>
      <w:r w:rsidRPr="00F375A4">
        <w:rPr>
          <w:lang w:val="fr-FR"/>
        </w:rPr>
        <w:t xml:space="preserve"> (...)</w:t>
      </w:r>
      <w:r w:rsidR="0044092D">
        <w:rPr>
          <w:lang w:val="fr-FR"/>
        </w:rPr>
        <w:t> »</w:t>
      </w:r>
      <w:r w:rsidRPr="00F375A4">
        <w:rPr>
          <w:lang w:val="fr-FR"/>
        </w:rPr>
        <w:t>, mais ne précise pas de façon assez claire si les consignes écrites sont contenues dans la documentation prescrite;</w:t>
      </w:r>
    </w:p>
    <w:p w:rsidR="00F375A4" w:rsidRPr="00F375A4" w:rsidRDefault="00F375A4" w:rsidP="0044092D">
      <w:pPr>
        <w:pStyle w:val="Bullet1"/>
        <w:rPr>
          <w:b/>
          <w:lang w:val="fr-FR"/>
        </w:rPr>
      </w:pPr>
      <w:r w:rsidRPr="00F375A4">
        <w:rPr>
          <w:lang w:val="fr-FR"/>
        </w:rPr>
        <w:t xml:space="preserve">L’alinéa </w:t>
      </w:r>
      <w:r w:rsidR="0044092D">
        <w:rPr>
          <w:lang w:val="fr-FR"/>
        </w:rPr>
        <w:t>1.4.2.1.1 </w:t>
      </w:r>
      <w:r w:rsidRPr="00F375A4">
        <w:rPr>
          <w:lang w:val="fr-FR"/>
        </w:rPr>
        <w:t>b)</w:t>
      </w:r>
      <w:r w:rsidRPr="00F375A4">
        <w:rPr>
          <w:b/>
          <w:lang w:val="fr-FR"/>
        </w:rPr>
        <w:t xml:space="preserve"> </w:t>
      </w:r>
      <w:r w:rsidRPr="00F375A4">
        <w:rPr>
          <w:lang w:val="fr-FR"/>
        </w:rPr>
        <w:t>prescrit de</w:t>
      </w:r>
      <w:r w:rsidRPr="00F375A4">
        <w:rPr>
          <w:b/>
          <w:lang w:val="fr-FR"/>
        </w:rPr>
        <w:t xml:space="preserve"> </w:t>
      </w:r>
      <w:r w:rsidR="0044092D" w:rsidRPr="0044092D">
        <w:rPr>
          <w:b/>
          <w:lang w:val="fr-FR"/>
        </w:rPr>
        <w:t>« </w:t>
      </w:r>
      <w:r w:rsidRPr="00F375A4">
        <w:rPr>
          <w:b/>
          <w:lang w:val="fr-FR"/>
        </w:rPr>
        <w:t>fournir au transporteur les renseignements et informations</w:t>
      </w:r>
      <w:r w:rsidRPr="00F375A4">
        <w:rPr>
          <w:lang w:val="fr-FR"/>
        </w:rPr>
        <w:t xml:space="preserve"> de manière traçable et, le cas échéant, les documents de transport et les documents d’accompagnement (autorisations, agréments, notifications, certificats, etc.) exigés, en tenant notamment comp</w:t>
      </w:r>
      <w:r w:rsidR="0044092D">
        <w:rPr>
          <w:lang w:val="fr-FR"/>
        </w:rPr>
        <w:t>te des dispositions du chapitre </w:t>
      </w:r>
      <w:r w:rsidRPr="00F375A4">
        <w:rPr>
          <w:lang w:val="fr-FR"/>
        </w:rPr>
        <w:t>5.4 et des tableaux de la Par</w:t>
      </w:r>
      <w:r w:rsidR="0044092D">
        <w:rPr>
          <w:lang w:val="fr-FR"/>
        </w:rPr>
        <w:t>tie </w:t>
      </w:r>
      <w:r w:rsidRPr="00F375A4">
        <w:rPr>
          <w:lang w:val="fr-FR"/>
        </w:rPr>
        <w:t>3</w:t>
      </w:r>
      <w:r w:rsidR="0044092D">
        <w:rPr>
          <w:lang w:val="fr-FR"/>
        </w:rPr>
        <w:t> »</w:t>
      </w:r>
      <w:r w:rsidRPr="00F375A4">
        <w:rPr>
          <w:lang w:val="fr-FR"/>
        </w:rPr>
        <w:t>.</w:t>
      </w:r>
    </w:p>
    <w:p w:rsidR="00F375A4" w:rsidRPr="00F375A4" w:rsidRDefault="00F375A4" w:rsidP="00F375A4">
      <w:pPr>
        <w:pStyle w:val="SingleTxt"/>
        <w:rPr>
          <w:lang w:val="fr-FR"/>
        </w:rPr>
      </w:pPr>
      <w:r w:rsidRPr="00F375A4">
        <w:rPr>
          <w:lang w:val="fr-FR"/>
        </w:rPr>
        <w:t>Il existe d’autres obligations qui s’appliquent simultanément à plusieurs acteurs du transport.</w:t>
      </w:r>
    </w:p>
    <w:p w:rsidR="00F375A4" w:rsidRPr="00F375A4" w:rsidRDefault="00F375A4" w:rsidP="00B10640">
      <w:pPr>
        <w:pStyle w:val="SingleTxt"/>
        <w:numPr>
          <w:ilvl w:val="0"/>
          <w:numId w:val="8"/>
        </w:numPr>
        <w:tabs>
          <w:tab w:val="clear" w:pos="475"/>
          <w:tab w:val="num" w:pos="1742"/>
        </w:tabs>
        <w:ind w:left="1267"/>
        <w:rPr>
          <w:lang w:val="fr-FR"/>
        </w:rPr>
      </w:pPr>
      <w:r w:rsidRPr="00F375A4">
        <w:rPr>
          <w:lang w:val="fr-FR"/>
        </w:rPr>
        <w:t xml:space="preserve">Nous avons également mis en évidence </w:t>
      </w:r>
      <w:r w:rsidR="00D05F0F">
        <w:rPr>
          <w:lang w:val="fr-FR"/>
        </w:rPr>
        <w:t xml:space="preserve">la </w:t>
      </w:r>
      <w:r w:rsidRPr="00F375A4">
        <w:rPr>
          <w:lang w:val="fr-FR"/>
        </w:rPr>
        <w:t>structure du paragraphe</w:t>
      </w:r>
      <w:r w:rsidR="0044092D">
        <w:rPr>
          <w:lang w:val="fr-FR"/>
        </w:rPr>
        <w:t> </w:t>
      </w:r>
      <w:r w:rsidRPr="00F375A4">
        <w:rPr>
          <w:lang w:val="fr-FR"/>
        </w:rPr>
        <w:t xml:space="preserve">1.4.2.2.1 qui définit de manière contraignante les obligations du transporteur. On y lit par exemple que </w:t>
      </w:r>
      <w:r w:rsidR="0044092D">
        <w:rPr>
          <w:lang w:val="fr-FR"/>
        </w:rPr>
        <w:t>« </w:t>
      </w:r>
      <w:r w:rsidRPr="00F375A4">
        <w:rPr>
          <w:i/>
          <w:lang w:val="fr-FR"/>
        </w:rPr>
        <w:t>le transporteur doit notamment</w:t>
      </w:r>
      <w:r w:rsidR="005C4E53" w:rsidRPr="005C4E53">
        <w:rPr>
          <w:lang w:val="fr-FR"/>
        </w:rPr>
        <w:t> </w:t>
      </w:r>
      <w:r w:rsidRPr="00D05F0F">
        <w:rPr>
          <w:i/>
          <w:lang w:val="fr-FR"/>
        </w:rPr>
        <w:t>: (…)</w:t>
      </w:r>
      <w:r w:rsidR="0044092D">
        <w:rPr>
          <w:lang w:val="fr-FR"/>
        </w:rPr>
        <w:t> »</w:t>
      </w:r>
      <w:r w:rsidRPr="00F375A4">
        <w:rPr>
          <w:lang w:val="fr-FR"/>
        </w:rPr>
        <w:t>, ce qui lié au dernier paragraphe permet de contrôler le respect des obligations susmentionnées</w:t>
      </w:r>
      <w:r w:rsidR="0044092D">
        <w:rPr>
          <w:lang w:val="fr-FR"/>
        </w:rPr>
        <w:t> </w:t>
      </w:r>
      <w:r w:rsidRPr="00F375A4">
        <w:rPr>
          <w:lang w:val="fr-FR"/>
        </w:rPr>
        <w:t xml:space="preserve">: </w:t>
      </w:r>
      <w:r w:rsidR="0044092D">
        <w:rPr>
          <w:lang w:val="fr-FR"/>
        </w:rPr>
        <w:t>« </w:t>
      </w:r>
      <w:r w:rsidRPr="00F375A4">
        <w:rPr>
          <w:i/>
          <w:lang w:val="fr-FR"/>
        </w:rPr>
        <w:t>Ceci doit être fait, le cas échéant, sur la base des documents de transport et des documents d’accompagnement, par un examen visuel du wagon/du véhicule/du bateau ou des conteneurs et, le cas échéant, du chargement</w:t>
      </w:r>
      <w:r w:rsidRPr="00F375A4">
        <w:rPr>
          <w:lang w:val="fr-FR"/>
        </w:rPr>
        <w:t>.</w:t>
      </w:r>
      <w:r w:rsidR="0044092D">
        <w:rPr>
          <w:lang w:val="fr-FR"/>
        </w:rPr>
        <w:t> »</w:t>
      </w:r>
      <w:r w:rsidRPr="00F375A4">
        <w:rPr>
          <w:lang w:val="fr-FR"/>
        </w:rPr>
        <w:t>.</w:t>
      </w:r>
    </w:p>
    <w:p w:rsidR="00F375A4" w:rsidRPr="00F375A4" w:rsidRDefault="00F375A4" w:rsidP="00B10640">
      <w:pPr>
        <w:pStyle w:val="SingleTxt"/>
        <w:numPr>
          <w:ilvl w:val="0"/>
          <w:numId w:val="8"/>
        </w:numPr>
        <w:tabs>
          <w:tab w:val="clear" w:pos="475"/>
          <w:tab w:val="num" w:pos="1742"/>
        </w:tabs>
        <w:ind w:left="1267"/>
        <w:rPr>
          <w:lang w:val="fr-FR"/>
        </w:rPr>
      </w:pPr>
      <w:r w:rsidRPr="00F375A4">
        <w:rPr>
          <w:lang w:val="fr-FR"/>
        </w:rPr>
        <w:lastRenderedPageBreak/>
        <w:t>Nous propos</w:t>
      </w:r>
      <w:r w:rsidR="0044092D">
        <w:rPr>
          <w:lang w:val="fr-FR"/>
        </w:rPr>
        <w:t>ons de remplacer, au paragraphe </w:t>
      </w:r>
      <w:r w:rsidRPr="00F375A4">
        <w:rPr>
          <w:lang w:val="fr-FR"/>
        </w:rPr>
        <w:t xml:space="preserve">1.4.2.2.1 de l’ADR, le mot </w:t>
      </w:r>
      <w:r w:rsidRPr="00F375A4">
        <w:rPr>
          <w:i/>
          <w:lang w:val="fr-FR"/>
        </w:rPr>
        <w:t>véhicule</w:t>
      </w:r>
      <w:r w:rsidRPr="00F375A4">
        <w:rPr>
          <w:lang w:val="fr-FR"/>
        </w:rPr>
        <w:t xml:space="preserve"> par </w:t>
      </w:r>
      <w:r w:rsidRPr="00F375A4">
        <w:rPr>
          <w:i/>
          <w:lang w:val="fr-FR"/>
        </w:rPr>
        <w:t>unité de transport</w:t>
      </w:r>
      <w:r w:rsidRPr="00F375A4">
        <w:rPr>
          <w:lang w:val="fr-FR"/>
        </w:rPr>
        <w:t xml:space="preserve"> dans plusieurs passages (les alin</w:t>
      </w:r>
      <w:r w:rsidR="0044092D">
        <w:rPr>
          <w:lang w:val="fr-FR"/>
        </w:rPr>
        <w:t>éas </w:t>
      </w:r>
      <w:r w:rsidRPr="00F375A4">
        <w:rPr>
          <w:lang w:val="fr-FR"/>
        </w:rPr>
        <w:t>c), g), h) et la dernière phrase), de sorte que le texte de la sous-section soit cohérent par rapport aux autres dispositions de l’ADR, à commencer par la définition d’</w:t>
      </w:r>
      <w:r w:rsidRPr="00F375A4">
        <w:rPr>
          <w:i/>
          <w:lang w:val="fr-FR"/>
        </w:rPr>
        <w:t>unité de transport</w:t>
      </w:r>
      <w:r w:rsidRPr="00F375A4">
        <w:rPr>
          <w:lang w:val="fr-FR"/>
        </w:rPr>
        <w:t xml:space="preserve">, qui s’entend d’un </w:t>
      </w:r>
      <w:r w:rsidRPr="00F375A4">
        <w:rPr>
          <w:i/>
          <w:lang w:val="fr-FR"/>
        </w:rPr>
        <w:t>véhicule à moteur auquel n’est attelée aucune remorque ou un ensemble constitué par un véhicule à moteur et la remorque qui y est attelée</w:t>
      </w:r>
      <w:r w:rsidRPr="00F375A4">
        <w:rPr>
          <w:lang w:val="fr-FR"/>
        </w:rPr>
        <w:t>.</w:t>
      </w:r>
    </w:p>
    <w:p w:rsidR="00F375A4" w:rsidRDefault="00F375A4" w:rsidP="00B10640">
      <w:pPr>
        <w:pStyle w:val="SingleTxt"/>
        <w:numPr>
          <w:ilvl w:val="0"/>
          <w:numId w:val="8"/>
        </w:numPr>
        <w:tabs>
          <w:tab w:val="clear" w:pos="475"/>
          <w:tab w:val="num" w:pos="1742"/>
        </w:tabs>
        <w:ind w:left="1267"/>
        <w:rPr>
          <w:lang w:val="fr-FR"/>
        </w:rPr>
      </w:pPr>
      <w:r w:rsidRPr="00F375A4">
        <w:rPr>
          <w:lang w:val="fr-FR"/>
        </w:rPr>
        <w:t>Le document informel INF.3, lié au présent document, reprodui</w:t>
      </w:r>
      <w:r w:rsidR="0044092D">
        <w:rPr>
          <w:lang w:val="fr-FR"/>
        </w:rPr>
        <w:t>t un extrait de la sous-section </w:t>
      </w:r>
      <w:r w:rsidRPr="00F375A4">
        <w:rPr>
          <w:lang w:val="fr-FR"/>
        </w:rPr>
        <w:t>1.4.2.2 en vue d’offrir une vue d’</w:t>
      </w:r>
      <w:r w:rsidR="0044092D">
        <w:rPr>
          <w:lang w:val="fr-FR"/>
        </w:rPr>
        <w:t>ensemble.</w:t>
      </w:r>
    </w:p>
    <w:p w:rsidR="0044092D" w:rsidRPr="0044092D" w:rsidRDefault="0044092D" w:rsidP="0044092D">
      <w:pPr>
        <w:pStyle w:val="SingleTxt"/>
        <w:spacing w:after="0" w:line="120" w:lineRule="exact"/>
        <w:rPr>
          <w:sz w:val="10"/>
          <w:lang w:val="fr-FR"/>
        </w:rPr>
      </w:pPr>
    </w:p>
    <w:p w:rsidR="0044092D" w:rsidRPr="0044092D" w:rsidRDefault="0044092D" w:rsidP="0044092D">
      <w:pPr>
        <w:pStyle w:val="SingleTxt"/>
        <w:spacing w:after="0" w:line="120" w:lineRule="exact"/>
        <w:rPr>
          <w:sz w:val="10"/>
          <w:lang w:val="fr-FR"/>
        </w:rPr>
      </w:pPr>
    </w:p>
    <w:p w:rsidR="00F375A4" w:rsidRDefault="00F375A4" w:rsidP="0044092D">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375A4">
        <w:rPr>
          <w:lang w:val="fr-FR"/>
        </w:rPr>
        <w:tab/>
      </w:r>
      <w:r w:rsidRPr="00F375A4">
        <w:rPr>
          <w:lang w:val="fr-FR"/>
        </w:rPr>
        <w:tab/>
        <w:t>Propositions</w:t>
      </w:r>
    </w:p>
    <w:p w:rsidR="0044092D" w:rsidRPr="0044092D" w:rsidRDefault="0044092D" w:rsidP="0044092D">
      <w:pPr>
        <w:pStyle w:val="SingleTxt"/>
        <w:spacing w:after="0" w:line="120" w:lineRule="exact"/>
        <w:rPr>
          <w:sz w:val="10"/>
          <w:lang w:val="fr-FR"/>
        </w:rPr>
      </w:pPr>
    </w:p>
    <w:p w:rsidR="0044092D" w:rsidRPr="0044092D" w:rsidRDefault="0044092D" w:rsidP="0044092D">
      <w:pPr>
        <w:pStyle w:val="SingleTxt"/>
        <w:spacing w:after="0" w:line="120" w:lineRule="exact"/>
        <w:rPr>
          <w:sz w:val="10"/>
          <w:lang w:val="fr-FR"/>
        </w:rPr>
      </w:pPr>
    </w:p>
    <w:p w:rsidR="00F375A4" w:rsidRDefault="0044092D" w:rsidP="0044092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F375A4" w:rsidRPr="00F375A4">
        <w:rPr>
          <w:lang w:val="fr-FR"/>
        </w:rPr>
        <w:t>Proposition 1</w:t>
      </w:r>
      <w:r>
        <w:rPr>
          <w:lang w:val="fr-FR"/>
        </w:rPr>
        <w:t> – </w:t>
      </w:r>
      <w:r w:rsidR="00F375A4" w:rsidRPr="00F375A4">
        <w:rPr>
          <w:lang w:val="fr-FR"/>
        </w:rPr>
        <w:t>alinéa</w:t>
      </w:r>
      <w:r>
        <w:rPr>
          <w:lang w:val="fr-FR"/>
        </w:rPr>
        <w:t> </w:t>
      </w:r>
      <w:r w:rsidR="00F375A4" w:rsidRPr="00F375A4">
        <w:rPr>
          <w:lang w:val="fr-FR"/>
        </w:rPr>
        <w:t>c)</w:t>
      </w:r>
    </w:p>
    <w:p w:rsidR="0044092D" w:rsidRPr="0044092D" w:rsidRDefault="0044092D" w:rsidP="0044092D">
      <w:pPr>
        <w:pStyle w:val="SingleTxt"/>
        <w:spacing w:after="0" w:line="120" w:lineRule="exact"/>
        <w:rPr>
          <w:sz w:val="10"/>
          <w:lang w:val="fr-FR"/>
        </w:rPr>
      </w:pPr>
    </w:p>
    <w:p w:rsidR="0044092D" w:rsidRPr="0044092D" w:rsidRDefault="0044092D" w:rsidP="0044092D">
      <w:pPr>
        <w:pStyle w:val="SingleTxt"/>
        <w:spacing w:after="0" w:line="120" w:lineRule="exact"/>
        <w:rPr>
          <w:sz w:val="10"/>
          <w:lang w:val="fr-FR"/>
        </w:rPr>
      </w:pPr>
    </w:p>
    <w:p w:rsidR="00F375A4" w:rsidRPr="00F375A4" w:rsidRDefault="00F375A4" w:rsidP="00B10640">
      <w:pPr>
        <w:pStyle w:val="SingleTxt"/>
        <w:numPr>
          <w:ilvl w:val="0"/>
          <w:numId w:val="8"/>
        </w:numPr>
        <w:tabs>
          <w:tab w:val="clear" w:pos="475"/>
          <w:tab w:val="num" w:pos="1742"/>
        </w:tabs>
        <w:ind w:left="1267"/>
        <w:rPr>
          <w:lang w:val="fr-FR"/>
        </w:rPr>
      </w:pPr>
      <w:r w:rsidRPr="00F375A4">
        <w:rPr>
          <w:lang w:val="fr-FR"/>
        </w:rPr>
        <w:t>Il est possible que le texte proposé concernant le matériel de lutte contre l’incendie ressemble fortement à l’</w:t>
      </w:r>
      <w:r w:rsidR="0044092D">
        <w:rPr>
          <w:lang w:val="fr-FR"/>
        </w:rPr>
        <w:t>alinéa </w:t>
      </w:r>
      <w:r w:rsidRPr="00F375A4">
        <w:rPr>
          <w:lang w:val="fr-FR"/>
        </w:rPr>
        <w:t>g) du paragraphe</w:t>
      </w:r>
      <w:r w:rsidR="0044092D">
        <w:rPr>
          <w:lang w:val="fr-FR"/>
        </w:rPr>
        <w:t> </w:t>
      </w:r>
      <w:r w:rsidRPr="00F375A4">
        <w:rPr>
          <w:lang w:val="fr-FR"/>
        </w:rPr>
        <w:t>1.4.2.2.1 de l’ADR, qui a été récemment modifié, mais la proposition ci-après apporte une simplification en liant ce texte au paragraphe</w:t>
      </w:r>
      <w:r w:rsidR="0044092D">
        <w:rPr>
          <w:lang w:val="fr-FR"/>
        </w:rPr>
        <w:t> </w:t>
      </w:r>
      <w:r w:rsidRPr="00F375A4">
        <w:rPr>
          <w:lang w:val="fr-FR"/>
        </w:rPr>
        <w:t>c). Il convient de faire la différence entre les équipements mentionnés dans les consignes écrites et tous les autres équipements.</w:t>
      </w:r>
    </w:p>
    <w:p w:rsidR="00F375A4" w:rsidRPr="00F375A4" w:rsidRDefault="00F375A4" w:rsidP="00B10640">
      <w:pPr>
        <w:pStyle w:val="SingleTxt"/>
        <w:numPr>
          <w:ilvl w:val="0"/>
          <w:numId w:val="8"/>
        </w:numPr>
        <w:tabs>
          <w:tab w:val="clear" w:pos="475"/>
          <w:tab w:val="num" w:pos="1742"/>
        </w:tabs>
        <w:ind w:left="1267"/>
        <w:rPr>
          <w:lang w:val="fr-FR"/>
        </w:rPr>
      </w:pPr>
      <w:r w:rsidRPr="00F375A4">
        <w:rPr>
          <w:lang w:val="fr-FR"/>
        </w:rPr>
        <w:t>Toutefois, nous sommes d’avis que, dans la logique de l’</w:t>
      </w:r>
      <w:r w:rsidR="0044092D">
        <w:rPr>
          <w:lang w:val="fr-FR"/>
        </w:rPr>
        <w:t>accord, puisque le chapitre </w:t>
      </w:r>
      <w:r w:rsidRPr="00F375A4">
        <w:rPr>
          <w:lang w:val="fr-FR"/>
        </w:rPr>
        <w:t xml:space="preserve">1.4 est </w:t>
      </w:r>
      <w:r w:rsidR="00D05F0F">
        <w:rPr>
          <w:lang w:val="fr-FR"/>
        </w:rPr>
        <w:t>c</w:t>
      </w:r>
      <w:r w:rsidRPr="00F375A4">
        <w:rPr>
          <w:lang w:val="fr-FR"/>
        </w:rPr>
        <w:t xml:space="preserve">ensé préciser les obligations des participants au transport en ce qui concerne la </w:t>
      </w:r>
      <w:r w:rsidR="0044092D">
        <w:rPr>
          <w:lang w:val="fr-FR"/>
        </w:rPr>
        <w:t>sécurité, le paragraphe </w:t>
      </w:r>
      <w:r w:rsidRPr="00F375A4">
        <w:rPr>
          <w:lang w:val="fr-FR"/>
        </w:rPr>
        <w:t>1.4.2.2 devrait clairement stipuler que le transporteur est tenu de fournir le matériel de lutte contre l’incendie. Il s’agit de l’une des principales obligations d’un transporteur, qui devrait être clairement énoncée, à ce titre, dans le paragraphe</w:t>
      </w:r>
      <w:r w:rsidR="0044092D">
        <w:rPr>
          <w:lang w:val="fr-FR"/>
        </w:rPr>
        <w:t> </w:t>
      </w:r>
      <w:r w:rsidRPr="00F375A4">
        <w:rPr>
          <w:lang w:val="fr-FR"/>
        </w:rPr>
        <w:t>1.4.2.2 également.</w:t>
      </w:r>
    </w:p>
    <w:p w:rsidR="00F375A4" w:rsidRPr="00F375A4" w:rsidRDefault="00F375A4" w:rsidP="00B10640">
      <w:pPr>
        <w:pStyle w:val="SingleTxt"/>
        <w:numPr>
          <w:ilvl w:val="0"/>
          <w:numId w:val="8"/>
        </w:numPr>
        <w:tabs>
          <w:tab w:val="clear" w:pos="475"/>
          <w:tab w:val="num" w:pos="1742"/>
        </w:tabs>
        <w:ind w:left="1267"/>
        <w:rPr>
          <w:lang w:val="fr-FR"/>
        </w:rPr>
      </w:pPr>
      <w:r w:rsidRPr="00F375A4">
        <w:rPr>
          <w:lang w:val="fr-FR"/>
        </w:rPr>
        <w:t>Nous proposons aussi</w:t>
      </w:r>
      <w:r w:rsidR="0044092D">
        <w:rPr>
          <w:lang w:val="fr-FR"/>
        </w:rPr>
        <w:t> </w:t>
      </w:r>
      <w:r w:rsidRPr="00F375A4">
        <w:rPr>
          <w:lang w:val="fr-FR"/>
        </w:rPr>
        <w:t>:</w:t>
      </w:r>
    </w:p>
    <w:p w:rsidR="00F375A4" w:rsidRPr="00F375A4" w:rsidRDefault="0044092D" w:rsidP="0044092D">
      <w:pPr>
        <w:pStyle w:val="Bullet1"/>
        <w:rPr>
          <w:lang w:val="fr-FR"/>
        </w:rPr>
      </w:pPr>
      <w:r>
        <w:rPr>
          <w:lang w:val="fr-FR"/>
        </w:rPr>
        <w:t>D</w:t>
      </w:r>
      <w:r w:rsidR="00F375A4" w:rsidRPr="00F375A4">
        <w:rPr>
          <w:lang w:val="fr-FR"/>
        </w:rPr>
        <w:t>e supprimer, dans l’ali</w:t>
      </w:r>
      <w:r>
        <w:rPr>
          <w:lang w:val="fr-FR"/>
        </w:rPr>
        <w:t>néa </w:t>
      </w:r>
      <w:r w:rsidR="00F375A4" w:rsidRPr="00F375A4">
        <w:rPr>
          <w:lang w:val="fr-FR"/>
        </w:rPr>
        <w:t xml:space="preserve">c) des trois Règlements, le terme </w:t>
      </w:r>
      <w:r w:rsidR="00F375A4" w:rsidRPr="00F375A4">
        <w:rPr>
          <w:i/>
          <w:lang w:val="fr-FR"/>
        </w:rPr>
        <w:t>visuellement</w:t>
      </w:r>
      <w:r w:rsidR="00F375A4" w:rsidRPr="00F375A4">
        <w:rPr>
          <w:lang w:val="fr-FR"/>
        </w:rPr>
        <w:t>, car il semble superflu au vu de la mention de l’examen visuel qui figure dans la dernière phrase du paragraphe et s’applique à toutes les obligations précitées dans le texte;</w:t>
      </w:r>
    </w:p>
    <w:p w:rsidR="00F375A4" w:rsidRPr="00F375A4" w:rsidRDefault="0044092D" w:rsidP="0044092D">
      <w:pPr>
        <w:pStyle w:val="Bullet1"/>
        <w:rPr>
          <w:lang w:val="fr-FR"/>
        </w:rPr>
      </w:pPr>
      <w:r>
        <w:rPr>
          <w:lang w:val="fr-FR"/>
        </w:rPr>
        <w:t>D</w:t>
      </w:r>
      <w:r w:rsidR="00F375A4" w:rsidRPr="00F375A4">
        <w:rPr>
          <w:lang w:val="fr-FR"/>
        </w:rPr>
        <w:t xml:space="preserve">’employer au singulier les termes </w:t>
      </w:r>
      <w:r>
        <w:rPr>
          <w:lang w:val="fr-FR"/>
        </w:rPr>
        <w:t>« </w:t>
      </w:r>
      <w:r w:rsidR="00F375A4" w:rsidRPr="00F375A4">
        <w:rPr>
          <w:lang w:val="fr-FR"/>
        </w:rPr>
        <w:t>wagon</w:t>
      </w:r>
      <w:r>
        <w:rPr>
          <w:lang w:val="fr-FR"/>
        </w:rPr>
        <w:t> »</w:t>
      </w:r>
      <w:r w:rsidR="00F375A4" w:rsidRPr="00F375A4">
        <w:rPr>
          <w:lang w:val="fr-FR"/>
        </w:rPr>
        <w:t xml:space="preserve"> et </w:t>
      </w:r>
      <w:r>
        <w:rPr>
          <w:lang w:val="fr-FR"/>
        </w:rPr>
        <w:t>« </w:t>
      </w:r>
      <w:proofErr w:type="spellStart"/>
      <w:r w:rsidR="00F375A4" w:rsidRPr="00F375A4">
        <w:rPr>
          <w:lang w:val="fr-FR"/>
        </w:rPr>
        <w:t>vessel</w:t>
      </w:r>
      <w:proofErr w:type="spellEnd"/>
      <w:r>
        <w:rPr>
          <w:lang w:val="fr-FR"/>
        </w:rPr>
        <w:t> »</w:t>
      </w:r>
      <w:r w:rsidR="00F375A4" w:rsidRPr="00F375A4">
        <w:rPr>
          <w:lang w:val="fr-FR"/>
        </w:rPr>
        <w:t xml:space="preserve"> (dans la version anglaise des Règlements) et de remplacer </w:t>
      </w:r>
      <w:r>
        <w:rPr>
          <w:lang w:val="fr-FR"/>
        </w:rPr>
        <w:t>« </w:t>
      </w:r>
      <w:r w:rsidR="00F375A4" w:rsidRPr="00F375A4">
        <w:rPr>
          <w:lang w:val="fr-FR"/>
        </w:rPr>
        <w:t>véhicule</w:t>
      </w:r>
      <w:r>
        <w:rPr>
          <w:lang w:val="fr-FR"/>
        </w:rPr>
        <w:t> »</w:t>
      </w:r>
      <w:r w:rsidR="00F375A4" w:rsidRPr="00F375A4">
        <w:rPr>
          <w:lang w:val="fr-FR"/>
        </w:rPr>
        <w:t xml:space="preserve"> par </w:t>
      </w:r>
      <w:r>
        <w:rPr>
          <w:lang w:val="fr-FR"/>
        </w:rPr>
        <w:t>« </w:t>
      </w:r>
      <w:r w:rsidR="00F375A4" w:rsidRPr="00F375A4">
        <w:rPr>
          <w:lang w:val="fr-FR"/>
        </w:rPr>
        <w:t>unité de transport</w:t>
      </w:r>
      <w:r>
        <w:rPr>
          <w:lang w:val="fr-FR"/>
        </w:rPr>
        <w:t> »</w:t>
      </w:r>
      <w:r w:rsidR="00F375A4" w:rsidRPr="00F375A4">
        <w:rPr>
          <w:lang w:val="fr-FR"/>
        </w:rPr>
        <w:t>, comme dans l</w:t>
      </w:r>
      <w:r>
        <w:rPr>
          <w:lang w:val="fr-FR"/>
        </w:rPr>
        <w:t>a dernière phrase du paragraphe </w:t>
      </w:r>
      <w:r w:rsidR="00F375A4" w:rsidRPr="00F375A4">
        <w:rPr>
          <w:lang w:val="fr-FR"/>
        </w:rPr>
        <w:t>1.4.2.2.1;</w:t>
      </w:r>
    </w:p>
    <w:p w:rsidR="00F375A4" w:rsidRPr="00F375A4" w:rsidRDefault="0044092D" w:rsidP="0044092D">
      <w:pPr>
        <w:pStyle w:val="Bullet1"/>
        <w:rPr>
          <w:lang w:val="fr-FR"/>
        </w:rPr>
      </w:pPr>
      <w:r>
        <w:rPr>
          <w:lang w:val="fr-FR"/>
        </w:rPr>
        <w:t>D</w:t>
      </w:r>
      <w:r w:rsidR="00F375A4" w:rsidRPr="00F375A4">
        <w:rPr>
          <w:lang w:val="fr-FR"/>
        </w:rPr>
        <w:t xml:space="preserve">’ajouter une référence au </w:t>
      </w:r>
      <w:r w:rsidR="00F375A4" w:rsidRPr="00F375A4">
        <w:rPr>
          <w:i/>
          <w:lang w:val="fr-FR"/>
        </w:rPr>
        <w:t>conteneur</w:t>
      </w:r>
      <w:r w:rsidR="00F375A4" w:rsidRPr="00F375A4">
        <w:rPr>
          <w:lang w:val="fr-FR"/>
        </w:rPr>
        <w:t>, étant donné que ce terme figure dans la dernière phrase du paragraphe</w:t>
      </w:r>
      <w:r>
        <w:rPr>
          <w:lang w:val="fr-FR"/>
        </w:rPr>
        <w:t> </w:t>
      </w:r>
      <w:r w:rsidR="00F375A4" w:rsidRPr="00F375A4">
        <w:rPr>
          <w:lang w:val="fr-FR"/>
        </w:rPr>
        <w:t>1.4.2.2.1 et qu’il est approprié de le mentionner à l’</w:t>
      </w:r>
      <w:r>
        <w:rPr>
          <w:lang w:val="fr-FR"/>
        </w:rPr>
        <w:t>alinéa </w:t>
      </w:r>
      <w:r w:rsidR="00F375A4" w:rsidRPr="00F375A4">
        <w:rPr>
          <w:lang w:val="fr-FR"/>
        </w:rPr>
        <w:t>c); et</w:t>
      </w:r>
    </w:p>
    <w:p w:rsidR="00F375A4" w:rsidRPr="00F375A4" w:rsidRDefault="0044092D" w:rsidP="0044092D">
      <w:pPr>
        <w:pStyle w:val="Bullet1"/>
        <w:rPr>
          <w:lang w:val="fr-FR"/>
        </w:rPr>
      </w:pPr>
      <w:r>
        <w:rPr>
          <w:lang w:val="fr-FR"/>
        </w:rPr>
        <w:t>D</w:t>
      </w:r>
      <w:r w:rsidR="00F375A4" w:rsidRPr="00F375A4">
        <w:rPr>
          <w:lang w:val="fr-FR"/>
        </w:rPr>
        <w:t>’ajouter une parenthèse à la fin de l’alinéa</w:t>
      </w:r>
      <w:r>
        <w:rPr>
          <w:lang w:val="fr-FR"/>
        </w:rPr>
        <w:t> </w:t>
      </w:r>
      <w:r w:rsidR="00F375A4" w:rsidRPr="00F375A4">
        <w:rPr>
          <w:lang w:val="fr-FR"/>
        </w:rPr>
        <w:t>c) ainsi qu’un nota s’y rapportant à la fin de l’ADR et de l’ADN (le RID ne compo</w:t>
      </w:r>
      <w:r>
        <w:rPr>
          <w:lang w:val="fr-FR"/>
        </w:rPr>
        <w:t>rte pas de section </w:t>
      </w:r>
      <w:r w:rsidR="00F375A4" w:rsidRPr="00F375A4">
        <w:rPr>
          <w:lang w:val="fr-FR"/>
        </w:rPr>
        <w:t>8.1.4).</w:t>
      </w:r>
    </w:p>
    <w:p w:rsidR="00F375A4" w:rsidRPr="00F375A4" w:rsidRDefault="00F375A4" w:rsidP="00B10640">
      <w:pPr>
        <w:pStyle w:val="SingleTxt"/>
        <w:numPr>
          <w:ilvl w:val="0"/>
          <w:numId w:val="8"/>
        </w:numPr>
        <w:tabs>
          <w:tab w:val="clear" w:pos="475"/>
          <w:tab w:val="num" w:pos="1742"/>
        </w:tabs>
        <w:ind w:left="1267"/>
        <w:rPr>
          <w:lang w:val="fr-FR"/>
        </w:rPr>
      </w:pPr>
      <w:r w:rsidRPr="00F375A4">
        <w:rPr>
          <w:lang w:val="fr-FR"/>
        </w:rPr>
        <w:t>Modifier le texte de l’</w:t>
      </w:r>
      <w:r w:rsidR="0044092D">
        <w:rPr>
          <w:lang w:val="fr-FR"/>
        </w:rPr>
        <w:t>alinéa c) du paragraphe </w:t>
      </w:r>
      <w:r w:rsidRPr="00F375A4">
        <w:rPr>
          <w:lang w:val="fr-FR"/>
        </w:rPr>
        <w:t>1.4.2.2.1, comme suit (suppressions biffées et ajouts soulignés)</w:t>
      </w:r>
      <w:r w:rsidR="0044092D">
        <w:rPr>
          <w:lang w:val="fr-FR"/>
        </w:rPr>
        <w:t> </w:t>
      </w:r>
      <w:r w:rsidRPr="00F375A4">
        <w:rPr>
          <w:lang w:val="fr-FR"/>
        </w:rPr>
        <w:t>:</w:t>
      </w:r>
    </w:p>
    <w:p w:rsidR="00F375A4" w:rsidRPr="00F375A4" w:rsidRDefault="008D4316" w:rsidP="008D4316">
      <w:pPr>
        <w:pStyle w:val="SingleTxt"/>
        <w:ind w:left="2693" w:hanging="1426"/>
        <w:rPr>
          <w:lang w:val="fr-FR"/>
        </w:rPr>
      </w:pPr>
      <w:r>
        <w:rPr>
          <w:b/>
          <w:lang w:val="fr-FR"/>
        </w:rPr>
        <w:tab/>
      </w:r>
      <w:r w:rsidR="00F375A4" w:rsidRPr="00F375A4">
        <w:rPr>
          <w:b/>
          <w:lang w:val="fr-FR"/>
        </w:rPr>
        <w:t>RID</w:t>
      </w:r>
      <w:r w:rsidR="0044092D" w:rsidRPr="0044092D">
        <w:rPr>
          <w:lang w:val="fr-FR"/>
        </w:rPr>
        <w:t> </w:t>
      </w:r>
      <w:r w:rsidR="00F375A4" w:rsidRPr="0044092D">
        <w:rPr>
          <w:lang w:val="fr-FR"/>
        </w:rPr>
        <w:t xml:space="preserve">: </w:t>
      </w:r>
      <w:r>
        <w:rPr>
          <w:lang w:val="fr-FR"/>
        </w:rPr>
        <w:tab/>
      </w:r>
      <w:r w:rsidR="0044092D">
        <w:rPr>
          <w:lang w:val="fr-FR"/>
        </w:rPr>
        <w:t>« </w:t>
      </w:r>
      <w:r w:rsidR="00F375A4" w:rsidRPr="00F375A4">
        <w:rPr>
          <w:lang w:val="fr-FR"/>
        </w:rPr>
        <w:t>c)</w:t>
      </w:r>
      <w:r w:rsidR="0044092D">
        <w:rPr>
          <w:lang w:val="fr-FR"/>
        </w:rPr>
        <w:t> </w:t>
      </w:r>
      <w:r w:rsidR="00F375A4" w:rsidRPr="00F375A4">
        <w:rPr>
          <w:lang w:val="fr-FR"/>
        </w:rPr>
        <w:t xml:space="preserve">s’assurer </w:t>
      </w:r>
      <w:r w:rsidR="00F375A4" w:rsidRPr="00345A0D">
        <w:rPr>
          <w:strike/>
          <w:lang w:val="fr-FR"/>
        </w:rPr>
        <w:t>visuellement</w:t>
      </w:r>
      <w:r w:rsidR="00F375A4" w:rsidRPr="00F375A4">
        <w:rPr>
          <w:lang w:val="fr-FR"/>
        </w:rPr>
        <w:t xml:space="preserve"> que le wagon, </w:t>
      </w:r>
      <w:r w:rsidR="00F375A4" w:rsidRPr="00F375A4">
        <w:rPr>
          <w:u w:val="single"/>
          <w:lang w:val="fr-FR"/>
        </w:rPr>
        <w:t>le conteneur</w:t>
      </w:r>
      <w:r w:rsidR="00F375A4" w:rsidRPr="00F375A4">
        <w:rPr>
          <w:lang w:val="fr-FR"/>
        </w:rPr>
        <w:t xml:space="preserve"> et le chargement ne présentent pas de défauts manifestes, de fuites ou de fissures, de manquement de dispositifs d’équipement, etc.</w:t>
      </w:r>
      <w:r w:rsidR="0044092D">
        <w:rPr>
          <w:lang w:val="fr-FR"/>
        </w:rPr>
        <w:t> »</w:t>
      </w:r>
      <w:r w:rsidR="00F375A4" w:rsidRPr="00F375A4">
        <w:rPr>
          <w:lang w:val="fr-FR"/>
        </w:rPr>
        <w:t>;</w:t>
      </w:r>
    </w:p>
    <w:p w:rsidR="00F375A4" w:rsidRPr="00F375A4" w:rsidRDefault="008D4316" w:rsidP="008D4316">
      <w:pPr>
        <w:pStyle w:val="SingleTxt"/>
        <w:ind w:left="2693" w:hanging="1426"/>
        <w:rPr>
          <w:lang w:val="fr-FR"/>
        </w:rPr>
      </w:pPr>
      <w:r>
        <w:rPr>
          <w:b/>
          <w:lang w:val="fr-FR"/>
        </w:rPr>
        <w:tab/>
      </w:r>
      <w:r w:rsidR="00F375A4" w:rsidRPr="00F375A4">
        <w:rPr>
          <w:b/>
          <w:lang w:val="fr-FR"/>
        </w:rPr>
        <w:t>ADR</w:t>
      </w:r>
      <w:r w:rsidR="0044092D">
        <w:rPr>
          <w:b/>
          <w:lang w:val="fr-FR"/>
        </w:rPr>
        <w:t> </w:t>
      </w:r>
      <w:r>
        <w:rPr>
          <w:lang w:val="fr-FR"/>
        </w:rPr>
        <w:t>:</w:t>
      </w:r>
      <w:r>
        <w:rPr>
          <w:lang w:val="fr-FR"/>
        </w:rPr>
        <w:tab/>
      </w:r>
      <w:r w:rsidR="0044092D">
        <w:rPr>
          <w:lang w:val="fr-FR"/>
        </w:rPr>
        <w:t>« </w:t>
      </w:r>
      <w:r w:rsidR="00F375A4" w:rsidRPr="00F375A4">
        <w:rPr>
          <w:lang w:val="fr-FR"/>
        </w:rPr>
        <w:t>c)</w:t>
      </w:r>
      <w:r w:rsidR="0044092D">
        <w:rPr>
          <w:lang w:val="fr-FR"/>
        </w:rPr>
        <w:t> </w:t>
      </w:r>
      <w:r w:rsidR="00F375A4" w:rsidRPr="00F375A4">
        <w:rPr>
          <w:lang w:val="fr-FR"/>
        </w:rPr>
        <w:t xml:space="preserve">s’assurer </w:t>
      </w:r>
      <w:r w:rsidR="00F375A4" w:rsidRPr="00345A0D">
        <w:rPr>
          <w:strike/>
          <w:lang w:val="fr-FR"/>
        </w:rPr>
        <w:t>visuellement</w:t>
      </w:r>
      <w:r w:rsidR="00F375A4" w:rsidRPr="00F375A4">
        <w:rPr>
          <w:lang w:val="fr-FR"/>
        </w:rPr>
        <w:t xml:space="preserve"> que </w:t>
      </w:r>
      <w:r w:rsidR="00F375A4" w:rsidRPr="005D423B">
        <w:rPr>
          <w:strike/>
          <w:lang w:val="fr-FR"/>
        </w:rPr>
        <w:t>le véhicule</w:t>
      </w:r>
      <w:r w:rsidR="00F375A4" w:rsidRPr="00F375A4">
        <w:rPr>
          <w:lang w:val="fr-FR"/>
        </w:rPr>
        <w:t xml:space="preserve"> </w:t>
      </w:r>
      <w:r w:rsidR="00F375A4" w:rsidRPr="00F375A4">
        <w:rPr>
          <w:u w:val="single"/>
          <w:lang w:val="fr-FR"/>
        </w:rPr>
        <w:t>l’unité de transport</w:t>
      </w:r>
      <w:r w:rsidR="00F375A4" w:rsidRPr="00F375A4">
        <w:rPr>
          <w:lang w:val="fr-FR"/>
        </w:rPr>
        <w:t>,</w:t>
      </w:r>
      <w:r w:rsidR="00F375A4" w:rsidRPr="00F375A4">
        <w:rPr>
          <w:u w:val="single"/>
          <w:lang w:val="fr-FR"/>
        </w:rPr>
        <w:t xml:space="preserve"> le conteneur </w:t>
      </w:r>
      <w:r w:rsidR="00F375A4" w:rsidRPr="00F375A4">
        <w:rPr>
          <w:lang w:val="fr-FR"/>
        </w:rPr>
        <w:t>et le chargement ne présentent pas de défauts manifestes, de fuites ou de fissures, de manquement de dispositifs d’équipement (</w:t>
      </w:r>
      <w:r w:rsidR="0044092D">
        <w:rPr>
          <w:u w:val="single"/>
          <w:lang w:val="fr-FR"/>
        </w:rPr>
        <w:t>y </w:t>
      </w:r>
      <w:r w:rsidR="00F375A4" w:rsidRPr="00F375A4">
        <w:rPr>
          <w:u w:val="single"/>
          <w:lang w:val="fr-FR"/>
        </w:rPr>
        <w:t>compris le matériel de lutte contre l’incendie</w:t>
      </w:r>
      <w:r w:rsidR="00F375A4" w:rsidRPr="00F375A4">
        <w:rPr>
          <w:lang w:val="fr-FR"/>
        </w:rPr>
        <w:t>), etc.;</w:t>
      </w:r>
    </w:p>
    <w:p w:rsidR="00F375A4" w:rsidRPr="00F375A4" w:rsidRDefault="00F375A4" w:rsidP="008D4316">
      <w:pPr>
        <w:pStyle w:val="SingleTxt"/>
        <w:ind w:left="2693"/>
        <w:rPr>
          <w:i/>
          <w:u w:val="single"/>
          <w:lang w:val="fr-FR"/>
        </w:rPr>
      </w:pPr>
      <w:r w:rsidRPr="00F375A4">
        <w:rPr>
          <w:i/>
          <w:u w:val="single"/>
          <w:lang w:val="fr-FR"/>
        </w:rPr>
        <w:t>NOTA</w:t>
      </w:r>
      <w:r w:rsidR="008D4316">
        <w:rPr>
          <w:i/>
          <w:u w:val="single"/>
          <w:lang w:val="fr-FR"/>
        </w:rPr>
        <w:t> </w:t>
      </w:r>
      <w:r w:rsidRPr="00F375A4">
        <w:rPr>
          <w:i/>
          <w:u w:val="single"/>
          <w:lang w:val="fr-FR"/>
        </w:rPr>
        <w:t>: Le délai prescrit pour la prochaine inspection du matériel de lutte contre l’incendie au titre de l’ADR ne doit pas être parvenu à expiration pendant le transport.</w:t>
      </w:r>
      <w:r w:rsidR="008D4316" w:rsidRPr="00DD1C7A">
        <w:rPr>
          <w:lang w:val="fr-FR"/>
        </w:rPr>
        <w:t> »</w:t>
      </w:r>
      <w:r w:rsidRPr="00DD1C7A">
        <w:rPr>
          <w:i/>
          <w:lang w:val="fr-FR"/>
        </w:rPr>
        <w:t>.</w:t>
      </w:r>
    </w:p>
    <w:p w:rsidR="00F375A4" w:rsidRPr="00F375A4" w:rsidRDefault="00BB06B3" w:rsidP="00BB06B3">
      <w:pPr>
        <w:pStyle w:val="SingleTxt"/>
        <w:ind w:left="2693" w:hanging="1426"/>
        <w:rPr>
          <w:lang w:val="fr-FR"/>
        </w:rPr>
      </w:pPr>
      <w:r>
        <w:rPr>
          <w:b/>
          <w:lang w:val="fr-FR"/>
        </w:rPr>
        <w:tab/>
      </w:r>
      <w:r w:rsidR="00F375A4" w:rsidRPr="00F375A4">
        <w:rPr>
          <w:b/>
          <w:lang w:val="fr-FR"/>
        </w:rPr>
        <w:t>ADN</w:t>
      </w:r>
      <w:r w:rsidR="008D4316">
        <w:rPr>
          <w:b/>
          <w:lang w:val="fr-FR"/>
        </w:rPr>
        <w:t> </w:t>
      </w:r>
      <w:r w:rsidR="00F375A4" w:rsidRPr="008D4316">
        <w:rPr>
          <w:lang w:val="fr-FR"/>
        </w:rPr>
        <w:t>:</w:t>
      </w:r>
      <w:r>
        <w:rPr>
          <w:lang w:val="fr-FR"/>
        </w:rPr>
        <w:tab/>
      </w:r>
      <w:r w:rsidR="008D4316">
        <w:rPr>
          <w:lang w:val="fr-FR"/>
        </w:rPr>
        <w:t>« </w:t>
      </w:r>
      <w:r w:rsidR="00F375A4" w:rsidRPr="00F375A4">
        <w:rPr>
          <w:lang w:val="fr-FR"/>
        </w:rPr>
        <w:t>c)</w:t>
      </w:r>
      <w:r w:rsidR="008D4316">
        <w:rPr>
          <w:lang w:val="fr-FR"/>
        </w:rPr>
        <w:t> </w:t>
      </w:r>
      <w:r w:rsidR="00F375A4" w:rsidRPr="00F375A4">
        <w:rPr>
          <w:lang w:val="fr-FR"/>
        </w:rPr>
        <w:t xml:space="preserve">s’assurer </w:t>
      </w:r>
      <w:r w:rsidR="00F375A4" w:rsidRPr="006B7165">
        <w:rPr>
          <w:strike/>
          <w:lang w:val="fr-FR"/>
        </w:rPr>
        <w:t>visuellement</w:t>
      </w:r>
      <w:r w:rsidR="00F375A4" w:rsidRPr="00F375A4">
        <w:rPr>
          <w:lang w:val="fr-FR"/>
        </w:rPr>
        <w:t xml:space="preserve"> que le bateau, </w:t>
      </w:r>
      <w:r w:rsidR="00F375A4" w:rsidRPr="00F375A4">
        <w:rPr>
          <w:u w:val="single"/>
          <w:lang w:val="fr-FR"/>
        </w:rPr>
        <w:t>le conteneur</w:t>
      </w:r>
      <w:r w:rsidR="00F375A4" w:rsidRPr="00F375A4">
        <w:rPr>
          <w:lang w:val="fr-FR"/>
        </w:rPr>
        <w:t xml:space="preserve"> et le chargement ne présentent pas de défauts manifestes, de fuites ou de fissures, de manquement de dispositifs d’équipement (</w:t>
      </w:r>
      <w:r w:rsidR="008D4316">
        <w:rPr>
          <w:u w:val="single"/>
          <w:lang w:val="fr-FR"/>
        </w:rPr>
        <w:t>y </w:t>
      </w:r>
      <w:r w:rsidR="00F375A4" w:rsidRPr="00F375A4">
        <w:rPr>
          <w:u w:val="single"/>
          <w:lang w:val="fr-FR"/>
        </w:rPr>
        <w:t>compris le matériel de lutte contre l’incendie</w:t>
      </w:r>
      <w:r w:rsidR="00F375A4" w:rsidRPr="00F375A4">
        <w:rPr>
          <w:lang w:val="fr-FR"/>
        </w:rPr>
        <w:t>), etc.;</w:t>
      </w:r>
    </w:p>
    <w:p w:rsidR="00F375A4" w:rsidRDefault="00F375A4" w:rsidP="008A51B3">
      <w:pPr>
        <w:pStyle w:val="SingleTxt"/>
        <w:ind w:left="2693"/>
        <w:rPr>
          <w:lang w:val="fr-FR"/>
        </w:rPr>
      </w:pPr>
      <w:r w:rsidRPr="00F375A4">
        <w:rPr>
          <w:bCs/>
          <w:i/>
          <w:iCs/>
          <w:u w:val="single"/>
          <w:lang w:val="fr-FR"/>
        </w:rPr>
        <w:t>NOTA</w:t>
      </w:r>
      <w:r w:rsidR="008A51B3">
        <w:rPr>
          <w:bCs/>
          <w:i/>
          <w:iCs/>
          <w:u w:val="single"/>
          <w:lang w:val="fr-FR"/>
        </w:rPr>
        <w:t> </w:t>
      </w:r>
      <w:r w:rsidRPr="00F375A4">
        <w:rPr>
          <w:bCs/>
          <w:i/>
          <w:iCs/>
          <w:u w:val="single"/>
          <w:lang w:val="fr-FR"/>
        </w:rPr>
        <w:t xml:space="preserve">: Le délai </w:t>
      </w:r>
      <w:r w:rsidRPr="008A51B3">
        <w:rPr>
          <w:i/>
          <w:u w:val="single"/>
          <w:lang w:val="fr-FR"/>
        </w:rPr>
        <w:t>prescrit</w:t>
      </w:r>
      <w:r w:rsidRPr="00F375A4">
        <w:rPr>
          <w:bCs/>
          <w:i/>
          <w:iCs/>
          <w:u w:val="single"/>
          <w:lang w:val="fr-FR"/>
        </w:rPr>
        <w:t xml:space="preserve"> pour la prochaine inspection du matériel de lutte contre l’incendie au titre de l’ADN ne doit pas être parvenu à expiration pendant le transport</w:t>
      </w:r>
      <w:r w:rsidRPr="00F375A4">
        <w:rPr>
          <w:i/>
          <w:iCs/>
          <w:u w:val="single"/>
          <w:lang w:val="fr-FR"/>
        </w:rPr>
        <w:t>.</w:t>
      </w:r>
      <w:r w:rsidR="008A51B3" w:rsidRPr="00DD1C7A">
        <w:rPr>
          <w:iCs/>
          <w:lang w:val="fr-FR"/>
        </w:rPr>
        <w:t> »</w:t>
      </w:r>
      <w:r w:rsidRPr="00DD1C7A">
        <w:rPr>
          <w:lang w:val="fr-FR"/>
        </w:rPr>
        <w:t>.</w:t>
      </w:r>
    </w:p>
    <w:p w:rsidR="00D7194F" w:rsidRPr="00704D11" w:rsidRDefault="00D7194F" w:rsidP="00704D11">
      <w:pPr>
        <w:pStyle w:val="SingleTxt"/>
        <w:spacing w:after="0" w:line="120" w:lineRule="exact"/>
        <w:rPr>
          <w:sz w:val="10"/>
          <w:lang w:val="fr-FR"/>
        </w:rPr>
      </w:pPr>
    </w:p>
    <w:p w:rsidR="00704D11" w:rsidRPr="00704D11" w:rsidRDefault="00704D11" w:rsidP="00704D11">
      <w:pPr>
        <w:pStyle w:val="SingleTxt"/>
        <w:spacing w:after="0" w:line="120" w:lineRule="exact"/>
        <w:rPr>
          <w:sz w:val="10"/>
          <w:lang w:val="fr-FR"/>
        </w:rPr>
      </w:pPr>
    </w:p>
    <w:p w:rsidR="00F375A4" w:rsidRDefault="00F375A4" w:rsidP="00D7194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375A4">
        <w:rPr>
          <w:lang w:val="fr-FR"/>
        </w:rPr>
        <w:tab/>
      </w:r>
      <w:r w:rsidRPr="00F375A4">
        <w:rPr>
          <w:lang w:val="fr-FR"/>
        </w:rPr>
        <w:tab/>
      </w:r>
      <w:r w:rsidR="00D7194F">
        <w:rPr>
          <w:lang w:val="fr-FR"/>
        </w:rPr>
        <w:t>Alinéas </w:t>
      </w:r>
      <w:r w:rsidRPr="00F375A4">
        <w:rPr>
          <w:lang w:val="fr-FR"/>
        </w:rPr>
        <w:t>g) et h)</w:t>
      </w:r>
    </w:p>
    <w:p w:rsidR="00D7194F" w:rsidRPr="00D7194F" w:rsidRDefault="00D7194F" w:rsidP="00D7194F">
      <w:pPr>
        <w:pStyle w:val="SingleTxt"/>
        <w:spacing w:after="0" w:line="120" w:lineRule="exact"/>
        <w:rPr>
          <w:sz w:val="10"/>
          <w:lang w:val="fr-FR"/>
        </w:rPr>
      </w:pPr>
    </w:p>
    <w:p w:rsidR="00D7194F" w:rsidRPr="00D7194F" w:rsidRDefault="00D7194F" w:rsidP="00D7194F">
      <w:pPr>
        <w:pStyle w:val="SingleTxt"/>
        <w:spacing w:after="0" w:line="120" w:lineRule="exact"/>
        <w:rPr>
          <w:sz w:val="10"/>
          <w:lang w:val="fr-FR"/>
        </w:rPr>
      </w:pPr>
    </w:p>
    <w:p w:rsidR="00F375A4" w:rsidRPr="00F375A4" w:rsidRDefault="00F375A4" w:rsidP="00B10640">
      <w:pPr>
        <w:pStyle w:val="SingleTxt"/>
        <w:numPr>
          <w:ilvl w:val="0"/>
          <w:numId w:val="8"/>
        </w:numPr>
        <w:tabs>
          <w:tab w:val="clear" w:pos="475"/>
          <w:tab w:val="num" w:pos="1742"/>
        </w:tabs>
        <w:ind w:left="1267"/>
        <w:rPr>
          <w:lang w:val="fr-FR"/>
        </w:rPr>
      </w:pPr>
      <w:r w:rsidRPr="00F375A4">
        <w:rPr>
          <w:lang w:val="fr-FR"/>
        </w:rPr>
        <w:t>Les dispositions de la sous-section 1.4.2.2 obligent déjà le transporteur à fournir au conducteur/véhicule ou à l’équipage/conducteur les consignes écrites conformes aux dispositions de l’</w:t>
      </w:r>
      <w:r w:rsidR="00D7194F">
        <w:rPr>
          <w:lang w:val="fr-FR"/>
        </w:rPr>
        <w:t>ADR/ADN ou prévues à la section </w:t>
      </w:r>
      <w:r w:rsidRPr="00F375A4">
        <w:rPr>
          <w:lang w:val="fr-FR"/>
        </w:rPr>
        <w:t>5.4.3 du RID (qui ne comporte pas de section</w:t>
      </w:r>
      <w:r w:rsidR="00D7194F">
        <w:rPr>
          <w:lang w:val="fr-FR"/>
        </w:rPr>
        <w:t> </w:t>
      </w:r>
      <w:r w:rsidRPr="00F375A4">
        <w:rPr>
          <w:lang w:val="fr-FR"/>
        </w:rPr>
        <w:t>8.1.5) mais sous des formes différentes. Nous souhaitons offrir la meilleure solution possible en prenant modèle sur le RID pour modifier le texte de l’ADR (amendé récemment à la session de mai 2015 du WP.15) et de l’ADN.</w:t>
      </w:r>
    </w:p>
    <w:p w:rsidR="00F375A4" w:rsidRPr="00F375A4" w:rsidRDefault="00D7194F" w:rsidP="00B10640">
      <w:pPr>
        <w:pStyle w:val="SingleTxt"/>
        <w:numPr>
          <w:ilvl w:val="0"/>
          <w:numId w:val="8"/>
        </w:numPr>
        <w:tabs>
          <w:tab w:val="clear" w:pos="475"/>
          <w:tab w:val="num" w:pos="1742"/>
        </w:tabs>
        <w:ind w:left="1267"/>
        <w:rPr>
          <w:lang w:val="fr-FR"/>
        </w:rPr>
      </w:pPr>
      <w:r>
        <w:rPr>
          <w:lang w:val="fr-FR"/>
        </w:rPr>
        <w:t>Le texte du paragraphe </w:t>
      </w:r>
      <w:r w:rsidR="00F375A4" w:rsidRPr="00F375A4">
        <w:rPr>
          <w:lang w:val="fr-FR"/>
        </w:rPr>
        <w:t>1.4.2.2.6 du RID et de l’ADR sera reformulé</w:t>
      </w:r>
      <w:r>
        <w:rPr>
          <w:lang w:val="fr-FR"/>
        </w:rPr>
        <w:t xml:space="preserve"> et inséré dans la sous-section </w:t>
      </w:r>
      <w:r w:rsidR="00F375A4" w:rsidRPr="00F375A4">
        <w:rPr>
          <w:lang w:val="fr-FR"/>
        </w:rPr>
        <w:t>1.4.2.2 en tant qu’</w:t>
      </w:r>
      <w:r>
        <w:rPr>
          <w:lang w:val="fr-FR"/>
        </w:rPr>
        <w:t>alinéa </w:t>
      </w:r>
      <w:r w:rsidR="00F375A4" w:rsidRPr="00F375A4">
        <w:rPr>
          <w:lang w:val="fr-FR"/>
        </w:rPr>
        <w:t>h) et les obligations suivantes propres à l’ADN seront insér</w:t>
      </w:r>
      <w:r>
        <w:rPr>
          <w:lang w:val="fr-FR"/>
        </w:rPr>
        <w:t>ées dans les alinéas successifs </w:t>
      </w:r>
      <w:r w:rsidR="00F375A4" w:rsidRPr="00F375A4">
        <w:rPr>
          <w:lang w:val="fr-FR"/>
        </w:rPr>
        <w:t>i), j) et k). Il est proposé d’introduire une obligation analogue dans l’ADN.</w:t>
      </w:r>
    </w:p>
    <w:p w:rsidR="00F375A4" w:rsidRPr="00F375A4" w:rsidRDefault="00F375A4" w:rsidP="00B10640">
      <w:pPr>
        <w:pStyle w:val="SingleTxt"/>
        <w:numPr>
          <w:ilvl w:val="0"/>
          <w:numId w:val="8"/>
        </w:numPr>
        <w:tabs>
          <w:tab w:val="clear" w:pos="475"/>
          <w:tab w:val="num" w:pos="1742"/>
        </w:tabs>
        <w:ind w:left="1267"/>
        <w:rPr>
          <w:lang w:val="fr-FR"/>
        </w:rPr>
      </w:pPr>
      <w:r w:rsidRPr="00F375A4">
        <w:rPr>
          <w:lang w:val="fr-FR"/>
        </w:rPr>
        <w:t>Com</w:t>
      </w:r>
      <w:r w:rsidR="00D7194F">
        <w:rPr>
          <w:lang w:val="fr-FR"/>
        </w:rPr>
        <w:t>me il est précisé au paragraphe </w:t>
      </w:r>
      <w:r w:rsidRPr="00F375A4">
        <w:rPr>
          <w:lang w:val="fr-FR"/>
        </w:rPr>
        <w:t>6 du présent document, une obligation est prévue à l’</w:t>
      </w:r>
      <w:r w:rsidR="00D7194F">
        <w:rPr>
          <w:lang w:val="fr-FR"/>
        </w:rPr>
        <w:t>alinéa b) du paragraphe </w:t>
      </w:r>
      <w:r w:rsidRPr="00F375A4">
        <w:rPr>
          <w:lang w:val="fr-FR"/>
        </w:rPr>
        <w:t xml:space="preserve">1.4.2.2.1 en ce qui concerne les documents </w:t>
      </w:r>
      <w:r w:rsidRPr="00F375A4">
        <w:rPr>
          <w:b/>
          <w:i/>
          <w:lang w:val="fr-FR"/>
        </w:rPr>
        <w:t>transmis par l’expéditeur avant le transport</w:t>
      </w:r>
      <w:r w:rsidRPr="00F375A4">
        <w:rPr>
          <w:lang w:val="fr-FR"/>
        </w:rPr>
        <w:t xml:space="preserve">. Il y est ainsi fait référence à tout document autre que les consignes écrites </w:t>
      </w:r>
      <w:r w:rsidR="00D7194F">
        <w:rPr>
          <w:lang w:val="fr-FR"/>
        </w:rPr>
        <w:t>[</w:t>
      </w:r>
      <w:r w:rsidRPr="00F375A4">
        <w:rPr>
          <w:lang w:val="fr-FR"/>
        </w:rPr>
        <w:t>par exemple, les documents de transport, autorisations, homologations, notifications, certificats, etc. (d’après l’ADR 2007)</w:t>
      </w:r>
      <w:r w:rsidR="00D7194F">
        <w:rPr>
          <w:lang w:val="fr-FR"/>
        </w:rPr>
        <w:t>]</w:t>
      </w:r>
      <w:r w:rsidRPr="00F375A4">
        <w:rPr>
          <w:lang w:val="fr-FR"/>
        </w:rPr>
        <w:t>. Cela s’inscrit également dans la logique du texte, puisque la fonction des consignes écrites et les règles auxquelles elles sont soumises sont distinctes de celles de tous les autres documents établi avant un transport de marchandises dangereuses. Les nouvelles consignes n’étant plus liées à une matière ou à un numéro ONU donnés, il convient de mentionner cette obligati</w:t>
      </w:r>
      <w:r w:rsidR="00D7194F">
        <w:rPr>
          <w:lang w:val="fr-FR"/>
        </w:rPr>
        <w:t>on dans un paragraphe distinct.</w:t>
      </w:r>
    </w:p>
    <w:p w:rsidR="00F375A4" w:rsidRDefault="00F375A4" w:rsidP="00B10640">
      <w:pPr>
        <w:pStyle w:val="SingleTxt"/>
        <w:numPr>
          <w:ilvl w:val="0"/>
          <w:numId w:val="8"/>
        </w:numPr>
        <w:tabs>
          <w:tab w:val="clear" w:pos="475"/>
          <w:tab w:val="num" w:pos="1742"/>
        </w:tabs>
        <w:ind w:left="1267"/>
        <w:rPr>
          <w:lang w:val="fr-FR"/>
        </w:rPr>
      </w:pPr>
      <w:r w:rsidRPr="00F375A4">
        <w:rPr>
          <w:lang w:val="fr-FR"/>
        </w:rPr>
        <w:t>Une autre raison pour laquelle cette obligation</w:t>
      </w:r>
      <w:r w:rsidR="00D7194F">
        <w:rPr>
          <w:lang w:val="fr-FR"/>
        </w:rPr>
        <w:t xml:space="preserve"> figure dans le RID sous un </w:t>
      </w:r>
      <w:r w:rsidRPr="00F375A4">
        <w:rPr>
          <w:lang w:val="fr-FR"/>
        </w:rPr>
        <w:t xml:space="preserve">paragraphe distinct est que les différentes obligations mentionnées au </w:t>
      </w:r>
      <w:r w:rsidR="00D7194F">
        <w:rPr>
          <w:lang w:val="fr-FR"/>
        </w:rPr>
        <w:t>paragraphe </w:t>
      </w:r>
      <w:r w:rsidRPr="00F375A4">
        <w:rPr>
          <w:lang w:val="fr-FR"/>
        </w:rPr>
        <w:t>1.4.2.2.1 devaient auparavant faire l’objet d’une vérification par sondages représentatifs, mais que la Commission d’experts du RID était majoritairement d’avis que cette obligation ne devait pas relever d’un régime de sondages représentatifs</w:t>
      </w:r>
      <w:r w:rsidR="00D7194F">
        <w:rPr>
          <w:lang w:val="fr-FR"/>
        </w:rPr>
        <w:t>. La </w:t>
      </w:r>
      <w:r w:rsidRPr="00F375A4">
        <w:rPr>
          <w:lang w:val="fr-FR"/>
        </w:rPr>
        <w:t>première phrase du paragraphe</w:t>
      </w:r>
      <w:r w:rsidR="00D7194F">
        <w:rPr>
          <w:lang w:val="fr-FR"/>
        </w:rPr>
        <w:t> </w:t>
      </w:r>
      <w:r w:rsidRPr="00F375A4">
        <w:rPr>
          <w:lang w:val="fr-FR"/>
        </w:rPr>
        <w:t>1.4.2.</w:t>
      </w:r>
      <w:r w:rsidR="0026179C">
        <w:rPr>
          <w:lang w:val="fr-FR"/>
        </w:rPr>
        <w:t>2.1 du RID a été modifiée entre</w:t>
      </w:r>
      <w:r w:rsidRPr="00F375A4">
        <w:rPr>
          <w:lang w:val="fr-FR"/>
        </w:rPr>
        <w:t xml:space="preserve">temps et toutes les obligations qui y figurent doivent faire l’objet d’une vérification pour chaque envoi. Il paraît donc légitime de déplacer l’obligation contenue dans le </w:t>
      </w:r>
      <w:r w:rsidR="00D7194F">
        <w:rPr>
          <w:lang w:val="fr-FR"/>
        </w:rPr>
        <w:t>paragraphe </w:t>
      </w:r>
      <w:r w:rsidRPr="00F375A4">
        <w:rPr>
          <w:lang w:val="fr-FR"/>
        </w:rPr>
        <w:t>1.4.2.2.6 vers l’</w:t>
      </w:r>
      <w:r w:rsidR="00D7194F">
        <w:rPr>
          <w:lang w:val="fr-FR"/>
        </w:rPr>
        <w:t>alinéa </w:t>
      </w:r>
      <w:r w:rsidRPr="00F375A4">
        <w:rPr>
          <w:lang w:val="fr-FR"/>
        </w:rPr>
        <w:t xml:space="preserve">g) du </w:t>
      </w:r>
      <w:r w:rsidR="00D7194F">
        <w:rPr>
          <w:lang w:val="fr-FR"/>
        </w:rPr>
        <w:t>paragraphe </w:t>
      </w:r>
      <w:r w:rsidRPr="00F375A4">
        <w:rPr>
          <w:lang w:val="fr-FR"/>
        </w:rPr>
        <w:t>1.4.2.2.1.</w:t>
      </w:r>
    </w:p>
    <w:p w:rsidR="00D7194F" w:rsidRPr="00D7194F" w:rsidRDefault="00D7194F" w:rsidP="00D7194F">
      <w:pPr>
        <w:pStyle w:val="SingleTxt"/>
        <w:spacing w:after="0" w:line="120" w:lineRule="exact"/>
        <w:rPr>
          <w:sz w:val="10"/>
          <w:lang w:val="fr-FR"/>
        </w:rPr>
      </w:pPr>
    </w:p>
    <w:p w:rsidR="00D7194F" w:rsidRPr="00D7194F" w:rsidRDefault="00D7194F" w:rsidP="00D7194F">
      <w:pPr>
        <w:pStyle w:val="SingleTxt"/>
        <w:spacing w:after="0" w:line="120" w:lineRule="exact"/>
        <w:rPr>
          <w:sz w:val="10"/>
          <w:lang w:val="fr-FR"/>
        </w:rPr>
      </w:pPr>
    </w:p>
    <w:p w:rsidR="00F375A4" w:rsidRDefault="00F375A4" w:rsidP="00D7194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375A4">
        <w:rPr>
          <w:lang w:val="fr-FR"/>
        </w:rPr>
        <w:tab/>
      </w:r>
      <w:r w:rsidRPr="00F375A4">
        <w:rPr>
          <w:lang w:val="fr-FR"/>
        </w:rPr>
        <w:tab/>
        <w:t xml:space="preserve">Proposition </w:t>
      </w:r>
      <w:r w:rsidR="00D7194F">
        <w:rPr>
          <w:lang w:val="fr-FR"/>
        </w:rPr>
        <w:t>2 – </w:t>
      </w:r>
      <w:r w:rsidRPr="00F375A4">
        <w:rPr>
          <w:lang w:val="fr-FR"/>
        </w:rPr>
        <w:t>alinéa</w:t>
      </w:r>
      <w:r w:rsidR="00D7194F">
        <w:rPr>
          <w:lang w:val="fr-FR"/>
        </w:rPr>
        <w:t> </w:t>
      </w:r>
      <w:r w:rsidRPr="00F375A4">
        <w:rPr>
          <w:lang w:val="fr-FR"/>
        </w:rPr>
        <w:t>g)</w:t>
      </w:r>
    </w:p>
    <w:p w:rsidR="00D7194F" w:rsidRPr="00D7194F" w:rsidRDefault="00D7194F" w:rsidP="00D7194F">
      <w:pPr>
        <w:pStyle w:val="SingleTxt"/>
        <w:spacing w:after="0" w:line="120" w:lineRule="exact"/>
        <w:rPr>
          <w:sz w:val="10"/>
          <w:lang w:val="fr-FR"/>
        </w:rPr>
      </w:pPr>
    </w:p>
    <w:p w:rsidR="00D7194F" w:rsidRPr="00D7194F" w:rsidRDefault="00D7194F" w:rsidP="00D7194F">
      <w:pPr>
        <w:pStyle w:val="SingleTxt"/>
        <w:spacing w:after="0" w:line="120" w:lineRule="exact"/>
        <w:rPr>
          <w:sz w:val="10"/>
          <w:lang w:val="fr-FR"/>
        </w:rPr>
      </w:pPr>
    </w:p>
    <w:p w:rsidR="00F375A4" w:rsidRPr="00F375A4" w:rsidRDefault="00F375A4" w:rsidP="00B10640">
      <w:pPr>
        <w:pStyle w:val="SingleTxt"/>
        <w:numPr>
          <w:ilvl w:val="0"/>
          <w:numId w:val="8"/>
        </w:numPr>
        <w:tabs>
          <w:tab w:val="clear" w:pos="475"/>
          <w:tab w:val="num" w:pos="1742"/>
        </w:tabs>
        <w:ind w:left="1267"/>
        <w:rPr>
          <w:lang w:val="fr-FR"/>
        </w:rPr>
      </w:pPr>
      <w:r w:rsidRPr="00F375A4">
        <w:rPr>
          <w:lang w:val="fr-FR"/>
        </w:rPr>
        <w:t>Modifier le texte de l’</w:t>
      </w:r>
      <w:r w:rsidR="00D7194F">
        <w:rPr>
          <w:lang w:val="fr-FR"/>
        </w:rPr>
        <w:t>alinéa g) du paragraphe </w:t>
      </w:r>
      <w:r w:rsidRPr="00F375A4">
        <w:rPr>
          <w:lang w:val="fr-FR"/>
        </w:rPr>
        <w:t>1.4.2.2.1, comme suit (suppressions biffées et ajouts soulignés)</w:t>
      </w:r>
      <w:r w:rsidR="00D7194F">
        <w:rPr>
          <w:lang w:val="fr-FR"/>
        </w:rPr>
        <w:t> </w:t>
      </w:r>
      <w:r w:rsidRPr="00F375A4">
        <w:rPr>
          <w:lang w:val="fr-FR"/>
        </w:rPr>
        <w:t>:</w:t>
      </w:r>
    </w:p>
    <w:p w:rsidR="00F375A4" w:rsidRPr="00F375A4" w:rsidRDefault="009E3DCA" w:rsidP="009E3DCA">
      <w:pPr>
        <w:pStyle w:val="SingleTxt"/>
        <w:ind w:left="2693" w:hanging="1426"/>
        <w:rPr>
          <w:lang w:val="fr-FR"/>
        </w:rPr>
      </w:pPr>
      <w:r>
        <w:rPr>
          <w:b/>
          <w:lang w:val="fr-FR"/>
        </w:rPr>
        <w:tab/>
      </w:r>
      <w:r w:rsidR="00F375A4" w:rsidRPr="00F375A4">
        <w:rPr>
          <w:b/>
          <w:lang w:val="fr-FR"/>
        </w:rPr>
        <w:t>ADR</w:t>
      </w:r>
      <w:r>
        <w:rPr>
          <w:b/>
          <w:lang w:val="fr-FR"/>
        </w:rPr>
        <w:t> </w:t>
      </w:r>
      <w:r w:rsidR="00F375A4" w:rsidRPr="009E3DCA">
        <w:rPr>
          <w:lang w:val="fr-FR"/>
        </w:rPr>
        <w:t>:</w:t>
      </w:r>
      <w:r>
        <w:rPr>
          <w:lang w:val="fr-FR"/>
        </w:rPr>
        <w:tab/>
        <w:t>« </w:t>
      </w:r>
      <w:r w:rsidR="00F375A4" w:rsidRPr="00F375A4">
        <w:rPr>
          <w:lang w:val="fr-FR"/>
        </w:rPr>
        <w:t>g)</w:t>
      </w:r>
      <w:r>
        <w:rPr>
          <w:lang w:val="fr-FR"/>
        </w:rPr>
        <w:t> </w:t>
      </w:r>
      <w:r w:rsidR="00F375A4" w:rsidRPr="00F375A4">
        <w:rPr>
          <w:lang w:val="fr-FR"/>
        </w:rPr>
        <w:t xml:space="preserve">s’assurer que les équipements prescrits dans </w:t>
      </w:r>
      <w:r w:rsidR="00F375A4" w:rsidRPr="00F375A4">
        <w:rPr>
          <w:u w:val="single"/>
          <w:lang w:val="fr-FR"/>
        </w:rPr>
        <w:t>les consignes écrites prévues par</w:t>
      </w:r>
      <w:r w:rsidR="00F375A4" w:rsidRPr="00F375A4">
        <w:rPr>
          <w:lang w:val="fr-FR"/>
        </w:rPr>
        <w:t xml:space="preserve"> l’ADR </w:t>
      </w:r>
      <w:r w:rsidR="00F375A4" w:rsidRPr="00983A9C">
        <w:rPr>
          <w:strike/>
          <w:lang w:val="fr-FR"/>
        </w:rPr>
        <w:t>pour le véhicule, pour l’équipage et pour certaines classes</w:t>
      </w:r>
      <w:r w:rsidR="00F375A4" w:rsidRPr="00F375A4">
        <w:rPr>
          <w:lang w:val="fr-FR"/>
        </w:rPr>
        <w:t xml:space="preserve"> se trouvent à bord </w:t>
      </w:r>
      <w:r w:rsidR="00F375A4" w:rsidRPr="006949F9">
        <w:rPr>
          <w:strike/>
          <w:lang w:val="fr-FR"/>
        </w:rPr>
        <w:t>du véhicule</w:t>
      </w:r>
      <w:r w:rsidR="00F375A4" w:rsidRPr="00F375A4">
        <w:rPr>
          <w:lang w:val="fr-FR"/>
        </w:rPr>
        <w:t xml:space="preserve"> </w:t>
      </w:r>
      <w:r w:rsidR="00F375A4" w:rsidRPr="00F375A4">
        <w:rPr>
          <w:u w:val="single"/>
          <w:lang w:val="fr-FR"/>
        </w:rPr>
        <w:t>de l’unité de transport</w:t>
      </w:r>
      <w:r w:rsidRPr="009E3DCA">
        <w:rPr>
          <w:lang w:val="fr-FR"/>
        </w:rPr>
        <w:t> »</w:t>
      </w:r>
      <w:r w:rsidR="00F375A4" w:rsidRPr="009E3DCA">
        <w:rPr>
          <w:lang w:val="fr-FR"/>
        </w:rPr>
        <w:t>;</w:t>
      </w:r>
    </w:p>
    <w:p w:rsidR="00F375A4" w:rsidRPr="00F375A4" w:rsidRDefault="009E3DCA" w:rsidP="009E3DCA">
      <w:pPr>
        <w:pStyle w:val="SingleTxt"/>
        <w:ind w:left="2693" w:hanging="1426"/>
        <w:rPr>
          <w:lang w:val="fr-FR"/>
        </w:rPr>
      </w:pPr>
      <w:r>
        <w:rPr>
          <w:b/>
          <w:lang w:val="fr-FR"/>
        </w:rPr>
        <w:tab/>
      </w:r>
      <w:r w:rsidR="00F375A4" w:rsidRPr="00F375A4">
        <w:rPr>
          <w:b/>
          <w:lang w:val="fr-FR"/>
        </w:rPr>
        <w:t>ADN</w:t>
      </w:r>
      <w:r>
        <w:rPr>
          <w:b/>
          <w:lang w:val="fr-FR"/>
        </w:rPr>
        <w:t> </w:t>
      </w:r>
      <w:r w:rsidR="00F375A4" w:rsidRPr="009E3DCA">
        <w:rPr>
          <w:lang w:val="fr-FR"/>
        </w:rPr>
        <w:t>:</w:t>
      </w:r>
      <w:r>
        <w:rPr>
          <w:b/>
          <w:lang w:val="fr-FR"/>
        </w:rPr>
        <w:tab/>
        <w:t>« </w:t>
      </w:r>
      <w:r w:rsidR="00F375A4" w:rsidRPr="00F375A4">
        <w:rPr>
          <w:lang w:val="fr-FR"/>
        </w:rPr>
        <w:t>g)</w:t>
      </w:r>
      <w:r>
        <w:rPr>
          <w:lang w:val="fr-FR"/>
        </w:rPr>
        <w:t> </w:t>
      </w:r>
      <w:r w:rsidR="00F375A4" w:rsidRPr="00012868">
        <w:rPr>
          <w:strike/>
          <w:lang w:val="fr-FR"/>
        </w:rPr>
        <w:t>fournir au conducteur les consignes écrites et</w:t>
      </w:r>
      <w:r w:rsidR="00F375A4" w:rsidRPr="00F375A4">
        <w:rPr>
          <w:lang w:val="fr-FR"/>
        </w:rPr>
        <w:t xml:space="preserve"> s’assurer que </w:t>
      </w:r>
      <w:r w:rsidR="00F375A4" w:rsidRPr="00F375A4">
        <w:rPr>
          <w:u w:val="single"/>
          <w:lang w:val="fr-FR"/>
        </w:rPr>
        <w:t>les équipements</w:t>
      </w:r>
      <w:r w:rsidR="00F375A4" w:rsidRPr="00F375A4">
        <w:rPr>
          <w:lang w:val="fr-FR"/>
        </w:rPr>
        <w:t xml:space="preserve"> prescrits </w:t>
      </w:r>
      <w:r w:rsidR="00F375A4" w:rsidRPr="00F375A4">
        <w:rPr>
          <w:u w:val="single"/>
          <w:lang w:val="fr-FR"/>
        </w:rPr>
        <w:t>dans les consignes écrites prévues par l’ADN</w:t>
      </w:r>
      <w:r w:rsidR="00F375A4" w:rsidRPr="00F375A4">
        <w:rPr>
          <w:lang w:val="fr-FR"/>
        </w:rPr>
        <w:t xml:space="preserve"> se trouvent à bord du bateau</w:t>
      </w:r>
      <w:r>
        <w:rPr>
          <w:lang w:val="fr-FR"/>
        </w:rPr>
        <w:t> ».</w:t>
      </w:r>
    </w:p>
    <w:p w:rsidR="00F375A4" w:rsidRDefault="00F375A4" w:rsidP="00B10640">
      <w:pPr>
        <w:pStyle w:val="SingleTxt"/>
        <w:numPr>
          <w:ilvl w:val="0"/>
          <w:numId w:val="8"/>
        </w:numPr>
        <w:tabs>
          <w:tab w:val="clear" w:pos="475"/>
          <w:tab w:val="num" w:pos="1742"/>
        </w:tabs>
        <w:ind w:left="1267"/>
        <w:rPr>
          <w:bCs/>
          <w:lang w:val="fr-FR"/>
        </w:rPr>
      </w:pPr>
      <w:r w:rsidRPr="00F375A4">
        <w:rPr>
          <w:bCs/>
          <w:lang w:val="fr-FR"/>
        </w:rPr>
        <w:t>Ainsi, la première partie de la disposition de l’</w:t>
      </w:r>
      <w:r w:rsidR="00AF2C49">
        <w:rPr>
          <w:bCs/>
          <w:lang w:val="fr-FR"/>
        </w:rPr>
        <w:t>alinéa </w:t>
      </w:r>
      <w:r w:rsidRPr="00F375A4">
        <w:rPr>
          <w:bCs/>
          <w:lang w:val="fr-FR"/>
        </w:rPr>
        <w:t>g) du paragraphe</w:t>
      </w:r>
      <w:r w:rsidR="00AF2C49">
        <w:rPr>
          <w:bCs/>
          <w:lang w:val="fr-FR"/>
        </w:rPr>
        <w:t> </w:t>
      </w:r>
      <w:r w:rsidRPr="00F375A4">
        <w:rPr>
          <w:bCs/>
          <w:lang w:val="fr-FR"/>
        </w:rPr>
        <w:t>1.4.2.2.1 de l’ADN a été reformulée d’une manière analogue à l’ADR et au RID et l’obligation concernant les consignes écrites prévues dans l’ADN a été placée à l’</w:t>
      </w:r>
      <w:r w:rsidR="00AF2C49">
        <w:rPr>
          <w:bCs/>
          <w:lang w:val="fr-FR"/>
        </w:rPr>
        <w:t>alinéa </w:t>
      </w:r>
      <w:r w:rsidRPr="00F375A4">
        <w:rPr>
          <w:bCs/>
          <w:lang w:val="fr-FR"/>
        </w:rPr>
        <w:t>h).</w:t>
      </w:r>
    </w:p>
    <w:p w:rsidR="00AF2C49" w:rsidRPr="00AF2C49" w:rsidRDefault="00AF2C49" w:rsidP="00AF2C49">
      <w:pPr>
        <w:pStyle w:val="SingleTxt"/>
        <w:spacing w:after="0" w:line="120" w:lineRule="exact"/>
        <w:rPr>
          <w:bCs/>
          <w:sz w:val="10"/>
          <w:lang w:val="fr-FR"/>
        </w:rPr>
      </w:pPr>
    </w:p>
    <w:p w:rsidR="00AF2C49" w:rsidRPr="00AF2C49" w:rsidRDefault="00AF2C49" w:rsidP="00AF2C49">
      <w:pPr>
        <w:pStyle w:val="SingleTxt"/>
        <w:spacing w:after="0" w:line="120" w:lineRule="exact"/>
        <w:rPr>
          <w:bCs/>
          <w:sz w:val="10"/>
          <w:lang w:val="fr-FR"/>
        </w:rPr>
      </w:pPr>
    </w:p>
    <w:p w:rsidR="00F375A4" w:rsidRDefault="00AF2C49" w:rsidP="00AF2C4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F375A4" w:rsidRPr="00F375A4">
        <w:rPr>
          <w:lang w:val="fr-FR"/>
        </w:rPr>
        <w:t>Proposition</w:t>
      </w:r>
      <w:r>
        <w:rPr>
          <w:lang w:val="fr-FR"/>
        </w:rPr>
        <w:t xml:space="preserve"> 3 – alinéa </w:t>
      </w:r>
      <w:r w:rsidR="00F375A4" w:rsidRPr="00F375A4">
        <w:rPr>
          <w:lang w:val="fr-FR"/>
        </w:rPr>
        <w:t>h)</w:t>
      </w:r>
    </w:p>
    <w:p w:rsidR="00AF2C49" w:rsidRPr="00AF2C49" w:rsidRDefault="00AF2C49" w:rsidP="00AF2C49">
      <w:pPr>
        <w:pStyle w:val="SingleTxt"/>
        <w:spacing w:after="0" w:line="120" w:lineRule="exact"/>
        <w:rPr>
          <w:sz w:val="10"/>
          <w:lang w:val="fr-FR"/>
        </w:rPr>
      </w:pPr>
    </w:p>
    <w:p w:rsidR="00AF2C49" w:rsidRPr="00AF2C49" w:rsidRDefault="00AF2C49" w:rsidP="00AF2C49">
      <w:pPr>
        <w:pStyle w:val="SingleTxt"/>
        <w:spacing w:after="0" w:line="120" w:lineRule="exact"/>
        <w:rPr>
          <w:sz w:val="10"/>
          <w:lang w:val="fr-FR"/>
        </w:rPr>
      </w:pPr>
    </w:p>
    <w:p w:rsidR="00F375A4" w:rsidRPr="00F375A4" w:rsidRDefault="00F375A4" w:rsidP="00B10640">
      <w:pPr>
        <w:pStyle w:val="SingleTxt"/>
        <w:numPr>
          <w:ilvl w:val="0"/>
          <w:numId w:val="8"/>
        </w:numPr>
        <w:tabs>
          <w:tab w:val="clear" w:pos="475"/>
          <w:tab w:val="num" w:pos="1742"/>
        </w:tabs>
        <w:ind w:left="1267"/>
        <w:rPr>
          <w:lang w:val="fr-FR"/>
        </w:rPr>
      </w:pPr>
      <w:r w:rsidRPr="00F375A4">
        <w:rPr>
          <w:lang w:val="fr-FR"/>
        </w:rPr>
        <w:t>Modifier le texte de l’</w:t>
      </w:r>
      <w:r w:rsidR="00BF097B">
        <w:rPr>
          <w:lang w:val="fr-FR"/>
        </w:rPr>
        <w:t>alinéa </w:t>
      </w:r>
      <w:r w:rsidR="00C44949">
        <w:rPr>
          <w:lang w:val="fr-FR"/>
        </w:rPr>
        <w:t>h</w:t>
      </w:r>
      <w:r w:rsidRPr="00F375A4">
        <w:rPr>
          <w:lang w:val="fr-FR"/>
        </w:rPr>
        <w:t>) du paragraphe</w:t>
      </w:r>
      <w:r w:rsidR="00BF097B">
        <w:rPr>
          <w:lang w:val="fr-FR"/>
        </w:rPr>
        <w:t> </w:t>
      </w:r>
      <w:r w:rsidRPr="00F375A4">
        <w:rPr>
          <w:lang w:val="fr-FR"/>
        </w:rPr>
        <w:t>1.4.2.2.1, comme suit (suppressions biffées et ajouts soulignés)</w:t>
      </w:r>
      <w:r w:rsidR="00BF097B">
        <w:rPr>
          <w:lang w:val="fr-FR"/>
        </w:rPr>
        <w:t> </w:t>
      </w:r>
      <w:r w:rsidRPr="00F375A4">
        <w:rPr>
          <w:lang w:val="fr-FR"/>
        </w:rPr>
        <w:t>:</w:t>
      </w:r>
    </w:p>
    <w:p w:rsidR="00F375A4" w:rsidRPr="00F375A4" w:rsidRDefault="00BF097B" w:rsidP="00BF097B">
      <w:pPr>
        <w:pStyle w:val="SingleTxt"/>
        <w:ind w:left="2693" w:hanging="1426"/>
        <w:rPr>
          <w:u w:val="single"/>
          <w:lang w:val="fr-FR"/>
        </w:rPr>
      </w:pPr>
      <w:r>
        <w:rPr>
          <w:b/>
          <w:lang w:val="fr-FR"/>
        </w:rPr>
        <w:tab/>
      </w:r>
      <w:r w:rsidR="00F375A4" w:rsidRPr="00F375A4">
        <w:rPr>
          <w:b/>
          <w:lang w:val="fr-FR"/>
        </w:rPr>
        <w:t>RID</w:t>
      </w:r>
      <w:r>
        <w:rPr>
          <w:b/>
          <w:lang w:val="fr-FR"/>
        </w:rPr>
        <w:t> </w:t>
      </w:r>
      <w:r w:rsidR="00F375A4" w:rsidRPr="00BF097B">
        <w:rPr>
          <w:lang w:val="fr-FR"/>
        </w:rPr>
        <w:t>:</w:t>
      </w:r>
      <w:r>
        <w:rPr>
          <w:lang w:val="fr-FR"/>
        </w:rPr>
        <w:tab/>
        <w:t>« </w:t>
      </w:r>
      <w:r w:rsidR="00F375A4" w:rsidRPr="00F375A4">
        <w:rPr>
          <w:lang w:val="fr-FR"/>
        </w:rPr>
        <w:t>h)</w:t>
      </w:r>
      <w:r>
        <w:rPr>
          <w:lang w:val="fr-FR"/>
        </w:rPr>
        <w:t> </w:t>
      </w:r>
      <w:r w:rsidR="00F375A4" w:rsidRPr="0093061B">
        <w:rPr>
          <w:strike/>
          <w:lang w:val="fr-FR"/>
        </w:rPr>
        <w:t>(</w:t>
      </w:r>
      <w:r w:rsidR="00F375A4" w:rsidRPr="0093061B">
        <w:rPr>
          <w:i/>
          <w:strike/>
          <w:lang w:val="fr-FR"/>
        </w:rPr>
        <w:t>Réservé</w:t>
      </w:r>
      <w:r w:rsidR="00F375A4" w:rsidRPr="0093061B">
        <w:rPr>
          <w:strike/>
          <w:lang w:val="fr-FR"/>
        </w:rPr>
        <w:t>)</w:t>
      </w:r>
      <w:r w:rsidR="00F375A4" w:rsidRPr="00BF097B">
        <w:rPr>
          <w:lang w:val="fr-FR"/>
        </w:rPr>
        <w:t xml:space="preserve"> </w:t>
      </w:r>
      <w:r w:rsidR="00F375A4" w:rsidRPr="00F375A4">
        <w:rPr>
          <w:u w:val="single"/>
          <w:lang w:val="fr-FR"/>
        </w:rPr>
        <w:t>s’assurer que les consignes écrites prescrites dans le RID se trouvent dans la cabine du conducteur</w:t>
      </w:r>
      <w:r w:rsidRPr="00BF097B">
        <w:rPr>
          <w:lang w:val="fr-FR"/>
        </w:rPr>
        <w:t> »</w:t>
      </w:r>
      <w:r w:rsidR="00FA0CA5">
        <w:rPr>
          <w:lang w:val="fr-FR"/>
        </w:rPr>
        <w:t>;</w:t>
      </w:r>
    </w:p>
    <w:p w:rsidR="00F375A4" w:rsidRPr="00F375A4" w:rsidRDefault="004C731C" w:rsidP="00BF2B88">
      <w:pPr>
        <w:pStyle w:val="SingleTxt"/>
        <w:ind w:left="2693" w:hanging="1426"/>
        <w:rPr>
          <w:lang w:val="fr-FR"/>
        </w:rPr>
      </w:pPr>
      <w:r>
        <w:rPr>
          <w:b/>
          <w:lang w:val="fr-FR"/>
        </w:rPr>
        <w:tab/>
      </w:r>
      <w:r w:rsidR="00F375A4" w:rsidRPr="00F375A4">
        <w:rPr>
          <w:b/>
          <w:lang w:val="fr-FR"/>
        </w:rPr>
        <w:t>ADR</w:t>
      </w:r>
      <w:r w:rsidR="005C4E53">
        <w:rPr>
          <w:b/>
          <w:lang w:val="fr-FR"/>
        </w:rPr>
        <w:t> </w:t>
      </w:r>
      <w:r w:rsidR="00F375A4" w:rsidRPr="004C731C">
        <w:rPr>
          <w:lang w:val="fr-FR"/>
        </w:rPr>
        <w:t>:</w:t>
      </w:r>
      <w:r>
        <w:rPr>
          <w:lang w:val="fr-FR"/>
        </w:rPr>
        <w:tab/>
        <w:t>« </w:t>
      </w:r>
      <w:r w:rsidR="00F375A4" w:rsidRPr="00F375A4">
        <w:rPr>
          <w:lang w:val="fr-FR"/>
        </w:rPr>
        <w:t>h)</w:t>
      </w:r>
      <w:r>
        <w:rPr>
          <w:lang w:val="fr-FR"/>
        </w:rPr>
        <w:t> </w:t>
      </w:r>
      <w:r w:rsidR="00F375A4" w:rsidRPr="0093061B">
        <w:rPr>
          <w:strike/>
          <w:lang w:val="fr-FR"/>
        </w:rPr>
        <w:t>(</w:t>
      </w:r>
      <w:r w:rsidR="00F375A4" w:rsidRPr="0093061B">
        <w:rPr>
          <w:i/>
          <w:strike/>
          <w:lang w:val="fr-FR"/>
        </w:rPr>
        <w:t>Réservé</w:t>
      </w:r>
      <w:r w:rsidR="00F375A4" w:rsidRPr="0093061B">
        <w:rPr>
          <w:strike/>
          <w:lang w:val="fr-FR"/>
        </w:rPr>
        <w:t>)</w:t>
      </w:r>
      <w:r w:rsidR="00F375A4" w:rsidRPr="00F375A4">
        <w:rPr>
          <w:lang w:val="fr-FR"/>
        </w:rPr>
        <w:t xml:space="preserve"> </w:t>
      </w:r>
      <w:r w:rsidR="00F375A4" w:rsidRPr="00F375A4">
        <w:rPr>
          <w:u w:val="single"/>
          <w:lang w:val="fr-FR"/>
        </w:rPr>
        <w:t>s’assurer que les consignes écrites prescrites dans l’ADR se trouvent à bord de l’unité de transpor</w:t>
      </w:r>
      <w:r w:rsidR="00B34990">
        <w:rPr>
          <w:u w:val="single"/>
          <w:lang w:val="fr-FR"/>
        </w:rPr>
        <w:t>t</w:t>
      </w:r>
      <w:r w:rsidRPr="004C731C">
        <w:rPr>
          <w:lang w:val="fr-FR"/>
        </w:rPr>
        <w:t> »</w:t>
      </w:r>
      <w:r w:rsidR="00FA0CA5">
        <w:rPr>
          <w:lang w:val="fr-FR"/>
        </w:rPr>
        <w:t>;</w:t>
      </w:r>
    </w:p>
    <w:p w:rsidR="00F375A4" w:rsidRDefault="00BF2B88" w:rsidP="00FA0CA5">
      <w:pPr>
        <w:pStyle w:val="SingleTxt"/>
        <w:ind w:left="2693" w:hanging="1426"/>
        <w:rPr>
          <w:u w:val="single"/>
          <w:lang w:val="fr-FR"/>
        </w:rPr>
      </w:pPr>
      <w:r>
        <w:rPr>
          <w:b/>
          <w:lang w:val="fr-FR"/>
        </w:rPr>
        <w:tab/>
      </w:r>
      <w:r w:rsidR="00F375A4" w:rsidRPr="00F375A4">
        <w:rPr>
          <w:b/>
          <w:lang w:val="fr-FR"/>
        </w:rPr>
        <w:t>ADN</w:t>
      </w:r>
      <w:r w:rsidR="00FA0CA5">
        <w:rPr>
          <w:b/>
          <w:lang w:val="fr-FR"/>
        </w:rPr>
        <w:t> </w:t>
      </w:r>
      <w:r w:rsidR="00FA0CA5">
        <w:rPr>
          <w:lang w:val="fr-FR"/>
        </w:rPr>
        <w:t>:</w:t>
      </w:r>
      <w:r w:rsidR="00FA0CA5">
        <w:rPr>
          <w:lang w:val="fr-FR"/>
        </w:rPr>
        <w:tab/>
      </w:r>
      <w:r>
        <w:rPr>
          <w:lang w:val="fr-FR"/>
        </w:rPr>
        <w:t>« </w:t>
      </w:r>
      <w:r w:rsidR="00FA0CA5">
        <w:rPr>
          <w:lang w:val="fr-FR"/>
        </w:rPr>
        <w:t>h) </w:t>
      </w:r>
      <w:r w:rsidR="00F375A4" w:rsidRPr="00F375A4">
        <w:rPr>
          <w:u w:val="single"/>
          <w:lang w:val="fr-FR"/>
        </w:rPr>
        <w:t>s’assurer que les consignes écrites prescrites dans l’ADN se trouvent à bord du bateau</w:t>
      </w:r>
      <w:r w:rsidRPr="00E82B29">
        <w:rPr>
          <w:lang w:val="fr-FR"/>
        </w:rPr>
        <w:t> »</w:t>
      </w:r>
      <w:r w:rsidR="00F375A4" w:rsidRPr="00E82B29">
        <w:rPr>
          <w:lang w:val="fr-FR"/>
        </w:rPr>
        <w:t>.</w:t>
      </w:r>
    </w:p>
    <w:p w:rsidR="00FA0CA5" w:rsidRPr="00FA0CA5" w:rsidRDefault="00FA0CA5" w:rsidP="00FA0CA5">
      <w:pPr>
        <w:pStyle w:val="SingleTxt"/>
        <w:spacing w:after="0" w:line="120" w:lineRule="exact"/>
        <w:ind w:left="2693" w:hanging="1426"/>
        <w:rPr>
          <w:sz w:val="10"/>
          <w:u w:val="single"/>
          <w:lang w:val="fr-FR"/>
        </w:rPr>
      </w:pPr>
    </w:p>
    <w:p w:rsidR="00FA0CA5" w:rsidRPr="00FA0CA5" w:rsidRDefault="00FA0CA5" w:rsidP="00FA0CA5">
      <w:pPr>
        <w:pStyle w:val="SingleTxt"/>
        <w:spacing w:after="0" w:line="120" w:lineRule="exact"/>
        <w:ind w:left="2693" w:hanging="1426"/>
        <w:rPr>
          <w:sz w:val="10"/>
          <w:lang w:val="fr-FR"/>
        </w:rPr>
      </w:pPr>
    </w:p>
    <w:p w:rsidR="00F375A4" w:rsidRDefault="00F375A4" w:rsidP="00FA0CA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375A4">
        <w:rPr>
          <w:lang w:val="fr-FR"/>
        </w:rPr>
        <w:tab/>
      </w:r>
      <w:r w:rsidRPr="00F375A4">
        <w:rPr>
          <w:lang w:val="fr-FR"/>
        </w:rPr>
        <w:tab/>
        <w:t>Modifications corrélativ</w:t>
      </w:r>
      <w:r w:rsidR="00FA0CA5">
        <w:rPr>
          <w:lang w:val="fr-FR"/>
        </w:rPr>
        <w:t>es à apporter au RID et à l’ADR</w:t>
      </w:r>
    </w:p>
    <w:p w:rsidR="00FA0CA5" w:rsidRPr="00FA0CA5" w:rsidRDefault="00FA0CA5" w:rsidP="00FA0CA5">
      <w:pPr>
        <w:pStyle w:val="SingleTxt"/>
        <w:spacing w:after="0" w:line="120" w:lineRule="exact"/>
        <w:rPr>
          <w:sz w:val="10"/>
          <w:lang w:val="fr-FR"/>
        </w:rPr>
      </w:pPr>
    </w:p>
    <w:p w:rsidR="00FA0CA5" w:rsidRPr="00FA0CA5" w:rsidRDefault="00FA0CA5" w:rsidP="00FA0CA5">
      <w:pPr>
        <w:pStyle w:val="SingleTxt"/>
        <w:spacing w:after="0" w:line="120" w:lineRule="exact"/>
        <w:rPr>
          <w:sz w:val="10"/>
          <w:lang w:val="fr-FR"/>
        </w:rPr>
      </w:pPr>
    </w:p>
    <w:p w:rsidR="00F375A4" w:rsidRPr="00F375A4" w:rsidRDefault="00F375A4" w:rsidP="00B10640">
      <w:pPr>
        <w:pStyle w:val="SingleTxt"/>
        <w:numPr>
          <w:ilvl w:val="0"/>
          <w:numId w:val="8"/>
        </w:numPr>
        <w:tabs>
          <w:tab w:val="clear" w:pos="475"/>
          <w:tab w:val="num" w:pos="1742"/>
        </w:tabs>
        <w:ind w:left="1267"/>
        <w:rPr>
          <w:lang w:val="fr-FR"/>
        </w:rPr>
      </w:pPr>
      <w:r w:rsidRPr="00F375A4">
        <w:rPr>
          <w:lang w:val="fr-FR"/>
        </w:rPr>
        <w:t>Nous proposons aussi d’envisager, dans l’intérêt de la logique des vérifications, d’intervertir l’ordre des obli</w:t>
      </w:r>
      <w:r w:rsidR="00FA0CA5">
        <w:rPr>
          <w:lang w:val="fr-FR"/>
        </w:rPr>
        <w:t>gations mentionnées aux alinéas </w:t>
      </w:r>
      <w:r w:rsidRPr="00F375A4">
        <w:rPr>
          <w:lang w:val="fr-FR"/>
        </w:rPr>
        <w:t>g) et h). La présence des consignes écrites doit être vérifiée avant celle des équipements.</w:t>
      </w:r>
    </w:p>
    <w:p w:rsidR="00F375A4" w:rsidRDefault="00F375A4" w:rsidP="00B10640">
      <w:pPr>
        <w:pStyle w:val="SingleTxt"/>
        <w:numPr>
          <w:ilvl w:val="0"/>
          <w:numId w:val="8"/>
        </w:numPr>
        <w:tabs>
          <w:tab w:val="clear" w:pos="475"/>
          <w:tab w:val="num" w:pos="1742"/>
        </w:tabs>
        <w:ind w:left="1267"/>
        <w:rPr>
          <w:lang w:val="fr-FR"/>
        </w:rPr>
      </w:pPr>
      <w:r w:rsidRPr="00F375A4">
        <w:rPr>
          <w:lang w:val="fr-FR"/>
        </w:rPr>
        <w:t>Insérer la mention (</w:t>
      </w:r>
      <w:r w:rsidRPr="00F375A4">
        <w:rPr>
          <w:i/>
          <w:lang w:val="fr-FR"/>
        </w:rPr>
        <w:t>Réservé</w:t>
      </w:r>
      <w:r w:rsidRPr="00F375A4">
        <w:rPr>
          <w:lang w:val="fr-FR"/>
        </w:rPr>
        <w:t>) aux alinéas</w:t>
      </w:r>
      <w:r w:rsidR="00FA0CA5">
        <w:rPr>
          <w:lang w:val="fr-FR"/>
        </w:rPr>
        <w:t> </w:t>
      </w:r>
      <w:r w:rsidRPr="00F375A4">
        <w:rPr>
          <w:lang w:val="fr-FR"/>
        </w:rPr>
        <w:t>i), j) et k) du paragraphe</w:t>
      </w:r>
      <w:r w:rsidR="00FA0CA5">
        <w:rPr>
          <w:lang w:val="fr-FR"/>
        </w:rPr>
        <w:t> </w:t>
      </w:r>
      <w:r w:rsidRPr="00F375A4">
        <w:rPr>
          <w:lang w:val="fr-FR"/>
        </w:rPr>
        <w:t xml:space="preserve">1.4.2.2.1 du </w:t>
      </w:r>
      <w:r w:rsidRPr="00BD2394">
        <w:rPr>
          <w:b/>
          <w:lang w:val="fr-FR"/>
        </w:rPr>
        <w:t>RID</w:t>
      </w:r>
      <w:r w:rsidRPr="00F375A4">
        <w:rPr>
          <w:lang w:val="fr-FR"/>
        </w:rPr>
        <w:t xml:space="preserve"> et de l’</w:t>
      </w:r>
      <w:r w:rsidRPr="00BD2394">
        <w:rPr>
          <w:b/>
          <w:lang w:val="fr-FR"/>
        </w:rPr>
        <w:t>ADR</w:t>
      </w:r>
      <w:r w:rsidRPr="00F375A4">
        <w:rPr>
          <w:lang w:val="fr-FR"/>
        </w:rPr>
        <w:t>.</w:t>
      </w:r>
    </w:p>
    <w:p w:rsidR="00FA0CA5" w:rsidRPr="00FA0CA5" w:rsidRDefault="00FA0CA5" w:rsidP="00FA0CA5">
      <w:pPr>
        <w:pStyle w:val="SingleTxt"/>
        <w:spacing w:after="0" w:line="120" w:lineRule="exact"/>
        <w:rPr>
          <w:sz w:val="10"/>
          <w:lang w:val="fr-FR"/>
        </w:rPr>
      </w:pPr>
    </w:p>
    <w:p w:rsidR="00FA0CA5" w:rsidRPr="00FA0CA5" w:rsidRDefault="00FA0CA5" w:rsidP="00FA0CA5">
      <w:pPr>
        <w:pStyle w:val="SingleTxt"/>
        <w:spacing w:after="0" w:line="120" w:lineRule="exact"/>
        <w:rPr>
          <w:sz w:val="10"/>
          <w:lang w:val="fr-FR"/>
        </w:rPr>
      </w:pPr>
    </w:p>
    <w:p w:rsidR="00F375A4" w:rsidRDefault="00F375A4" w:rsidP="00FA0CA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375A4">
        <w:rPr>
          <w:lang w:val="fr-FR"/>
        </w:rPr>
        <w:tab/>
      </w:r>
      <w:r w:rsidRPr="00F375A4">
        <w:rPr>
          <w:lang w:val="fr-FR"/>
        </w:rPr>
        <w:tab/>
        <w:t>Proposition 4</w:t>
      </w:r>
      <w:r w:rsidR="00FA0CA5">
        <w:rPr>
          <w:lang w:val="fr-FR"/>
        </w:rPr>
        <w:t> – </w:t>
      </w:r>
      <w:r w:rsidRPr="00F375A4">
        <w:rPr>
          <w:lang w:val="fr-FR"/>
        </w:rPr>
        <w:t>dernière</w:t>
      </w:r>
      <w:r w:rsidR="00FA0CA5">
        <w:rPr>
          <w:lang w:val="fr-FR"/>
        </w:rPr>
        <w:t xml:space="preserve"> phrase du paragraphe 1.4.2.2.1</w:t>
      </w:r>
    </w:p>
    <w:p w:rsidR="00FA0CA5" w:rsidRPr="00FA0CA5" w:rsidRDefault="00FA0CA5" w:rsidP="00FA0CA5">
      <w:pPr>
        <w:pStyle w:val="SingleTxt"/>
        <w:spacing w:after="0" w:line="120" w:lineRule="exact"/>
        <w:rPr>
          <w:sz w:val="10"/>
          <w:lang w:val="fr-FR"/>
        </w:rPr>
      </w:pPr>
    </w:p>
    <w:p w:rsidR="00FA0CA5" w:rsidRPr="00FA0CA5" w:rsidRDefault="00FA0CA5" w:rsidP="00FA0CA5">
      <w:pPr>
        <w:pStyle w:val="SingleTxt"/>
        <w:spacing w:after="0" w:line="120" w:lineRule="exact"/>
        <w:rPr>
          <w:sz w:val="10"/>
          <w:lang w:val="fr-FR"/>
        </w:rPr>
      </w:pPr>
    </w:p>
    <w:p w:rsidR="00F375A4" w:rsidRPr="00F375A4" w:rsidRDefault="00F375A4" w:rsidP="00B10640">
      <w:pPr>
        <w:pStyle w:val="SingleTxt"/>
        <w:numPr>
          <w:ilvl w:val="0"/>
          <w:numId w:val="8"/>
        </w:numPr>
        <w:tabs>
          <w:tab w:val="clear" w:pos="475"/>
          <w:tab w:val="num" w:pos="1742"/>
        </w:tabs>
        <w:ind w:left="1267"/>
        <w:rPr>
          <w:lang w:val="fr-FR"/>
        </w:rPr>
      </w:pPr>
      <w:r w:rsidRPr="00F375A4">
        <w:rPr>
          <w:lang w:val="fr-FR"/>
        </w:rPr>
        <w:t xml:space="preserve">Il est fait mention, dans la dernière phrase, de la nécessité d’un </w:t>
      </w:r>
      <w:r w:rsidRPr="00F375A4">
        <w:rPr>
          <w:i/>
          <w:lang w:val="fr-FR"/>
        </w:rPr>
        <w:t>examen visuel</w:t>
      </w:r>
      <w:r w:rsidRPr="00F375A4">
        <w:rPr>
          <w:lang w:val="fr-FR"/>
        </w:rPr>
        <w:t xml:space="preserve"> pour vérifier le respect des obliga</w:t>
      </w:r>
      <w:r w:rsidR="00FA0CA5">
        <w:rPr>
          <w:lang w:val="fr-FR"/>
        </w:rPr>
        <w:t>tions mentionnées au paragraphe </w:t>
      </w:r>
      <w:r w:rsidRPr="00F375A4">
        <w:rPr>
          <w:lang w:val="fr-FR"/>
        </w:rPr>
        <w:t xml:space="preserve">1.4.2.2.1. La proposition vise, comme il a déjà été indiqué, à uniformiser l’emploi du terme </w:t>
      </w:r>
      <w:r w:rsidRPr="00F375A4">
        <w:rPr>
          <w:i/>
          <w:lang w:val="fr-FR"/>
        </w:rPr>
        <w:t>conteneur</w:t>
      </w:r>
      <w:r w:rsidRPr="00F375A4">
        <w:rPr>
          <w:lang w:val="fr-FR"/>
        </w:rPr>
        <w:t xml:space="preserve"> au singulier dans les Règlements et à remplacer, dans l’ADR, le terme </w:t>
      </w:r>
      <w:r w:rsidRPr="00F375A4">
        <w:rPr>
          <w:i/>
          <w:lang w:val="fr-FR"/>
        </w:rPr>
        <w:t>véhicule</w:t>
      </w:r>
      <w:r w:rsidRPr="00F375A4">
        <w:rPr>
          <w:lang w:val="fr-FR"/>
        </w:rPr>
        <w:t xml:space="preserve"> par </w:t>
      </w:r>
      <w:r w:rsidRPr="00F375A4">
        <w:rPr>
          <w:i/>
          <w:lang w:val="fr-FR"/>
        </w:rPr>
        <w:t>unité de transport</w:t>
      </w:r>
      <w:r w:rsidRPr="00F375A4">
        <w:rPr>
          <w:lang w:val="fr-FR"/>
        </w:rPr>
        <w:t>.</w:t>
      </w:r>
    </w:p>
    <w:p w:rsidR="00F375A4" w:rsidRPr="00F375A4" w:rsidRDefault="00F375A4" w:rsidP="00B10640">
      <w:pPr>
        <w:pStyle w:val="SingleTxt"/>
        <w:numPr>
          <w:ilvl w:val="0"/>
          <w:numId w:val="8"/>
        </w:numPr>
        <w:tabs>
          <w:tab w:val="clear" w:pos="475"/>
          <w:tab w:val="num" w:pos="1742"/>
        </w:tabs>
        <w:ind w:left="1267"/>
        <w:rPr>
          <w:lang w:val="fr-FR"/>
        </w:rPr>
      </w:pPr>
      <w:r w:rsidRPr="00F375A4">
        <w:rPr>
          <w:lang w:val="fr-FR"/>
        </w:rPr>
        <w:t>Modifier le texte de l</w:t>
      </w:r>
      <w:r w:rsidR="00FA0CA5">
        <w:rPr>
          <w:lang w:val="fr-FR"/>
        </w:rPr>
        <w:t>a dernière phrase du paragraphe </w:t>
      </w:r>
      <w:r w:rsidRPr="00F375A4">
        <w:rPr>
          <w:lang w:val="fr-FR"/>
        </w:rPr>
        <w:t>1.4.2.2.1, comme suit (suppressions biffées et ajouts soulignés)</w:t>
      </w:r>
      <w:r w:rsidR="00FA0CA5">
        <w:rPr>
          <w:lang w:val="fr-FR"/>
        </w:rPr>
        <w:t> </w:t>
      </w:r>
      <w:r w:rsidRPr="00F375A4">
        <w:rPr>
          <w:lang w:val="fr-FR"/>
        </w:rPr>
        <w:t>:</w:t>
      </w:r>
    </w:p>
    <w:p w:rsidR="00F375A4" w:rsidRPr="00F375A4" w:rsidRDefault="00FA0CA5" w:rsidP="00F375A4">
      <w:pPr>
        <w:pStyle w:val="SingleTxt"/>
        <w:rPr>
          <w:bCs/>
          <w:lang w:val="fr-FR"/>
        </w:rPr>
      </w:pPr>
      <w:r>
        <w:rPr>
          <w:b/>
          <w:lang w:val="fr-FR"/>
        </w:rPr>
        <w:tab/>
      </w:r>
      <w:r w:rsidR="00F375A4" w:rsidRPr="00F375A4">
        <w:rPr>
          <w:b/>
          <w:lang w:val="fr-FR"/>
        </w:rPr>
        <w:t>RID</w:t>
      </w:r>
      <w:r>
        <w:rPr>
          <w:b/>
          <w:lang w:val="fr-FR"/>
        </w:rPr>
        <w:t> </w:t>
      </w:r>
      <w:r w:rsidR="00F375A4" w:rsidRPr="00FA0CA5">
        <w:rPr>
          <w:lang w:val="fr-FR"/>
        </w:rPr>
        <w:t>:</w:t>
      </w:r>
      <w:r>
        <w:rPr>
          <w:lang w:val="fr-FR"/>
        </w:rPr>
        <w:tab/>
        <w:t>« </w:t>
      </w:r>
      <w:r w:rsidR="00F375A4" w:rsidRPr="00F375A4">
        <w:rPr>
          <w:lang w:val="fr-FR"/>
        </w:rPr>
        <w:t>...</w:t>
      </w:r>
      <w:r>
        <w:rPr>
          <w:lang w:val="fr-FR"/>
        </w:rPr>
        <w:t xml:space="preserve"> </w:t>
      </w:r>
      <w:r w:rsidR="00F375A4" w:rsidRPr="00F375A4">
        <w:rPr>
          <w:lang w:val="fr-FR"/>
        </w:rPr>
        <w:t>du wagon ou du</w:t>
      </w:r>
      <w:r w:rsidR="00F375A4" w:rsidRPr="00BD2394">
        <w:rPr>
          <w:strike/>
          <w:lang w:val="fr-FR"/>
        </w:rPr>
        <w:t>es</w:t>
      </w:r>
      <w:r w:rsidR="00F375A4" w:rsidRPr="00F375A4">
        <w:rPr>
          <w:lang w:val="fr-FR"/>
        </w:rPr>
        <w:t xml:space="preserve"> conteneur</w:t>
      </w:r>
      <w:r w:rsidR="00F375A4" w:rsidRPr="00BD2394">
        <w:rPr>
          <w:strike/>
          <w:lang w:val="fr-FR"/>
        </w:rPr>
        <w:t>s</w:t>
      </w:r>
      <w:r w:rsidR="00F375A4" w:rsidRPr="00F375A4">
        <w:rPr>
          <w:lang w:val="fr-FR"/>
        </w:rPr>
        <w:t xml:space="preserve"> et, ...</w:t>
      </w:r>
      <w:r>
        <w:rPr>
          <w:lang w:val="fr-FR"/>
        </w:rPr>
        <w:t> »</w:t>
      </w:r>
      <w:r w:rsidR="00F375A4" w:rsidRPr="00F375A4">
        <w:rPr>
          <w:bCs/>
          <w:lang w:val="fr-FR"/>
        </w:rPr>
        <w:t>.</w:t>
      </w:r>
    </w:p>
    <w:p w:rsidR="00F375A4" w:rsidRPr="00F375A4" w:rsidRDefault="00FA0CA5" w:rsidP="00D76D95">
      <w:pPr>
        <w:pStyle w:val="SingleTxt"/>
        <w:ind w:left="2693" w:hanging="1426"/>
        <w:rPr>
          <w:lang w:val="fr-FR"/>
        </w:rPr>
      </w:pPr>
      <w:r>
        <w:rPr>
          <w:b/>
          <w:lang w:val="fr-FR"/>
        </w:rPr>
        <w:tab/>
      </w:r>
      <w:r w:rsidR="00F375A4" w:rsidRPr="00F375A4">
        <w:rPr>
          <w:b/>
          <w:lang w:val="fr-FR"/>
        </w:rPr>
        <w:t>ADR</w:t>
      </w:r>
      <w:r>
        <w:rPr>
          <w:b/>
          <w:lang w:val="fr-FR"/>
        </w:rPr>
        <w:t> </w:t>
      </w:r>
      <w:r w:rsidR="00F375A4" w:rsidRPr="00FA0CA5">
        <w:rPr>
          <w:lang w:val="fr-FR"/>
        </w:rPr>
        <w:t>:</w:t>
      </w:r>
      <w:r>
        <w:rPr>
          <w:lang w:val="fr-FR"/>
        </w:rPr>
        <w:tab/>
        <w:t>« </w:t>
      </w:r>
      <w:r w:rsidR="00F375A4" w:rsidRPr="00F375A4">
        <w:rPr>
          <w:lang w:val="fr-FR"/>
        </w:rPr>
        <w:t xml:space="preserve">Ceci doit être fait, le cas échéant, sur la base des documents de transport et des documents d’accompagnement, par un examen visuel </w:t>
      </w:r>
      <w:r w:rsidR="00F375A4" w:rsidRPr="00BD2394">
        <w:rPr>
          <w:strike/>
          <w:lang w:val="fr-FR"/>
        </w:rPr>
        <w:t>du véhicule</w:t>
      </w:r>
      <w:r w:rsidR="00F375A4" w:rsidRPr="00F375A4">
        <w:rPr>
          <w:lang w:val="fr-FR"/>
        </w:rPr>
        <w:t xml:space="preserve"> </w:t>
      </w:r>
      <w:r w:rsidR="00F375A4" w:rsidRPr="00F375A4">
        <w:rPr>
          <w:u w:val="single"/>
          <w:lang w:val="fr-FR"/>
        </w:rPr>
        <w:t>de l’unité de transport</w:t>
      </w:r>
      <w:r w:rsidR="00F375A4" w:rsidRPr="00F375A4">
        <w:rPr>
          <w:lang w:val="fr-FR"/>
        </w:rPr>
        <w:t xml:space="preserve"> ou du</w:t>
      </w:r>
      <w:r w:rsidR="00F375A4" w:rsidRPr="00BD2394">
        <w:rPr>
          <w:strike/>
          <w:lang w:val="fr-FR"/>
        </w:rPr>
        <w:t>es</w:t>
      </w:r>
      <w:r w:rsidR="00F375A4" w:rsidRPr="00F375A4">
        <w:rPr>
          <w:lang w:val="fr-FR"/>
        </w:rPr>
        <w:t xml:space="preserve"> conteneur</w:t>
      </w:r>
      <w:r w:rsidR="00F375A4" w:rsidRPr="00BD2394">
        <w:rPr>
          <w:strike/>
          <w:lang w:val="fr-FR"/>
        </w:rPr>
        <w:t>s</w:t>
      </w:r>
      <w:r w:rsidR="00F375A4" w:rsidRPr="00F375A4">
        <w:rPr>
          <w:lang w:val="fr-FR"/>
        </w:rPr>
        <w:t xml:space="preserve"> et, le cas échéant, du chargement.</w:t>
      </w:r>
      <w:r>
        <w:rPr>
          <w:lang w:val="fr-FR"/>
        </w:rPr>
        <w:t> »</w:t>
      </w:r>
      <w:r w:rsidR="00F375A4" w:rsidRPr="00F375A4">
        <w:rPr>
          <w:lang w:val="fr-FR"/>
        </w:rPr>
        <w:t>.</w:t>
      </w:r>
    </w:p>
    <w:p w:rsidR="00F375A4" w:rsidRPr="00F375A4" w:rsidRDefault="00FA0CA5" w:rsidP="00F375A4">
      <w:pPr>
        <w:pStyle w:val="SingleTxt"/>
        <w:rPr>
          <w:bCs/>
          <w:lang w:val="fr-FR"/>
        </w:rPr>
      </w:pPr>
      <w:r>
        <w:rPr>
          <w:b/>
          <w:lang w:val="fr-FR"/>
        </w:rPr>
        <w:tab/>
      </w:r>
      <w:r w:rsidR="00F375A4" w:rsidRPr="00F375A4">
        <w:rPr>
          <w:b/>
          <w:lang w:val="fr-FR"/>
        </w:rPr>
        <w:t>ADN</w:t>
      </w:r>
      <w:r>
        <w:rPr>
          <w:b/>
          <w:lang w:val="fr-FR"/>
        </w:rPr>
        <w:t> </w:t>
      </w:r>
      <w:r w:rsidR="00F375A4" w:rsidRPr="00FA0CA5">
        <w:rPr>
          <w:lang w:val="fr-FR"/>
        </w:rPr>
        <w:t>:</w:t>
      </w:r>
      <w:r>
        <w:rPr>
          <w:lang w:val="fr-FR"/>
        </w:rPr>
        <w:tab/>
        <w:t>« </w:t>
      </w:r>
      <w:r w:rsidR="00F375A4" w:rsidRPr="00F375A4">
        <w:rPr>
          <w:lang w:val="fr-FR"/>
        </w:rPr>
        <w:t>...</w:t>
      </w:r>
      <w:r>
        <w:rPr>
          <w:lang w:val="fr-FR"/>
        </w:rPr>
        <w:t xml:space="preserve"> </w:t>
      </w:r>
      <w:proofErr w:type="gramStart"/>
      <w:r w:rsidR="00F375A4" w:rsidRPr="00F375A4">
        <w:rPr>
          <w:lang w:val="fr-FR"/>
        </w:rPr>
        <w:t>du bateau ou du</w:t>
      </w:r>
      <w:r w:rsidR="00F375A4" w:rsidRPr="002526B2">
        <w:rPr>
          <w:strike/>
          <w:lang w:val="fr-FR"/>
        </w:rPr>
        <w:t>es</w:t>
      </w:r>
      <w:r w:rsidR="00F375A4" w:rsidRPr="00F375A4">
        <w:rPr>
          <w:lang w:val="fr-FR"/>
        </w:rPr>
        <w:t xml:space="preserve"> conteneur</w:t>
      </w:r>
      <w:r w:rsidR="00F375A4" w:rsidRPr="002526B2">
        <w:rPr>
          <w:strike/>
          <w:lang w:val="fr-FR"/>
        </w:rPr>
        <w:t>s</w:t>
      </w:r>
      <w:proofErr w:type="gramEnd"/>
      <w:r w:rsidR="00F375A4" w:rsidRPr="00F375A4">
        <w:rPr>
          <w:lang w:val="fr-FR"/>
        </w:rPr>
        <w:t xml:space="preserve"> et,</w:t>
      </w:r>
      <w:r w:rsidRPr="00FA0CA5">
        <w:rPr>
          <w:lang w:val="fr-FR"/>
        </w:rPr>
        <w:t xml:space="preserve"> </w:t>
      </w:r>
      <w:r w:rsidR="00F375A4" w:rsidRPr="00FA0CA5">
        <w:rPr>
          <w:lang w:val="fr-FR"/>
        </w:rPr>
        <w:t>...</w:t>
      </w:r>
      <w:r>
        <w:rPr>
          <w:lang w:val="fr-FR"/>
        </w:rPr>
        <w:t> »</w:t>
      </w:r>
      <w:r w:rsidR="00F375A4" w:rsidRPr="00F375A4">
        <w:rPr>
          <w:bCs/>
          <w:lang w:val="fr-FR"/>
        </w:rPr>
        <w:t>.</w:t>
      </w:r>
    </w:p>
    <w:p w:rsidR="00F375A4" w:rsidRPr="00F375A4" w:rsidRDefault="00F375A4" w:rsidP="00F375A4">
      <w:pPr>
        <w:pStyle w:val="SingleTxt"/>
        <w:rPr>
          <w:lang w:val="fr-FR"/>
        </w:rPr>
      </w:pPr>
      <w:r w:rsidRPr="00F375A4">
        <w:rPr>
          <w:lang w:val="fr-FR"/>
        </w:rPr>
        <w:t>Le reste de la phrase reste inchangé.</w:t>
      </w:r>
    </w:p>
    <w:p w:rsidR="00F375A4" w:rsidRDefault="00F375A4" w:rsidP="00B10640">
      <w:pPr>
        <w:pStyle w:val="SingleTxt"/>
        <w:numPr>
          <w:ilvl w:val="0"/>
          <w:numId w:val="8"/>
        </w:numPr>
        <w:tabs>
          <w:tab w:val="clear" w:pos="475"/>
          <w:tab w:val="num" w:pos="1742"/>
        </w:tabs>
        <w:ind w:left="1267"/>
        <w:rPr>
          <w:lang w:val="fr-FR"/>
        </w:rPr>
      </w:pPr>
      <w:r w:rsidRPr="00F375A4">
        <w:rPr>
          <w:lang w:val="fr-FR"/>
        </w:rPr>
        <w:t>Nous espérons que les propositions ci-dessus répondent aux besoins des délégations et permettront de mieux déployer les dispositions du RID/ADR/ADN.</w:t>
      </w:r>
    </w:p>
    <w:p w:rsidR="00FA0CA5" w:rsidRPr="00FA0CA5" w:rsidRDefault="00FA0CA5" w:rsidP="00FA0CA5">
      <w:pPr>
        <w:pStyle w:val="SingleTxt"/>
        <w:spacing w:after="0" w:line="120" w:lineRule="exact"/>
        <w:rPr>
          <w:sz w:val="10"/>
          <w:lang w:val="fr-FR"/>
        </w:rPr>
      </w:pPr>
    </w:p>
    <w:p w:rsidR="00FA0CA5" w:rsidRPr="00FA0CA5" w:rsidRDefault="00FA0CA5" w:rsidP="00FA0CA5">
      <w:pPr>
        <w:pStyle w:val="SingleTxt"/>
        <w:spacing w:after="0" w:line="120" w:lineRule="exact"/>
        <w:rPr>
          <w:sz w:val="10"/>
          <w:lang w:val="fr-FR"/>
        </w:rPr>
      </w:pPr>
    </w:p>
    <w:p w:rsidR="00F375A4" w:rsidRDefault="00FA0CA5" w:rsidP="00704D1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F375A4" w:rsidRPr="00F375A4">
        <w:rPr>
          <w:lang w:val="fr-FR"/>
        </w:rPr>
        <w:t>Justification</w:t>
      </w:r>
    </w:p>
    <w:p w:rsidR="00FA0CA5" w:rsidRPr="00FA0CA5" w:rsidRDefault="00FA0CA5" w:rsidP="00704D11">
      <w:pPr>
        <w:pStyle w:val="SingleTxt"/>
        <w:keepNext/>
        <w:keepLines/>
        <w:spacing w:after="0" w:line="120" w:lineRule="exact"/>
        <w:rPr>
          <w:sz w:val="10"/>
          <w:lang w:val="fr-FR"/>
        </w:rPr>
      </w:pPr>
    </w:p>
    <w:p w:rsidR="00FA0CA5" w:rsidRDefault="00FA0CA5" w:rsidP="00704D11">
      <w:pPr>
        <w:pStyle w:val="SingleTxt"/>
        <w:keepNext/>
        <w:keepLines/>
        <w:spacing w:after="0" w:line="120" w:lineRule="exact"/>
        <w:rPr>
          <w:sz w:val="10"/>
          <w:lang w:val="fr-FR"/>
        </w:rPr>
      </w:pPr>
    </w:p>
    <w:tbl>
      <w:tblPr>
        <w:tblW w:w="0" w:type="auto"/>
        <w:tblInd w:w="1260" w:type="dxa"/>
        <w:tblLayout w:type="fixed"/>
        <w:tblCellMar>
          <w:left w:w="0" w:type="dxa"/>
          <w:right w:w="0" w:type="dxa"/>
        </w:tblCellMar>
        <w:tblLook w:val="0000"/>
      </w:tblPr>
      <w:tblGrid>
        <w:gridCol w:w="2043"/>
        <w:gridCol w:w="5463"/>
      </w:tblGrid>
      <w:tr w:rsidR="00517C16" w:rsidRPr="00756175" w:rsidTr="0000226F">
        <w:tc>
          <w:tcPr>
            <w:tcW w:w="2043" w:type="dxa"/>
            <w:shd w:val="clear" w:color="auto" w:fill="auto"/>
          </w:tcPr>
          <w:p w:rsidR="00756175" w:rsidRPr="00756175" w:rsidRDefault="00B10640" w:rsidP="000F2B7B">
            <w:pPr>
              <w:keepNext/>
              <w:keepLines/>
              <w:tabs>
                <w:tab w:val="left" w:pos="522"/>
                <w:tab w:val="left" w:pos="549"/>
                <w:tab w:val="left" w:pos="864"/>
                <w:tab w:val="left" w:pos="1152"/>
              </w:tabs>
              <w:suppressAutoHyphens/>
              <w:spacing w:before="40" w:after="80"/>
              <w:ind w:right="115"/>
              <w:rPr>
                <w:lang w:val="fr-FR"/>
              </w:rPr>
            </w:pPr>
            <w:r>
              <w:rPr>
                <w:lang w:val="fr-FR"/>
              </w:rPr>
              <w:t>26.</w:t>
            </w:r>
            <w:r w:rsidR="00756175">
              <w:rPr>
                <w:lang w:val="fr-FR"/>
              </w:rPr>
              <w:tab/>
              <w:t>Sécurité :</w:t>
            </w:r>
          </w:p>
        </w:tc>
        <w:tc>
          <w:tcPr>
            <w:tcW w:w="5463" w:type="dxa"/>
            <w:shd w:val="clear" w:color="auto" w:fill="auto"/>
          </w:tcPr>
          <w:p w:rsidR="00756175" w:rsidRPr="00756175" w:rsidRDefault="00756175" w:rsidP="00704D11">
            <w:pPr>
              <w:keepNext/>
              <w:keepLines/>
              <w:tabs>
                <w:tab w:val="left" w:pos="288"/>
                <w:tab w:val="left" w:pos="576"/>
                <w:tab w:val="left" w:pos="864"/>
                <w:tab w:val="left" w:pos="1152"/>
              </w:tabs>
              <w:suppressAutoHyphens/>
              <w:spacing w:before="40" w:after="80"/>
              <w:ind w:right="115"/>
              <w:rPr>
                <w:lang w:val="fr-FR"/>
              </w:rPr>
            </w:pPr>
            <w:r>
              <w:rPr>
                <w:lang w:val="fr-FR"/>
              </w:rPr>
              <w:t>Un texte clair améliore la sécurité de tous les modes de transport.</w:t>
            </w:r>
          </w:p>
        </w:tc>
      </w:tr>
      <w:tr w:rsidR="00FD07C7" w:rsidRPr="00756175" w:rsidTr="0000226F">
        <w:tc>
          <w:tcPr>
            <w:tcW w:w="2043" w:type="dxa"/>
            <w:vMerge w:val="restart"/>
            <w:shd w:val="clear" w:color="auto" w:fill="auto"/>
          </w:tcPr>
          <w:p w:rsidR="00FD07C7" w:rsidRPr="00756175" w:rsidRDefault="00FD07C7" w:rsidP="00F57670">
            <w:pPr>
              <w:keepNext/>
              <w:keepLines/>
              <w:tabs>
                <w:tab w:val="left" w:pos="522"/>
                <w:tab w:val="left" w:pos="549"/>
                <w:tab w:val="left" w:pos="864"/>
                <w:tab w:val="left" w:pos="1152"/>
              </w:tabs>
              <w:suppressAutoHyphens/>
              <w:spacing w:before="40" w:after="80"/>
              <w:ind w:right="115"/>
              <w:rPr>
                <w:lang w:val="fr-FR"/>
              </w:rPr>
            </w:pPr>
            <w:r>
              <w:rPr>
                <w:lang w:val="fr-FR"/>
              </w:rPr>
              <w:tab/>
              <w:t>Faisabilité :</w:t>
            </w:r>
          </w:p>
        </w:tc>
        <w:tc>
          <w:tcPr>
            <w:tcW w:w="5463" w:type="dxa"/>
            <w:shd w:val="clear" w:color="auto" w:fill="auto"/>
          </w:tcPr>
          <w:p w:rsidR="00FD07C7" w:rsidRPr="00756175" w:rsidRDefault="00FD07C7" w:rsidP="00704D11">
            <w:pPr>
              <w:keepNext/>
              <w:keepLines/>
              <w:tabs>
                <w:tab w:val="left" w:pos="288"/>
                <w:tab w:val="left" w:pos="576"/>
                <w:tab w:val="left" w:pos="864"/>
                <w:tab w:val="left" w:pos="1152"/>
              </w:tabs>
              <w:suppressAutoHyphens/>
              <w:spacing w:before="40" w:after="80"/>
              <w:ind w:right="115"/>
              <w:rPr>
                <w:lang w:val="fr-FR"/>
              </w:rPr>
            </w:pPr>
            <w:r>
              <w:rPr>
                <w:lang w:val="fr-FR"/>
              </w:rPr>
              <w:t>Les propositions avancées visent à préciser les obligations existantes des transporteurs, des équipages et des organismes chargés de l’application des lois, tout en facilitant leurs activités.</w:t>
            </w:r>
          </w:p>
        </w:tc>
      </w:tr>
      <w:tr w:rsidR="00FD07C7" w:rsidRPr="00756175" w:rsidTr="0000226F">
        <w:tc>
          <w:tcPr>
            <w:tcW w:w="2043" w:type="dxa"/>
            <w:vMerge/>
            <w:shd w:val="clear" w:color="auto" w:fill="auto"/>
          </w:tcPr>
          <w:p w:rsidR="00FD07C7" w:rsidRDefault="00FD07C7" w:rsidP="00756175">
            <w:pPr>
              <w:tabs>
                <w:tab w:val="left" w:pos="288"/>
                <w:tab w:val="left" w:pos="576"/>
                <w:tab w:val="left" w:pos="864"/>
                <w:tab w:val="left" w:pos="1152"/>
              </w:tabs>
              <w:suppressAutoHyphens/>
              <w:spacing w:before="40" w:after="80"/>
              <w:ind w:right="115"/>
              <w:rPr>
                <w:lang w:val="fr-FR"/>
              </w:rPr>
            </w:pPr>
          </w:p>
        </w:tc>
        <w:tc>
          <w:tcPr>
            <w:tcW w:w="5463" w:type="dxa"/>
            <w:shd w:val="clear" w:color="auto" w:fill="auto"/>
          </w:tcPr>
          <w:p w:rsidR="00FD07C7" w:rsidRDefault="00FD07C7" w:rsidP="00756175">
            <w:pPr>
              <w:tabs>
                <w:tab w:val="left" w:pos="288"/>
                <w:tab w:val="left" w:pos="576"/>
                <w:tab w:val="left" w:pos="864"/>
                <w:tab w:val="left" w:pos="1152"/>
              </w:tabs>
              <w:suppressAutoHyphens/>
              <w:spacing w:before="40" w:after="80"/>
              <w:ind w:right="115"/>
              <w:rPr>
                <w:lang w:val="fr-FR"/>
              </w:rPr>
            </w:pPr>
            <w:r>
              <w:rPr>
                <w:lang w:val="fr-FR"/>
              </w:rPr>
              <w:t>Aucun inconvénient n’est à prévoir.</w:t>
            </w:r>
          </w:p>
        </w:tc>
      </w:tr>
      <w:tr w:rsidR="00FD07C7" w:rsidRPr="00756175" w:rsidTr="0000226F">
        <w:tc>
          <w:tcPr>
            <w:tcW w:w="2043" w:type="dxa"/>
            <w:vMerge/>
            <w:shd w:val="clear" w:color="auto" w:fill="auto"/>
          </w:tcPr>
          <w:p w:rsidR="00FD07C7" w:rsidRDefault="00FD07C7" w:rsidP="00756175">
            <w:pPr>
              <w:tabs>
                <w:tab w:val="left" w:pos="288"/>
                <w:tab w:val="left" w:pos="576"/>
                <w:tab w:val="left" w:pos="864"/>
                <w:tab w:val="left" w:pos="1152"/>
              </w:tabs>
              <w:suppressAutoHyphens/>
              <w:spacing w:before="40" w:after="80"/>
              <w:ind w:right="115"/>
              <w:rPr>
                <w:lang w:val="fr-FR"/>
              </w:rPr>
            </w:pPr>
          </w:p>
        </w:tc>
        <w:tc>
          <w:tcPr>
            <w:tcW w:w="5463" w:type="dxa"/>
            <w:shd w:val="clear" w:color="auto" w:fill="auto"/>
          </w:tcPr>
          <w:p w:rsidR="00FD07C7" w:rsidRDefault="00FD07C7" w:rsidP="00756175">
            <w:pPr>
              <w:tabs>
                <w:tab w:val="left" w:pos="288"/>
                <w:tab w:val="left" w:pos="576"/>
                <w:tab w:val="left" w:pos="864"/>
                <w:tab w:val="left" w:pos="1152"/>
              </w:tabs>
              <w:suppressAutoHyphens/>
              <w:spacing w:before="40" w:after="80"/>
              <w:ind w:right="115"/>
              <w:rPr>
                <w:lang w:val="fr-FR"/>
              </w:rPr>
            </w:pPr>
            <w:r>
              <w:rPr>
                <w:lang w:val="fr-FR"/>
              </w:rPr>
              <w:t>Aucune période de transition ne s’impose.</w:t>
            </w:r>
          </w:p>
        </w:tc>
      </w:tr>
      <w:tr w:rsidR="00517C16" w:rsidRPr="00756175" w:rsidTr="0000226F">
        <w:tc>
          <w:tcPr>
            <w:tcW w:w="2043" w:type="dxa"/>
            <w:shd w:val="clear" w:color="auto" w:fill="auto"/>
          </w:tcPr>
          <w:p w:rsidR="00756175" w:rsidRPr="00756175" w:rsidRDefault="00756175" w:rsidP="00F57670">
            <w:pPr>
              <w:tabs>
                <w:tab w:val="left" w:pos="522"/>
                <w:tab w:val="left" w:pos="864"/>
                <w:tab w:val="left" w:pos="1152"/>
              </w:tabs>
              <w:suppressAutoHyphens/>
              <w:spacing w:before="40" w:after="80"/>
              <w:ind w:right="115"/>
              <w:rPr>
                <w:lang w:val="fr-FR"/>
              </w:rPr>
            </w:pPr>
            <w:r>
              <w:rPr>
                <w:lang w:val="fr-FR"/>
              </w:rPr>
              <w:tab/>
              <w:t>Applicabilité :</w:t>
            </w:r>
          </w:p>
        </w:tc>
        <w:tc>
          <w:tcPr>
            <w:tcW w:w="5463" w:type="dxa"/>
            <w:shd w:val="clear" w:color="auto" w:fill="auto"/>
          </w:tcPr>
          <w:p w:rsidR="00756175" w:rsidRDefault="00756175" w:rsidP="00756175">
            <w:pPr>
              <w:tabs>
                <w:tab w:val="left" w:pos="288"/>
                <w:tab w:val="left" w:pos="576"/>
                <w:tab w:val="left" w:pos="864"/>
                <w:tab w:val="left" w:pos="1152"/>
              </w:tabs>
              <w:suppressAutoHyphens/>
              <w:spacing w:before="40" w:after="80"/>
              <w:ind w:right="115"/>
              <w:rPr>
                <w:lang w:val="fr-FR"/>
              </w:rPr>
            </w:pPr>
            <w:r>
              <w:rPr>
                <w:lang w:val="fr-FR"/>
              </w:rPr>
              <w:t>Le chapitre 1.4 revêt une importance particulière pour les agents chargés de l’application des lois et peut être considéré, de leur point de vue, comme le point d’accès au RID/ADR/ADN.</w:t>
            </w:r>
          </w:p>
          <w:p w:rsidR="00756175" w:rsidRPr="00756175" w:rsidRDefault="00756175" w:rsidP="00756175">
            <w:pPr>
              <w:tabs>
                <w:tab w:val="left" w:pos="288"/>
                <w:tab w:val="left" w:pos="576"/>
                <w:tab w:val="left" w:pos="864"/>
                <w:tab w:val="left" w:pos="1152"/>
              </w:tabs>
              <w:suppressAutoHyphens/>
              <w:spacing w:before="40" w:after="80"/>
              <w:ind w:right="115"/>
              <w:rPr>
                <w:lang w:val="fr-FR"/>
              </w:rPr>
            </w:pPr>
            <w:r>
              <w:rPr>
                <w:lang w:val="fr-FR"/>
              </w:rPr>
              <w:t>Le fait d’imposer des obligations distinctes au transporteur permettrait de faciliter l’applicabilité des Règlements.</w:t>
            </w:r>
          </w:p>
        </w:tc>
      </w:tr>
    </w:tbl>
    <w:p w:rsidR="00F375A4" w:rsidRPr="00F375A4" w:rsidRDefault="0062239C" w:rsidP="00F375A4">
      <w:pPr>
        <w:pStyle w:val="SingleTxt"/>
        <w:spacing w:after="0" w:line="240" w:lineRule="auto"/>
        <w:rPr>
          <w:lang w:val="fr-FR"/>
        </w:rPr>
      </w:pPr>
      <w:r w:rsidRPr="0062239C">
        <w:rPr>
          <w:noProof/>
          <w:w w:val="100"/>
          <w:lang w:val="en-GB" w:eastAsia="en-GB"/>
        </w:rPr>
        <w:pict>
          <v:line id="Straight Connector 4" o:spid="_x0000_s1026" style="position:absolute;left:0;text-align:left;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w:r>
    </w:p>
    <w:sectPr w:rsidR="00F375A4" w:rsidRPr="00F375A4" w:rsidSect="00CD7AB6">
      <w:endnotePr>
        <w:numFmt w:val="decimal"/>
      </w:endnotePr>
      <w:type w:val="continuous"/>
      <w:pgSz w:w="11909" w:h="16834"/>
      <w:pgMar w:top="1742" w:right="936" w:bottom="1898" w:left="936" w:header="576" w:footer="103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2B88" w:rsidRDefault="00BF2B88" w:rsidP="00F3330B">
      <w:pPr>
        <w:spacing w:line="240" w:lineRule="auto"/>
      </w:pPr>
      <w:r>
        <w:separator/>
      </w:r>
    </w:p>
  </w:endnote>
  <w:endnote w:type="continuationSeparator" w:id="0">
    <w:p w:rsidR="00BF2B88" w:rsidRDefault="00BF2B88" w:rsidP="00F3330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jc w:val="center"/>
      <w:tblLayout w:type="fixed"/>
      <w:tblLook w:val="0000"/>
    </w:tblPr>
    <w:tblGrid>
      <w:gridCol w:w="5126"/>
      <w:gridCol w:w="5127"/>
    </w:tblGrid>
    <w:tr w:rsidR="00BF2B88" w:rsidTr="00CD7AB6">
      <w:trPr>
        <w:jc w:val="center"/>
      </w:trPr>
      <w:tc>
        <w:tcPr>
          <w:tcW w:w="5126" w:type="dxa"/>
          <w:shd w:val="clear" w:color="auto" w:fill="auto"/>
        </w:tcPr>
        <w:p w:rsidR="00BF2B88" w:rsidRPr="00CD7AB6" w:rsidRDefault="0062239C" w:rsidP="00CD7AB6">
          <w:pPr>
            <w:pStyle w:val="Pieddepage"/>
            <w:jc w:val="right"/>
            <w:rPr>
              <w:b w:val="0"/>
              <w:w w:val="103"/>
              <w:sz w:val="14"/>
            </w:rPr>
          </w:pPr>
          <w:fldSimple w:instr=" DOCVARIABLE &quot;FooterJN&quot; \* MERGEFORMAT ">
            <w:r w:rsidR="00311A01">
              <w:rPr>
                <w:b w:val="0"/>
                <w:w w:val="103"/>
                <w:sz w:val="14"/>
              </w:rPr>
              <w:t>GE.15-10232</w:t>
            </w:r>
          </w:fldSimple>
        </w:p>
      </w:tc>
      <w:tc>
        <w:tcPr>
          <w:tcW w:w="5127" w:type="dxa"/>
          <w:shd w:val="clear" w:color="auto" w:fill="auto"/>
        </w:tcPr>
        <w:p w:rsidR="00BF2B88" w:rsidRPr="00CD7AB6" w:rsidRDefault="0062239C" w:rsidP="00CD7AB6">
          <w:pPr>
            <w:pStyle w:val="Pieddepage"/>
            <w:rPr>
              <w:w w:val="103"/>
            </w:rPr>
          </w:pPr>
          <w:r>
            <w:rPr>
              <w:w w:val="103"/>
            </w:rPr>
            <w:fldChar w:fldCharType="begin"/>
          </w:r>
          <w:r w:rsidR="00BF2B88">
            <w:rPr>
              <w:w w:val="103"/>
            </w:rPr>
            <w:instrText xml:space="preserve"> PAGE  \* Arabic  \* MERGEFORMAT </w:instrText>
          </w:r>
          <w:r>
            <w:rPr>
              <w:w w:val="103"/>
            </w:rPr>
            <w:fldChar w:fldCharType="separate"/>
          </w:r>
          <w:r w:rsidR="00192B1E">
            <w:rPr>
              <w:noProof/>
              <w:w w:val="103"/>
            </w:rPr>
            <w:t>6</w:t>
          </w:r>
          <w:r>
            <w:rPr>
              <w:w w:val="103"/>
            </w:rPr>
            <w:fldChar w:fldCharType="end"/>
          </w:r>
          <w:r w:rsidR="00BF2B88">
            <w:rPr>
              <w:w w:val="103"/>
            </w:rPr>
            <w:t>/</w:t>
          </w:r>
          <w:fldSimple w:instr=" NUMPAGES  \* Arabic  \* MERGEFORMAT ">
            <w:r w:rsidR="00192B1E">
              <w:rPr>
                <w:noProof/>
                <w:w w:val="103"/>
              </w:rPr>
              <w:t>6</w:t>
            </w:r>
          </w:fldSimple>
        </w:p>
      </w:tc>
    </w:tr>
  </w:tbl>
  <w:p w:rsidR="00BF2B88" w:rsidRPr="00CD7AB6" w:rsidRDefault="00BF2B88" w:rsidP="00CD7AB6">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jc w:val="center"/>
      <w:tblLayout w:type="fixed"/>
      <w:tblLook w:val="0000"/>
    </w:tblPr>
    <w:tblGrid>
      <w:gridCol w:w="5126"/>
      <w:gridCol w:w="5127"/>
    </w:tblGrid>
    <w:tr w:rsidR="00BF2B88" w:rsidTr="00CD7AB6">
      <w:trPr>
        <w:jc w:val="center"/>
      </w:trPr>
      <w:tc>
        <w:tcPr>
          <w:tcW w:w="5126" w:type="dxa"/>
          <w:shd w:val="clear" w:color="auto" w:fill="auto"/>
        </w:tcPr>
        <w:p w:rsidR="00BF2B88" w:rsidRPr="00CD7AB6" w:rsidRDefault="0062239C" w:rsidP="00CD7AB6">
          <w:pPr>
            <w:pStyle w:val="Pieddepage"/>
            <w:jc w:val="right"/>
            <w:rPr>
              <w:w w:val="103"/>
            </w:rPr>
          </w:pPr>
          <w:r>
            <w:rPr>
              <w:w w:val="103"/>
            </w:rPr>
            <w:fldChar w:fldCharType="begin"/>
          </w:r>
          <w:r w:rsidR="00BF2B88">
            <w:rPr>
              <w:w w:val="103"/>
            </w:rPr>
            <w:instrText xml:space="preserve"> PAGE  \* Arabic  \* MERGEFORMAT </w:instrText>
          </w:r>
          <w:r>
            <w:rPr>
              <w:w w:val="103"/>
            </w:rPr>
            <w:fldChar w:fldCharType="separate"/>
          </w:r>
          <w:r w:rsidR="00192B1E">
            <w:rPr>
              <w:noProof/>
              <w:w w:val="103"/>
            </w:rPr>
            <w:t>5</w:t>
          </w:r>
          <w:r>
            <w:rPr>
              <w:w w:val="103"/>
            </w:rPr>
            <w:fldChar w:fldCharType="end"/>
          </w:r>
          <w:r w:rsidR="00BF2B88">
            <w:rPr>
              <w:w w:val="103"/>
            </w:rPr>
            <w:t>/</w:t>
          </w:r>
          <w:fldSimple w:instr=" NUMPAGES  \* Arabic  \* MERGEFORMAT ">
            <w:r w:rsidR="00192B1E">
              <w:rPr>
                <w:noProof/>
                <w:w w:val="103"/>
              </w:rPr>
              <w:t>5</w:t>
            </w:r>
          </w:fldSimple>
        </w:p>
      </w:tc>
      <w:tc>
        <w:tcPr>
          <w:tcW w:w="5127" w:type="dxa"/>
          <w:shd w:val="clear" w:color="auto" w:fill="auto"/>
        </w:tcPr>
        <w:p w:rsidR="00BF2B88" w:rsidRPr="00CD7AB6" w:rsidRDefault="0062239C" w:rsidP="00CD7AB6">
          <w:pPr>
            <w:pStyle w:val="Pieddepage"/>
            <w:rPr>
              <w:b w:val="0"/>
              <w:w w:val="103"/>
              <w:sz w:val="14"/>
            </w:rPr>
          </w:pPr>
          <w:fldSimple w:instr=" DOCVARIABLE &quot;FooterJN&quot; \* MERGEFORMAT ">
            <w:r w:rsidR="00311A01">
              <w:rPr>
                <w:b w:val="0"/>
                <w:w w:val="103"/>
                <w:sz w:val="14"/>
              </w:rPr>
              <w:t>GE.15-10232</w:t>
            </w:r>
          </w:fldSimple>
        </w:p>
      </w:tc>
    </w:tr>
  </w:tbl>
  <w:p w:rsidR="00BF2B88" w:rsidRPr="00CD7AB6" w:rsidRDefault="00BF2B88" w:rsidP="00CD7AB6">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B88" w:rsidRDefault="00BF2B88">
    <w:pPr>
      <w:pStyle w:val="Pieddepage"/>
    </w:pPr>
    <w:r>
      <w:rPr>
        <w:noProof/>
        <w:lang w:val="fr-FR" w:eastAsia="fr-FR"/>
      </w:rPr>
      <w:drawing>
        <wp:anchor distT="0" distB="0" distL="114300" distR="114300" simplePos="0" relativeHeight="251658240" behindDoc="0" locked="0" layoutInCell="1" allowOverlap="1">
          <wp:simplePos x="0" y="0"/>
          <wp:positionH relativeFrom="column">
            <wp:posOffset>5650865</wp:posOffset>
          </wp:positionH>
          <wp:positionV relativeFrom="paragraph">
            <wp:posOffset>-228600</wp:posOffset>
          </wp:positionV>
          <wp:extent cx="694690" cy="694690"/>
          <wp:effectExtent l="0" t="0" r="0" b="0"/>
          <wp:wrapNone/>
          <wp:docPr id="3" name="Picture 3" descr="http://undocs.org/m2/QRCode2.ashx?DS=ECE/TRANS/WP.15/AC.1/2015/34&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E/TRANS/WP.15/AC.1/2015/34&amp;Size =1&amp;Lang = F"/>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anchor>
      </w:drawing>
    </w:r>
  </w:p>
  <w:tbl>
    <w:tblPr>
      <w:tblW w:w="0" w:type="auto"/>
      <w:tblLayout w:type="fixed"/>
      <w:tblLook w:val="0000"/>
    </w:tblPr>
    <w:tblGrid>
      <w:gridCol w:w="3859"/>
      <w:gridCol w:w="5127"/>
    </w:tblGrid>
    <w:tr w:rsidR="00BF2B88" w:rsidTr="00CD7AB6">
      <w:tc>
        <w:tcPr>
          <w:tcW w:w="3859" w:type="dxa"/>
        </w:tcPr>
        <w:p w:rsidR="00BF2B88" w:rsidRDefault="0062239C" w:rsidP="00CD7AB6">
          <w:pPr>
            <w:pStyle w:val="Pieddepage"/>
            <w:rPr>
              <w:b w:val="0"/>
              <w:sz w:val="20"/>
            </w:rPr>
          </w:pPr>
          <w:fldSimple w:instr=" DOCVARIABLE &quot;jobn&quot; \* MERGEFORMAT ">
            <w:r w:rsidR="00311A01">
              <w:rPr>
                <w:b w:val="0"/>
                <w:sz w:val="20"/>
              </w:rPr>
              <w:t>GE.15-10232 (F)</w:t>
            </w:r>
          </w:fldSimple>
          <w:r w:rsidR="00BF2B88">
            <w:rPr>
              <w:b w:val="0"/>
              <w:sz w:val="20"/>
            </w:rPr>
            <w:t xml:space="preserve">    280715    030815</w:t>
          </w:r>
        </w:p>
        <w:p w:rsidR="00BF2B88" w:rsidRPr="00CD7AB6" w:rsidRDefault="0062239C" w:rsidP="00CD7AB6">
          <w:pPr>
            <w:pStyle w:val="Pieddepage"/>
            <w:spacing w:before="120" w:line="200" w:lineRule="exact"/>
            <w:rPr>
              <w:rFonts w:ascii="Barcode 3 of 9 by request" w:hAnsi="Barcode 3 of 9 by request"/>
              <w:b w:val="0"/>
              <w:spacing w:val="0"/>
              <w:w w:val="100"/>
              <w:sz w:val="24"/>
            </w:rPr>
          </w:pPr>
          <w:fldSimple w:instr=" DOCVARIABLE &quot;Barcode&quot; \* MERGEFORMAT ">
            <w:r w:rsidR="00311A01">
              <w:rPr>
                <w:rFonts w:ascii="Barcode 3 of 9 by request" w:hAnsi="Barcode 3 of 9 by request"/>
                <w:b w:val="0"/>
                <w:spacing w:val="0"/>
                <w:w w:val="100"/>
                <w:sz w:val="24"/>
              </w:rPr>
              <w:t>*1510232*</w:t>
            </w:r>
          </w:fldSimple>
        </w:p>
      </w:tc>
      <w:tc>
        <w:tcPr>
          <w:tcW w:w="5127" w:type="dxa"/>
        </w:tcPr>
        <w:p w:rsidR="00BF2B88" w:rsidRDefault="00BF2B88" w:rsidP="00CD7AB6">
          <w:pPr>
            <w:pStyle w:val="Pieddepage"/>
            <w:spacing w:line="240" w:lineRule="atLeast"/>
            <w:jc w:val="right"/>
            <w:rPr>
              <w:b w:val="0"/>
              <w:sz w:val="20"/>
            </w:rPr>
          </w:pPr>
          <w:r>
            <w:rPr>
              <w:b w:val="0"/>
              <w:noProof/>
              <w:sz w:val="20"/>
              <w:lang w:val="fr-FR" w:eastAsia="fr-FR"/>
            </w:rPr>
            <w:drawing>
              <wp:inline distT="0" distB="0" distL="0" distR="0">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BF2B88" w:rsidRPr="00CD7AB6" w:rsidRDefault="00BF2B88" w:rsidP="00CD7AB6">
    <w:pPr>
      <w:pStyle w:val="Pieddepage"/>
      <w:spacing w:line="56" w:lineRule="exact"/>
      <w:rPr>
        <w:b w:val="0"/>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2B88" w:rsidRPr="00E557BA" w:rsidRDefault="00BF2B88" w:rsidP="00E557BA">
      <w:pPr>
        <w:pStyle w:val="Pieddepage"/>
        <w:spacing w:after="80"/>
        <w:ind w:left="792"/>
        <w:rPr>
          <w:sz w:val="16"/>
        </w:rPr>
      </w:pPr>
      <w:r w:rsidRPr="00E557BA">
        <w:rPr>
          <w:sz w:val="16"/>
        </w:rPr>
        <w:t>__________________</w:t>
      </w:r>
    </w:p>
  </w:footnote>
  <w:footnote w:type="continuationSeparator" w:id="0">
    <w:p w:rsidR="00BF2B88" w:rsidRPr="00E557BA" w:rsidRDefault="00BF2B88" w:rsidP="00E557BA">
      <w:pPr>
        <w:pStyle w:val="Pieddepage"/>
        <w:spacing w:after="80"/>
        <w:ind w:left="792"/>
        <w:rPr>
          <w:sz w:val="16"/>
        </w:rPr>
      </w:pPr>
      <w:r w:rsidRPr="00E557BA">
        <w:rPr>
          <w:sz w:val="16"/>
        </w:rPr>
        <w:t>__________________</w:t>
      </w:r>
    </w:p>
  </w:footnote>
  <w:footnote w:id="1">
    <w:p w:rsidR="00BF2B88" w:rsidRPr="00E557BA" w:rsidRDefault="00BF2B88" w:rsidP="00E557BA">
      <w:pPr>
        <w:pStyle w:val="Notedebasdepage"/>
        <w:tabs>
          <w:tab w:val="right" w:pos="1195"/>
          <w:tab w:val="left" w:pos="1267"/>
          <w:tab w:val="left" w:pos="1742"/>
          <w:tab w:val="left" w:pos="2218"/>
          <w:tab w:val="left" w:pos="2693"/>
        </w:tabs>
        <w:ind w:left="1267" w:right="1260" w:hanging="432"/>
        <w:rPr>
          <w:spacing w:val="5"/>
          <w:w w:val="104"/>
          <w:lang w:val="fr-CH"/>
        </w:rPr>
      </w:pPr>
      <w:r>
        <w:tab/>
      </w:r>
      <w:r w:rsidRPr="00E557BA">
        <w:rPr>
          <w:rStyle w:val="Appelnotedebasdep"/>
          <w:color w:val="auto"/>
        </w:rPr>
        <w:footnoteRef/>
      </w:r>
      <w:r w:rsidRPr="00E557BA">
        <w:t xml:space="preserve"> </w:t>
      </w:r>
      <w:r w:rsidRPr="00E557BA">
        <w:tab/>
      </w:r>
      <w:r w:rsidRPr="00E557BA">
        <w:rPr>
          <w:lang w:val="fr-CH"/>
        </w:rPr>
        <w:t>Conformément au programme de travail du Comité des transports intérieurs pour la période 2014-2015 (ECE/TRANS/240, par. 100, ECE/TRANS/2014/23, module 9, par. 9.2).</w:t>
      </w:r>
    </w:p>
  </w:footnote>
  <w:footnote w:id="2">
    <w:p w:rsidR="00BF2B88" w:rsidRPr="00E557BA" w:rsidRDefault="00BF2B88" w:rsidP="00E557BA">
      <w:pPr>
        <w:pStyle w:val="Notedebasdepage"/>
        <w:tabs>
          <w:tab w:val="right" w:pos="1195"/>
          <w:tab w:val="left" w:pos="1267"/>
          <w:tab w:val="left" w:pos="1742"/>
          <w:tab w:val="left" w:pos="2218"/>
          <w:tab w:val="left" w:pos="2693"/>
        </w:tabs>
        <w:ind w:left="1267" w:right="1260" w:hanging="432"/>
        <w:rPr>
          <w:spacing w:val="5"/>
          <w:w w:val="104"/>
          <w:lang w:val="fr-CH"/>
        </w:rPr>
      </w:pPr>
      <w:r w:rsidRPr="00E557BA">
        <w:tab/>
      </w:r>
      <w:r w:rsidRPr="00E557BA">
        <w:rPr>
          <w:rStyle w:val="Appelnotedebasdep"/>
          <w:color w:val="auto"/>
        </w:rPr>
        <w:footnoteRef/>
      </w:r>
      <w:r w:rsidRPr="00E557BA">
        <w:t xml:space="preserve"> </w:t>
      </w:r>
      <w:r w:rsidRPr="00E557BA">
        <w:tab/>
      </w:r>
      <w:r w:rsidRPr="00CF6C7F">
        <w:rPr>
          <w:lang w:val="fr-CH"/>
        </w:rPr>
        <w:t>Distribué</w:t>
      </w:r>
      <w:r w:rsidR="005D76DE">
        <w:rPr>
          <w:lang w:val="fr-CH"/>
        </w:rPr>
        <w:t>e</w:t>
      </w:r>
      <w:r w:rsidRPr="00CF6C7F">
        <w:rPr>
          <w:lang w:val="fr-CH"/>
        </w:rPr>
        <w:t xml:space="preserve"> sous la</w:t>
      </w:r>
      <w:r>
        <w:rPr>
          <w:lang w:val="fr-CH"/>
        </w:rPr>
        <w:t xml:space="preserve"> cote OTIF/RID/RC/2015/34 par l’</w:t>
      </w:r>
      <w:r w:rsidRPr="00CF6C7F">
        <w:rPr>
          <w:lang w:val="fr-CH"/>
        </w:rPr>
        <w:t>Organisation intergouvernementale pour les transports internationaux ferroviaires (OTIF).</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Borders>
        <w:bottom w:val="single" w:sz="2" w:space="0" w:color="010000"/>
      </w:tblBorders>
      <w:tblLayout w:type="fixed"/>
      <w:tblCellMar>
        <w:left w:w="0" w:type="dxa"/>
        <w:right w:w="0" w:type="dxa"/>
      </w:tblCellMar>
      <w:tblLook w:val="0000"/>
    </w:tblPr>
    <w:tblGrid>
      <w:gridCol w:w="4882"/>
      <w:gridCol w:w="5127"/>
    </w:tblGrid>
    <w:tr w:rsidR="00BF2B88" w:rsidTr="00CD7AB6">
      <w:trPr>
        <w:trHeight w:hRule="exact" w:val="864"/>
        <w:jc w:val="center"/>
      </w:trPr>
      <w:tc>
        <w:tcPr>
          <w:tcW w:w="4882" w:type="dxa"/>
          <w:shd w:val="clear" w:color="auto" w:fill="auto"/>
          <w:vAlign w:val="bottom"/>
        </w:tcPr>
        <w:p w:rsidR="00BF2B88" w:rsidRPr="00CD7AB6" w:rsidRDefault="0062239C" w:rsidP="00CD7AB6">
          <w:pPr>
            <w:pStyle w:val="En-tte"/>
            <w:spacing w:after="80"/>
            <w:rPr>
              <w:b/>
              <w:color w:val="000000"/>
            </w:rPr>
          </w:pPr>
          <w:fldSimple w:instr=" DOCVARIABLE &quot;sss1&quot; \* MERGEFORMAT ">
            <w:r w:rsidR="00311A01">
              <w:rPr>
                <w:b/>
                <w:color w:val="000000"/>
              </w:rPr>
              <w:t>ECE/TRANS/WP.15/AC.1/2015/34</w:t>
            </w:r>
          </w:fldSimple>
        </w:p>
      </w:tc>
      <w:tc>
        <w:tcPr>
          <w:tcW w:w="5127" w:type="dxa"/>
          <w:shd w:val="clear" w:color="auto" w:fill="auto"/>
          <w:vAlign w:val="bottom"/>
        </w:tcPr>
        <w:p w:rsidR="00BF2B88" w:rsidRDefault="00BF2B88" w:rsidP="00CD7AB6">
          <w:pPr>
            <w:pStyle w:val="En-tte"/>
          </w:pPr>
        </w:p>
      </w:tc>
    </w:tr>
  </w:tbl>
  <w:p w:rsidR="00BF2B88" w:rsidRPr="00CD7AB6" w:rsidRDefault="00BF2B88" w:rsidP="00CD7AB6">
    <w:pPr>
      <w:pStyle w:val="En-tte"/>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Borders>
        <w:bottom w:val="single" w:sz="2" w:space="0" w:color="010000"/>
      </w:tblBorders>
      <w:tblLayout w:type="fixed"/>
      <w:tblCellMar>
        <w:left w:w="0" w:type="dxa"/>
        <w:right w:w="0" w:type="dxa"/>
      </w:tblCellMar>
      <w:tblLook w:val="0000"/>
    </w:tblPr>
    <w:tblGrid>
      <w:gridCol w:w="4882"/>
      <w:gridCol w:w="5127"/>
    </w:tblGrid>
    <w:tr w:rsidR="00BF2B88" w:rsidTr="00CD7AB6">
      <w:trPr>
        <w:trHeight w:hRule="exact" w:val="864"/>
        <w:jc w:val="center"/>
      </w:trPr>
      <w:tc>
        <w:tcPr>
          <w:tcW w:w="4882" w:type="dxa"/>
          <w:shd w:val="clear" w:color="auto" w:fill="auto"/>
          <w:vAlign w:val="bottom"/>
        </w:tcPr>
        <w:p w:rsidR="00BF2B88" w:rsidRDefault="00BF2B88" w:rsidP="00CD7AB6">
          <w:pPr>
            <w:pStyle w:val="En-tte"/>
          </w:pPr>
        </w:p>
      </w:tc>
      <w:tc>
        <w:tcPr>
          <w:tcW w:w="5127" w:type="dxa"/>
          <w:shd w:val="clear" w:color="auto" w:fill="auto"/>
          <w:vAlign w:val="bottom"/>
        </w:tcPr>
        <w:p w:rsidR="00BF2B88" w:rsidRPr="00CD7AB6" w:rsidRDefault="0062239C" w:rsidP="00CD7AB6">
          <w:pPr>
            <w:pStyle w:val="En-tte"/>
            <w:spacing w:after="80"/>
            <w:jc w:val="right"/>
            <w:rPr>
              <w:b/>
              <w:color w:val="000000"/>
            </w:rPr>
          </w:pPr>
          <w:fldSimple w:instr=" DOCVARIABLE &quot;sss1&quot; \* MERGEFORMAT ">
            <w:r w:rsidR="00311A01">
              <w:rPr>
                <w:b/>
                <w:color w:val="000000"/>
              </w:rPr>
              <w:t>ECE/TRANS/WP.15/AC.1/2015/34</w:t>
            </w:r>
          </w:fldSimple>
        </w:p>
      </w:tc>
    </w:tr>
  </w:tbl>
  <w:p w:rsidR="00BF2B88" w:rsidRPr="00CD7AB6" w:rsidRDefault="00BF2B88" w:rsidP="00CD7AB6">
    <w:pPr>
      <w:pStyle w:val="En-tte"/>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037" w:type="dxa"/>
      <w:tblLayout w:type="fixed"/>
      <w:tblCellMar>
        <w:left w:w="0" w:type="dxa"/>
        <w:right w:w="0" w:type="dxa"/>
      </w:tblCellMar>
      <w:tblLook w:val="0000"/>
    </w:tblPr>
    <w:tblGrid>
      <w:gridCol w:w="1267"/>
      <w:gridCol w:w="2059"/>
      <w:gridCol w:w="58"/>
      <w:gridCol w:w="3110"/>
      <w:gridCol w:w="245"/>
      <w:gridCol w:w="3280"/>
      <w:gridCol w:w="18"/>
    </w:tblGrid>
    <w:tr w:rsidR="00BF2B88" w:rsidTr="00CD7AB6">
      <w:trPr>
        <w:trHeight w:hRule="exact" w:val="864"/>
      </w:trPr>
      <w:tc>
        <w:tcPr>
          <w:tcW w:w="1267" w:type="dxa"/>
          <w:tcBorders>
            <w:bottom w:val="single" w:sz="4" w:space="0" w:color="auto"/>
          </w:tcBorders>
          <w:shd w:val="clear" w:color="auto" w:fill="auto"/>
          <w:vAlign w:val="bottom"/>
        </w:tcPr>
        <w:p w:rsidR="00BF2B88" w:rsidRDefault="00BF2B88" w:rsidP="00CD7AB6">
          <w:pPr>
            <w:pStyle w:val="En-tte"/>
            <w:spacing w:after="120"/>
          </w:pPr>
        </w:p>
      </w:tc>
      <w:tc>
        <w:tcPr>
          <w:tcW w:w="2059" w:type="dxa"/>
          <w:tcBorders>
            <w:bottom w:val="single" w:sz="4" w:space="0" w:color="auto"/>
          </w:tcBorders>
          <w:shd w:val="clear" w:color="auto" w:fill="auto"/>
          <w:vAlign w:val="bottom"/>
        </w:tcPr>
        <w:p w:rsidR="00BF2B88" w:rsidRPr="00CD7AB6" w:rsidRDefault="00BF2B88" w:rsidP="00CD7AB6">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BF2B88" w:rsidRDefault="00BF2B88" w:rsidP="00CD7AB6">
          <w:pPr>
            <w:pStyle w:val="En-tte"/>
            <w:spacing w:after="120"/>
          </w:pPr>
        </w:p>
      </w:tc>
      <w:tc>
        <w:tcPr>
          <w:tcW w:w="6653" w:type="dxa"/>
          <w:gridSpan w:val="4"/>
          <w:tcBorders>
            <w:bottom w:val="single" w:sz="4" w:space="0" w:color="auto"/>
          </w:tcBorders>
          <w:shd w:val="clear" w:color="auto" w:fill="auto"/>
          <w:vAlign w:val="bottom"/>
        </w:tcPr>
        <w:p w:rsidR="00BF2B88" w:rsidRPr="00CD7AB6" w:rsidRDefault="00BF2B88" w:rsidP="00CD7AB6">
          <w:pPr>
            <w:spacing w:after="80" w:line="240" w:lineRule="auto"/>
            <w:jc w:val="right"/>
            <w:rPr>
              <w:position w:val="-4"/>
            </w:rPr>
          </w:pPr>
          <w:r>
            <w:rPr>
              <w:position w:val="-4"/>
              <w:sz w:val="40"/>
            </w:rPr>
            <w:t>ECE</w:t>
          </w:r>
          <w:r>
            <w:rPr>
              <w:position w:val="-4"/>
            </w:rPr>
            <w:t>/TRANS/WP.15/AC.1/2015/34</w:t>
          </w:r>
        </w:p>
      </w:tc>
    </w:tr>
    <w:tr w:rsidR="00BF2B88" w:rsidRPr="00CD7AB6" w:rsidTr="00CD7AB6">
      <w:trPr>
        <w:gridAfter w:val="1"/>
        <w:wAfter w:w="18" w:type="dxa"/>
        <w:trHeight w:hRule="exact" w:val="2880"/>
      </w:trPr>
      <w:tc>
        <w:tcPr>
          <w:tcW w:w="1267" w:type="dxa"/>
          <w:tcBorders>
            <w:top w:val="single" w:sz="4" w:space="0" w:color="auto"/>
            <w:bottom w:val="single" w:sz="12" w:space="0" w:color="auto"/>
          </w:tcBorders>
          <w:shd w:val="clear" w:color="auto" w:fill="auto"/>
        </w:tcPr>
        <w:p w:rsidR="00BF2B88" w:rsidRPr="00CD7AB6" w:rsidRDefault="00BF2B88" w:rsidP="00CD7AB6">
          <w:pPr>
            <w:pStyle w:val="En-tte"/>
            <w:spacing w:before="120" w:line="240" w:lineRule="auto"/>
            <w:ind w:left="-72"/>
            <w:jc w:val="center"/>
          </w:pPr>
          <w:r>
            <w:t xml:space="preserve">  </w:t>
          </w:r>
          <w:r>
            <w:rPr>
              <w:noProof/>
              <w:lang w:val="fr-FR" w:eastAsia="fr-FR"/>
            </w:rPr>
            <w:drawing>
              <wp:inline distT="0" distB="0" distL="0" distR="0">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BF2B88" w:rsidRPr="00CD7AB6" w:rsidRDefault="00BF2B88" w:rsidP="00CD7AB6">
          <w:pPr>
            <w:pStyle w:val="XLarge"/>
            <w:spacing w:before="109"/>
          </w:pPr>
          <w:r>
            <w:t>Conseil économique et social</w:t>
          </w:r>
        </w:p>
      </w:tc>
      <w:tc>
        <w:tcPr>
          <w:tcW w:w="245" w:type="dxa"/>
          <w:tcBorders>
            <w:top w:val="single" w:sz="4" w:space="0" w:color="auto"/>
            <w:bottom w:val="single" w:sz="12" w:space="0" w:color="auto"/>
          </w:tcBorders>
          <w:shd w:val="clear" w:color="auto" w:fill="auto"/>
        </w:tcPr>
        <w:p w:rsidR="00BF2B88" w:rsidRPr="00CD7AB6" w:rsidRDefault="00BF2B88" w:rsidP="00CD7AB6">
          <w:pPr>
            <w:pStyle w:val="En-tte"/>
            <w:spacing w:before="109"/>
          </w:pPr>
        </w:p>
      </w:tc>
      <w:tc>
        <w:tcPr>
          <w:tcW w:w="3280" w:type="dxa"/>
          <w:tcBorders>
            <w:top w:val="single" w:sz="4" w:space="0" w:color="auto"/>
            <w:bottom w:val="single" w:sz="12" w:space="0" w:color="auto"/>
          </w:tcBorders>
          <w:shd w:val="clear" w:color="auto" w:fill="auto"/>
        </w:tcPr>
        <w:p w:rsidR="00BF2B88" w:rsidRPr="00311A01" w:rsidRDefault="00BF2B88" w:rsidP="00CD7AB6">
          <w:pPr>
            <w:pStyle w:val="Distribution"/>
            <w:rPr>
              <w:color w:val="000000"/>
              <w:lang w:val="fr-CH"/>
            </w:rPr>
          </w:pPr>
          <w:proofErr w:type="spellStart"/>
          <w:r w:rsidRPr="00311A01">
            <w:rPr>
              <w:color w:val="000000"/>
              <w:lang w:val="fr-CH"/>
            </w:rPr>
            <w:t>Distr</w:t>
          </w:r>
          <w:proofErr w:type="spellEnd"/>
          <w:r w:rsidRPr="00311A01">
            <w:rPr>
              <w:color w:val="000000"/>
              <w:lang w:val="fr-CH"/>
            </w:rPr>
            <w:t>. générale</w:t>
          </w:r>
        </w:p>
        <w:p w:rsidR="00BF2B88" w:rsidRPr="00311A01" w:rsidRDefault="00BF2B88" w:rsidP="00CD7AB6">
          <w:pPr>
            <w:pStyle w:val="Publication"/>
            <w:rPr>
              <w:color w:val="000000"/>
              <w:lang w:val="fr-CH"/>
            </w:rPr>
          </w:pPr>
          <w:r w:rsidRPr="00311A01">
            <w:rPr>
              <w:color w:val="000000"/>
              <w:lang w:val="fr-CH"/>
            </w:rPr>
            <w:t>22 juin 2015</w:t>
          </w:r>
        </w:p>
        <w:p w:rsidR="00BF2B88" w:rsidRPr="00311A01" w:rsidRDefault="00BF2B88" w:rsidP="00CD7AB6">
          <w:pPr>
            <w:rPr>
              <w:lang w:val="fr-CH"/>
            </w:rPr>
          </w:pPr>
          <w:r w:rsidRPr="00311A01">
            <w:rPr>
              <w:lang w:val="fr-CH"/>
            </w:rPr>
            <w:t>Français</w:t>
          </w:r>
        </w:p>
        <w:p w:rsidR="00BF2B88" w:rsidRPr="00311A01" w:rsidRDefault="00BF2B88" w:rsidP="00CD7AB6">
          <w:pPr>
            <w:pStyle w:val="Original"/>
            <w:rPr>
              <w:color w:val="000000"/>
              <w:lang w:val="fr-CH"/>
            </w:rPr>
          </w:pPr>
          <w:r w:rsidRPr="00311A01">
            <w:rPr>
              <w:color w:val="000000"/>
              <w:lang w:val="fr-CH"/>
            </w:rPr>
            <w:t>Original : anglais</w:t>
          </w:r>
        </w:p>
      </w:tc>
    </w:tr>
  </w:tbl>
  <w:p w:rsidR="00BF2B88" w:rsidRPr="00311A01" w:rsidRDefault="00BF2B88" w:rsidP="00CD7AB6">
    <w:pPr>
      <w:pStyle w:val="En-tte"/>
      <w:spacing w:line="240" w:lineRule="auto"/>
      <w:rPr>
        <w:sz w:val="2"/>
        <w:lang w:val="fr-CH"/>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12D06B23"/>
    <w:multiLevelType w:val="multilevel"/>
    <w:tmpl w:val="0A5CDD56"/>
    <w:lvl w:ilvl="0">
      <w:start w:val="1"/>
      <w:numFmt w:val="decimal"/>
      <w:pStyle w:val="Titre1"/>
      <w:suff w:val="space"/>
      <w:lvlText w:val="Chapter %1"/>
      <w:lvlJc w:val="left"/>
      <w:pPr>
        <w:ind w:left="0" w:firstLine="0"/>
      </w:pPr>
      <w:rPr>
        <w:rFonts w:ascii="Times New Roman" w:hAnsi="Times New Roman" w:hint="default"/>
        <w:color w:val="auto"/>
        <w:sz w:val="20"/>
      </w:rPr>
    </w:lvl>
    <w:lvl w:ilvl="1">
      <w:start w:val="1"/>
      <w:numFmt w:val="none"/>
      <w:pStyle w:val="Titre2"/>
      <w:suff w:val="nothing"/>
      <w:lvlText w:val=""/>
      <w:lvlJc w:val="left"/>
      <w:pPr>
        <w:ind w:left="0" w:firstLine="0"/>
      </w:pPr>
      <w:rPr>
        <w:rFonts w:hint="default"/>
      </w:rPr>
    </w:lvl>
    <w:lvl w:ilvl="2">
      <w:start w:val="1"/>
      <w:numFmt w:val="none"/>
      <w:pStyle w:val="Titre3"/>
      <w:suff w:val="nothing"/>
      <w:lvlText w:val=""/>
      <w:lvlJc w:val="left"/>
      <w:pPr>
        <w:ind w:left="0" w:firstLine="0"/>
      </w:pPr>
      <w:rPr>
        <w:rFonts w:hint="default"/>
      </w:rPr>
    </w:lvl>
    <w:lvl w:ilvl="3">
      <w:start w:val="1"/>
      <w:numFmt w:val="none"/>
      <w:pStyle w:val="Titre4"/>
      <w:suff w:val="nothing"/>
      <w:lvlText w:val=""/>
      <w:lvlJc w:val="left"/>
      <w:pPr>
        <w:ind w:left="0" w:firstLine="0"/>
      </w:pPr>
      <w:rPr>
        <w:rFonts w:hint="default"/>
      </w:rPr>
    </w:lvl>
    <w:lvl w:ilvl="4">
      <w:start w:val="1"/>
      <w:numFmt w:val="none"/>
      <w:pStyle w:val="Titre5"/>
      <w:suff w:val="nothing"/>
      <w:lvlText w:val=""/>
      <w:lvlJc w:val="left"/>
      <w:pPr>
        <w:ind w:left="0" w:firstLine="0"/>
      </w:pPr>
      <w:rPr>
        <w:rFonts w:hint="default"/>
      </w:rPr>
    </w:lvl>
    <w:lvl w:ilvl="5">
      <w:start w:val="1"/>
      <w:numFmt w:val="none"/>
      <w:pStyle w:val="Titre6"/>
      <w:suff w:val="nothing"/>
      <w:lvlText w:val=""/>
      <w:lvlJc w:val="left"/>
      <w:pPr>
        <w:ind w:left="0" w:firstLine="0"/>
      </w:pPr>
      <w:rPr>
        <w:rFonts w:hint="default"/>
      </w:rPr>
    </w:lvl>
    <w:lvl w:ilvl="6">
      <w:start w:val="1"/>
      <w:numFmt w:val="none"/>
      <w:pStyle w:val="Titre7"/>
      <w:suff w:val="nothing"/>
      <w:lvlText w:val=""/>
      <w:lvlJc w:val="left"/>
      <w:pPr>
        <w:ind w:left="0" w:firstLine="0"/>
      </w:pPr>
      <w:rPr>
        <w:rFonts w:hint="default"/>
      </w:rPr>
    </w:lvl>
    <w:lvl w:ilvl="7">
      <w:start w:val="1"/>
      <w:numFmt w:val="none"/>
      <w:pStyle w:val="Titre8"/>
      <w:suff w:val="nothing"/>
      <w:lvlText w:val=""/>
      <w:lvlJc w:val="left"/>
      <w:pPr>
        <w:ind w:left="0" w:firstLine="0"/>
      </w:pPr>
      <w:rPr>
        <w:rFonts w:hint="default"/>
      </w:rPr>
    </w:lvl>
    <w:lvl w:ilvl="8">
      <w:start w:val="1"/>
      <w:numFmt w:val="none"/>
      <w:pStyle w:val="Titre9"/>
      <w:suff w:val="nothing"/>
      <w:lvlText w:val=""/>
      <w:lvlJc w:val="left"/>
      <w:pPr>
        <w:ind w:left="0" w:firstLine="0"/>
      </w:pPr>
      <w:rPr>
        <w:rFonts w:hint="default"/>
      </w:rPr>
    </w:lvl>
  </w:abstractNum>
  <w:abstractNum w:abstractNumId="2">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4EE75D3"/>
    <w:multiLevelType w:val="singleLevel"/>
    <w:tmpl w:val="A0BE1074"/>
    <w:lvl w:ilvl="0">
      <w:start w:val="1"/>
      <w:numFmt w:val="decimal"/>
      <w:lvlRestart w:val="0"/>
      <w:lvlText w:val="%1."/>
      <w:lvlJc w:val="left"/>
      <w:pPr>
        <w:tabs>
          <w:tab w:val="num" w:pos="475"/>
        </w:tabs>
        <w:ind w:left="0" w:firstLine="0"/>
      </w:pPr>
      <w:rPr>
        <w:w w:val="100"/>
      </w:rPr>
    </w:lvl>
  </w:abstractNum>
  <w:abstractNum w:abstractNumId="6">
    <w:nsid w:val="58673D51"/>
    <w:multiLevelType w:val="hybridMultilevel"/>
    <w:tmpl w:val="7168FF04"/>
    <w:lvl w:ilvl="0" w:tplc="6150C3C2">
      <w:start w:val="1"/>
      <w:numFmt w:val="decimal"/>
      <w:lvlText w:val="%1."/>
      <w:lvlJc w:val="left"/>
      <w:pPr>
        <w:ind w:left="1747" w:hanging="48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7">
    <w:nsid w:val="7C4A721C"/>
    <w:multiLevelType w:val="singleLevel"/>
    <w:tmpl w:val="A0BE1074"/>
    <w:lvl w:ilvl="0">
      <w:start w:val="1"/>
      <w:numFmt w:val="decimal"/>
      <w:lvlRestart w:val="0"/>
      <w:lvlText w:val="%1."/>
      <w:lvlJc w:val="left"/>
      <w:pPr>
        <w:tabs>
          <w:tab w:val="num" w:pos="475"/>
        </w:tabs>
        <w:ind w:left="0" w:firstLine="0"/>
      </w:pPr>
      <w:rPr>
        <w:w w:val="100"/>
      </w:rPr>
    </w:lvl>
  </w:abstractNum>
  <w:num w:numId="1">
    <w:abstractNumId w:val="1"/>
  </w:num>
  <w:num w:numId="2">
    <w:abstractNumId w:val="0"/>
  </w:num>
  <w:num w:numId="3">
    <w:abstractNumId w:val="2"/>
  </w:num>
  <w:num w:numId="4">
    <w:abstractNumId w:val="4"/>
  </w:num>
  <w:num w:numId="5">
    <w:abstractNumId w:val="3"/>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grammar="clean"/>
  <w:stylePaneSortMethod w:val="0003"/>
  <w:defaultTabStop w:val="475"/>
  <w:hyphenationZone w:val="425"/>
  <w:doNotHyphenateCaps/>
  <w:evenAndOddHeaders/>
  <w:characterSpacingControl w:val="doNotCompress"/>
  <w:hdrShapeDefaults>
    <o:shapedefaults v:ext="edit" spidmax="16385"/>
  </w:hdrShapeDefaults>
  <w:footnotePr>
    <w:footnote w:id="-1"/>
    <w:footnote w:id="0"/>
  </w:footnotePr>
  <w:endnotePr>
    <w:pos w:val="sectEnd"/>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
  <w:docVars>
    <w:docVar w:name="Barcode" w:val="*1510232*"/>
    <w:docVar w:name="CreationDt" w:val="7/28/2015 4:33: PM"/>
    <w:docVar w:name="DocCategory" w:val="Doc"/>
    <w:docVar w:name="DocType" w:val="Final"/>
    <w:docVar w:name="DutyStation" w:val="Geneva"/>
    <w:docVar w:name="FooterJN" w:val="GE.15-10232"/>
    <w:docVar w:name="jobn" w:val="GE.15-10232 (F)"/>
    <w:docVar w:name="jobnDT" w:val="GE.15-10232 (F)   280715"/>
    <w:docVar w:name="jobnDTDT" w:val="GE.15-10232 (F)   280715   280715"/>
    <w:docVar w:name="JobNo" w:val="GE.1510232F"/>
    <w:docVar w:name="JobNo2" w:val="GE.1513135F"/>
    <w:docVar w:name="LocalDrive" w:val="0"/>
    <w:docVar w:name="OandT" w:val="M. Deschamps"/>
    <w:docVar w:name="PaperSize" w:val="A4"/>
    <w:docVar w:name="sss1" w:val="ECE/TRANS/WP.15/AC.1/2015/34"/>
    <w:docVar w:name="sss2" w:val="-"/>
    <w:docVar w:name="Symbol1" w:val="ECE/TRANS/WP.15/AC.1/2015/34"/>
    <w:docVar w:name="Symbol2" w:val="-"/>
  </w:docVars>
  <w:rsids>
    <w:rsidRoot w:val="0068352D"/>
    <w:rsid w:val="000015B8"/>
    <w:rsid w:val="0000226F"/>
    <w:rsid w:val="000046A5"/>
    <w:rsid w:val="000055FB"/>
    <w:rsid w:val="00012868"/>
    <w:rsid w:val="00016483"/>
    <w:rsid w:val="00022173"/>
    <w:rsid w:val="0002226F"/>
    <w:rsid w:val="00022B4A"/>
    <w:rsid w:val="000242EE"/>
    <w:rsid w:val="000249FF"/>
    <w:rsid w:val="00025DE5"/>
    <w:rsid w:val="000274C2"/>
    <w:rsid w:val="00033DC9"/>
    <w:rsid w:val="0003677B"/>
    <w:rsid w:val="000378DE"/>
    <w:rsid w:val="00040497"/>
    <w:rsid w:val="00046145"/>
    <w:rsid w:val="00050D9C"/>
    <w:rsid w:val="00054482"/>
    <w:rsid w:val="0005669A"/>
    <w:rsid w:val="00057151"/>
    <w:rsid w:val="000571B5"/>
    <w:rsid w:val="000616D7"/>
    <w:rsid w:val="000636D2"/>
    <w:rsid w:val="000643C1"/>
    <w:rsid w:val="000658A4"/>
    <w:rsid w:val="00065BD4"/>
    <w:rsid w:val="000675CF"/>
    <w:rsid w:val="00071173"/>
    <w:rsid w:val="0007246F"/>
    <w:rsid w:val="000746A5"/>
    <w:rsid w:val="000776CA"/>
    <w:rsid w:val="00077CC4"/>
    <w:rsid w:val="00082E47"/>
    <w:rsid w:val="00083D89"/>
    <w:rsid w:val="00085112"/>
    <w:rsid w:val="0008708F"/>
    <w:rsid w:val="00091BC1"/>
    <w:rsid w:val="00091DBD"/>
    <w:rsid w:val="000A18B6"/>
    <w:rsid w:val="000A24DE"/>
    <w:rsid w:val="000A2612"/>
    <w:rsid w:val="000A3AB1"/>
    <w:rsid w:val="000A4A47"/>
    <w:rsid w:val="000A74D1"/>
    <w:rsid w:val="000B0E9A"/>
    <w:rsid w:val="000B1A18"/>
    <w:rsid w:val="000B2CD0"/>
    <w:rsid w:val="000B3ED4"/>
    <w:rsid w:val="000B5AF0"/>
    <w:rsid w:val="000B6B84"/>
    <w:rsid w:val="000B7004"/>
    <w:rsid w:val="000C085A"/>
    <w:rsid w:val="000C349B"/>
    <w:rsid w:val="000C683C"/>
    <w:rsid w:val="000D44E3"/>
    <w:rsid w:val="000D5D82"/>
    <w:rsid w:val="000D66AC"/>
    <w:rsid w:val="000D7ED4"/>
    <w:rsid w:val="000E1550"/>
    <w:rsid w:val="000E1ABE"/>
    <w:rsid w:val="000F04A8"/>
    <w:rsid w:val="000F1B8A"/>
    <w:rsid w:val="000F299A"/>
    <w:rsid w:val="000F2B7B"/>
    <w:rsid w:val="000F36A0"/>
    <w:rsid w:val="000F53E9"/>
    <w:rsid w:val="000F6A05"/>
    <w:rsid w:val="000F6E7D"/>
    <w:rsid w:val="001027E2"/>
    <w:rsid w:val="0010575E"/>
    <w:rsid w:val="00106549"/>
    <w:rsid w:val="00107710"/>
    <w:rsid w:val="00107C97"/>
    <w:rsid w:val="0011255C"/>
    <w:rsid w:val="001126A7"/>
    <w:rsid w:val="00112FE9"/>
    <w:rsid w:val="0011497A"/>
    <w:rsid w:val="001156F7"/>
    <w:rsid w:val="00116149"/>
    <w:rsid w:val="00123812"/>
    <w:rsid w:val="001256F6"/>
    <w:rsid w:val="00126FB2"/>
    <w:rsid w:val="0013186C"/>
    <w:rsid w:val="00132A45"/>
    <w:rsid w:val="001359FA"/>
    <w:rsid w:val="00140666"/>
    <w:rsid w:val="0014233F"/>
    <w:rsid w:val="00143703"/>
    <w:rsid w:val="00144DE1"/>
    <w:rsid w:val="00145A1F"/>
    <w:rsid w:val="001466A3"/>
    <w:rsid w:val="00147051"/>
    <w:rsid w:val="001471CF"/>
    <w:rsid w:val="00151710"/>
    <w:rsid w:val="00151AC8"/>
    <w:rsid w:val="00155B70"/>
    <w:rsid w:val="00160E65"/>
    <w:rsid w:val="00161368"/>
    <w:rsid w:val="0016199B"/>
    <w:rsid w:val="00162C83"/>
    <w:rsid w:val="001639FC"/>
    <w:rsid w:val="00163D26"/>
    <w:rsid w:val="00164BB5"/>
    <w:rsid w:val="00166384"/>
    <w:rsid w:val="001709F1"/>
    <w:rsid w:val="00180387"/>
    <w:rsid w:val="00183EBF"/>
    <w:rsid w:val="00186793"/>
    <w:rsid w:val="0019082C"/>
    <w:rsid w:val="00192B1E"/>
    <w:rsid w:val="00192D05"/>
    <w:rsid w:val="00193896"/>
    <w:rsid w:val="00193A8C"/>
    <w:rsid w:val="001A2E2D"/>
    <w:rsid w:val="001A4BAA"/>
    <w:rsid w:val="001A4F4E"/>
    <w:rsid w:val="001A76F3"/>
    <w:rsid w:val="001B5583"/>
    <w:rsid w:val="001B5A24"/>
    <w:rsid w:val="001C0599"/>
    <w:rsid w:val="001C3C57"/>
    <w:rsid w:val="001C4664"/>
    <w:rsid w:val="001C4EBE"/>
    <w:rsid w:val="001C5B90"/>
    <w:rsid w:val="001D0E60"/>
    <w:rsid w:val="001D272D"/>
    <w:rsid w:val="001D280C"/>
    <w:rsid w:val="001D294E"/>
    <w:rsid w:val="001E44F3"/>
    <w:rsid w:val="001F053A"/>
    <w:rsid w:val="001F2DA6"/>
    <w:rsid w:val="001F31F6"/>
    <w:rsid w:val="001F4DBE"/>
    <w:rsid w:val="001F62AF"/>
    <w:rsid w:val="001F793D"/>
    <w:rsid w:val="001F7E9D"/>
    <w:rsid w:val="002021E9"/>
    <w:rsid w:val="00202789"/>
    <w:rsid w:val="00202F1F"/>
    <w:rsid w:val="00205199"/>
    <w:rsid w:val="00206598"/>
    <w:rsid w:val="00207CAA"/>
    <w:rsid w:val="0021168F"/>
    <w:rsid w:val="002178A7"/>
    <w:rsid w:val="002220FF"/>
    <w:rsid w:val="00237D01"/>
    <w:rsid w:val="00240F64"/>
    <w:rsid w:val="002410E3"/>
    <w:rsid w:val="00241F29"/>
    <w:rsid w:val="00243D1C"/>
    <w:rsid w:val="00245B48"/>
    <w:rsid w:val="00246425"/>
    <w:rsid w:val="00252402"/>
    <w:rsid w:val="002526B2"/>
    <w:rsid w:val="00254656"/>
    <w:rsid w:val="0025545A"/>
    <w:rsid w:val="00256402"/>
    <w:rsid w:val="0026179C"/>
    <w:rsid w:val="00261E82"/>
    <w:rsid w:val="0026332C"/>
    <w:rsid w:val="0026552F"/>
    <w:rsid w:val="0026565F"/>
    <w:rsid w:val="00266AFD"/>
    <w:rsid w:val="002730C7"/>
    <w:rsid w:val="0027435B"/>
    <w:rsid w:val="00276E85"/>
    <w:rsid w:val="00280143"/>
    <w:rsid w:val="00280E2F"/>
    <w:rsid w:val="002810F0"/>
    <w:rsid w:val="00281BC7"/>
    <w:rsid w:val="00285DC4"/>
    <w:rsid w:val="00286531"/>
    <w:rsid w:val="002867C7"/>
    <w:rsid w:val="0029018C"/>
    <w:rsid w:val="002A07EF"/>
    <w:rsid w:val="002A27E5"/>
    <w:rsid w:val="002A3547"/>
    <w:rsid w:val="002A5A1C"/>
    <w:rsid w:val="002A69DB"/>
    <w:rsid w:val="002B037D"/>
    <w:rsid w:val="002B0B88"/>
    <w:rsid w:val="002B1D15"/>
    <w:rsid w:val="002B4A7F"/>
    <w:rsid w:val="002B5928"/>
    <w:rsid w:val="002C3640"/>
    <w:rsid w:val="002C3FD3"/>
    <w:rsid w:val="002C419A"/>
    <w:rsid w:val="002C472D"/>
    <w:rsid w:val="002C77CF"/>
    <w:rsid w:val="002D45C0"/>
    <w:rsid w:val="002D5981"/>
    <w:rsid w:val="002D7EC0"/>
    <w:rsid w:val="002D7EFC"/>
    <w:rsid w:val="002E11E9"/>
    <w:rsid w:val="002E1745"/>
    <w:rsid w:val="002E20E0"/>
    <w:rsid w:val="002E2420"/>
    <w:rsid w:val="002E2E27"/>
    <w:rsid w:val="002E3850"/>
    <w:rsid w:val="002E3856"/>
    <w:rsid w:val="002E420C"/>
    <w:rsid w:val="002E56C8"/>
    <w:rsid w:val="002E6344"/>
    <w:rsid w:val="002E76EC"/>
    <w:rsid w:val="002E79AF"/>
    <w:rsid w:val="002F048A"/>
    <w:rsid w:val="002F0E01"/>
    <w:rsid w:val="002F1E33"/>
    <w:rsid w:val="002F43EF"/>
    <w:rsid w:val="002F5482"/>
    <w:rsid w:val="002F5972"/>
    <w:rsid w:val="00303A3C"/>
    <w:rsid w:val="00303D82"/>
    <w:rsid w:val="00303E4E"/>
    <w:rsid w:val="003047D2"/>
    <w:rsid w:val="00306DE1"/>
    <w:rsid w:val="0030788D"/>
    <w:rsid w:val="00311A01"/>
    <w:rsid w:val="00316628"/>
    <w:rsid w:val="00316B58"/>
    <w:rsid w:val="003235C7"/>
    <w:rsid w:val="00326270"/>
    <w:rsid w:val="00327326"/>
    <w:rsid w:val="00332A87"/>
    <w:rsid w:val="003342DF"/>
    <w:rsid w:val="00334FEB"/>
    <w:rsid w:val="00337015"/>
    <w:rsid w:val="003406CA"/>
    <w:rsid w:val="00340736"/>
    <w:rsid w:val="00343F8A"/>
    <w:rsid w:val="003441A5"/>
    <w:rsid w:val="00345A0D"/>
    <w:rsid w:val="003506F1"/>
    <w:rsid w:val="003555DE"/>
    <w:rsid w:val="00355810"/>
    <w:rsid w:val="003559A7"/>
    <w:rsid w:val="00356B67"/>
    <w:rsid w:val="00362737"/>
    <w:rsid w:val="00362F57"/>
    <w:rsid w:val="00365932"/>
    <w:rsid w:val="003738C0"/>
    <w:rsid w:val="003810FF"/>
    <w:rsid w:val="003824F9"/>
    <w:rsid w:val="00384511"/>
    <w:rsid w:val="00385D78"/>
    <w:rsid w:val="003864EE"/>
    <w:rsid w:val="00386953"/>
    <w:rsid w:val="003909DD"/>
    <w:rsid w:val="00391295"/>
    <w:rsid w:val="00391342"/>
    <w:rsid w:val="00393A67"/>
    <w:rsid w:val="00393C9F"/>
    <w:rsid w:val="003942F1"/>
    <w:rsid w:val="00395031"/>
    <w:rsid w:val="00395EB8"/>
    <w:rsid w:val="003968AB"/>
    <w:rsid w:val="00396ABF"/>
    <w:rsid w:val="00397343"/>
    <w:rsid w:val="003A2037"/>
    <w:rsid w:val="003A4ED6"/>
    <w:rsid w:val="003A56DC"/>
    <w:rsid w:val="003B411E"/>
    <w:rsid w:val="003B445F"/>
    <w:rsid w:val="003B49BF"/>
    <w:rsid w:val="003B60DA"/>
    <w:rsid w:val="003B60EE"/>
    <w:rsid w:val="003B668A"/>
    <w:rsid w:val="003C012D"/>
    <w:rsid w:val="003C222D"/>
    <w:rsid w:val="003C252F"/>
    <w:rsid w:val="003C6DDA"/>
    <w:rsid w:val="003C7AEA"/>
    <w:rsid w:val="003C7D21"/>
    <w:rsid w:val="003D15A3"/>
    <w:rsid w:val="003D35C1"/>
    <w:rsid w:val="003D635C"/>
    <w:rsid w:val="003D7BC4"/>
    <w:rsid w:val="003E1642"/>
    <w:rsid w:val="003E3E2D"/>
    <w:rsid w:val="003E3E48"/>
    <w:rsid w:val="003E47D8"/>
    <w:rsid w:val="003E4E03"/>
    <w:rsid w:val="003F108A"/>
    <w:rsid w:val="003F27A0"/>
    <w:rsid w:val="003F57D1"/>
    <w:rsid w:val="00401219"/>
    <w:rsid w:val="004016C8"/>
    <w:rsid w:val="004039C7"/>
    <w:rsid w:val="004065B7"/>
    <w:rsid w:val="004066EB"/>
    <w:rsid w:val="00406E1E"/>
    <w:rsid w:val="00414C9D"/>
    <w:rsid w:val="00415A2B"/>
    <w:rsid w:val="00416293"/>
    <w:rsid w:val="004204AE"/>
    <w:rsid w:val="0042753D"/>
    <w:rsid w:val="004309B5"/>
    <w:rsid w:val="0043103D"/>
    <w:rsid w:val="00432662"/>
    <w:rsid w:val="004342B2"/>
    <w:rsid w:val="0044092D"/>
    <w:rsid w:val="00441593"/>
    <w:rsid w:val="00443A00"/>
    <w:rsid w:val="00444609"/>
    <w:rsid w:val="004448E6"/>
    <w:rsid w:val="00450D24"/>
    <w:rsid w:val="004511A5"/>
    <w:rsid w:val="00452DA5"/>
    <w:rsid w:val="00453DAB"/>
    <w:rsid w:val="0045423E"/>
    <w:rsid w:val="004548AC"/>
    <w:rsid w:val="00455176"/>
    <w:rsid w:val="00455E42"/>
    <w:rsid w:val="00457D04"/>
    <w:rsid w:val="00460112"/>
    <w:rsid w:val="004627F7"/>
    <w:rsid w:val="004638A8"/>
    <w:rsid w:val="00464787"/>
    <w:rsid w:val="004669E9"/>
    <w:rsid w:val="00472794"/>
    <w:rsid w:val="00475871"/>
    <w:rsid w:val="00475F9F"/>
    <w:rsid w:val="00476698"/>
    <w:rsid w:val="00477592"/>
    <w:rsid w:val="004814BB"/>
    <w:rsid w:val="00481634"/>
    <w:rsid w:val="0048306D"/>
    <w:rsid w:val="00487428"/>
    <w:rsid w:val="00491CD5"/>
    <w:rsid w:val="00492DC3"/>
    <w:rsid w:val="004973EC"/>
    <w:rsid w:val="004A0AA6"/>
    <w:rsid w:val="004A12BA"/>
    <w:rsid w:val="004A186E"/>
    <w:rsid w:val="004A2319"/>
    <w:rsid w:val="004A2455"/>
    <w:rsid w:val="004A698E"/>
    <w:rsid w:val="004A7606"/>
    <w:rsid w:val="004B7E99"/>
    <w:rsid w:val="004C1A6A"/>
    <w:rsid w:val="004C304C"/>
    <w:rsid w:val="004C5C41"/>
    <w:rsid w:val="004C731C"/>
    <w:rsid w:val="004D13C8"/>
    <w:rsid w:val="004D4F44"/>
    <w:rsid w:val="004D5D20"/>
    <w:rsid w:val="004D6212"/>
    <w:rsid w:val="004D789D"/>
    <w:rsid w:val="004E0FB8"/>
    <w:rsid w:val="004E272F"/>
    <w:rsid w:val="004E2B64"/>
    <w:rsid w:val="004E4258"/>
    <w:rsid w:val="004E47A4"/>
    <w:rsid w:val="004F1F9F"/>
    <w:rsid w:val="004F2765"/>
    <w:rsid w:val="004F53F0"/>
    <w:rsid w:val="004F69D3"/>
    <w:rsid w:val="004F6B7C"/>
    <w:rsid w:val="005049A9"/>
    <w:rsid w:val="00505F1C"/>
    <w:rsid w:val="0050603C"/>
    <w:rsid w:val="00506B44"/>
    <w:rsid w:val="005100BC"/>
    <w:rsid w:val="00513920"/>
    <w:rsid w:val="0051451F"/>
    <w:rsid w:val="0051666F"/>
    <w:rsid w:val="0051772A"/>
    <w:rsid w:val="00517C16"/>
    <w:rsid w:val="00517E8B"/>
    <w:rsid w:val="00520271"/>
    <w:rsid w:val="00520B7B"/>
    <w:rsid w:val="00522657"/>
    <w:rsid w:val="00523069"/>
    <w:rsid w:val="00523378"/>
    <w:rsid w:val="0052413A"/>
    <w:rsid w:val="00525A3D"/>
    <w:rsid w:val="00527615"/>
    <w:rsid w:val="00527DD0"/>
    <w:rsid w:val="00533905"/>
    <w:rsid w:val="005372C0"/>
    <w:rsid w:val="00541630"/>
    <w:rsid w:val="0054168D"/>
    <w:rsid w:val="00542357"/>
    <w:rsid w:val="00551176"/>
    <w:rsid w:val="00551EAE"/>
    <w:rsid w:val="00552150"/>
    <w:rsid w:val="005522D6"/>
    <w:rsid w:val="005669CA"/>
    <w:rsid w:val="00575199"/>
    <w:rsid w:val="00577899"/>
    <w:rsid w:val="00577BDD"/>
    <w:rsid w:val="005811A3"/>
    <w:rsid w:val="00583566"/>
    <w:rsid w:val="00584E7A"/>
    <w:rsid w:val="00585CA8"/>
    <w:rsid w:val="00585DEA"/>
    <w:rsid w:val="0058795C"/>
    <w:rsid w:val="00590A88"/>
    <w:rsid w:val="00591AA0"/>
    <w:rsid w:val="0059357F"/>
    <w:rsid w:val="00593781"/>
    <w:rsid w:val="00594AE2"/>
    <w:rsid w:val="00596647"/>
    <w:rsid w:val="00597106"/>
    <w:rsid w:val="00597A85"/>
    <w:rsid w:val="005A037D"/>
    <w:rsid w:val="005A0DEC"/>
    <w:rsid w:val="005A1E12"/>
    <w:rsid w:val="005A305D"/>
    <w:rsid w:val="005A6A6E"/>
    <w:rsid w:val="005A6D92"/>
    <w:rsid w:val="005A6DD6"/>
    <w:rsid w:val="005A7976"/>
    <w:rsid w:val="005B33A4"/>
    <w:rsid w:val="005B5D99"/>
    <w:rsid w:val="005B74B8"/>
    <w:rsid w:val="005C1353"/>
    <w:rsid w:val="005C3A63"/>
    <w:rsid w:val="005C4E53"/>
    <w:rsid w:val="005C65C2"/>
    <w:rsid w:val="005D423B"/>
    <w:rsid w:val="005D76DE"/>
    <w:rsid w:val="005D7CA9"/>
    <w:rsid w:val="005F12E0"/>
    <w:rsid w:val="005F2726"/>
    <w:rsid w:val="005F2A30"/>
    <w:rsid w:val="005F2FA6"/>
    <w:rsid w:val="005F35C5"/>
    <w:rsid w:val="005F6A9F"/>
    <w:rsid w:val="005F6E3F"/>
    <w:rsid w:val="0060033F"/>
    <w:rsid w:val="00603211"/>
    <w:rsid w:val="0060375B"/>
    <w:rsid w:val="00606A0C"/>
    <w:rsid w:val="00607448"/>
    <w:rsid w:val="0060792E"/>
    <w:rsid w:val="00611860"/>
    <w:rsid w:val="00611DA0"/>
    <w:rsid w:val="00612407"/>
    <w:rsid w:val="006125AC"/>
    <w:rsid w:val="00617EBE"/>
    <w:rsid w:val="0062117B"/>
    <w:rsid w:val="00622055"/>
    <w:rsid w:val="0062239C"/>
    <w:rsid w:val="006230E2"/>
    <w:rsid w:val="00632332"/>
    <w:rsid w:val="00632BB8"/>
    <w:rsid w:val="006361EE"/>
    <w:rsid w:val="0063657E"/>
    <w:rsid w:val="00636EB6"/>
    <w:rsid w:val="006407EF"/>
    <w:rsid w:val="006423E0"/>
    <w:rsid w:val="00646F60"/>
    <w:rsid w:val="0064762B"/>
    <w:rsid w:val="00650623"/>
    <w:rsid w:val="0065129E"/>
    <w:rsid w:val="006512C8"/>
    <w:rsid w:val="00653CD3"/>
    <w:rsid w:val="00656E62"/>
    <w:rsid w:val="006573FC"/>
    <w:rsid w:val="00660D00"/>
    <w:rsid w:val="00662686"/>
    <w:rsid w:val="00665605"/>
    <w:rsid w:val="00665692"/>
    <w:rsid w:val="006660B5"/>
    <w:rsid w:val="00671687"/>
    <w:rsid w:val="00673F2C"/>
    <w:rsid w:val="00675A53"/>
    <w:rsid w:val="006770E8"/>
    <w:rsid w:val="006803F5"/>
    <w:rsid w:val="006817AB"/>
    <w:rsid w:val="0068352D"/>
    <w:rsid w:val="006853D8"/>
    <w:rsid w:val="006866E8"/>
    <w:rsid w:val="00687FB1"/>
    <w:rsid w:val="006949F9"/>
    <w:rsid w:val="0069608C"/>
    <w:rsid w:val="00697952"/>
    <w:rsid w:val="006A04E6"/>
    <w:rsid w:val="006A0B3D"/>
    <w:rsid w:val="006A2F71"/>
    <w:rsid w:val="006A5910"/>
    <w:rsid w:val="006B1ABC"/>
    <w:rsid w:val="006B64BE"/>
    <w:rsid w:val="006B7165"/>
    <w:rsid w:val="006C1A92"/>
    <w:rsid w:val="006C3AE3"/>
    <w:rsid w:val="006C3BDD"/>
    <w:rsid w:val="006C449D"/>
    <w:rsid w:val="006D0C9B"/>
    <w:rsid w:val="006D1115"/>
    <w:rsid w:val="006D138E"/>
    <w:rsid w:val="006D1B76"/>
    <w:rsid w:val="006D5832"/>
    <w:rsid w:val="006E215F"/>
    <w:rsid w:val="006E3D5C"/>
    <w:rsid w:val="006E4078"/>
    <w:rsid w:val="006E4E12"/>
    <w:rsid w:val="006E5649"/>
    <w:rsid w:val="006F41DD"/>
    <w:rsid w:val="006F5A33"/>
    <w:rsid w:val="006F6787"/>
    <w:rsid w:val="006F6EDD"/>
    <w:rsid w:val="006F7A25"/>
    <w:rsid w:val="007033D2"/>
    <w:rsid w:val="00704AF5"/>
    <w:rsid w:val="00704D11"/>
    <w:rsid w:val="0070555E"/>
    <w:rsid w:val="00707DF8"/>
    <w:rsid w:val="00711F00"/>
    <w:rsid w:val="0071328D"/>
    <w:rsid w:val="00721866"/>
    <w:rsid w:val="0072436A"/>
    <w:rsid w:val="00735F3A"/>
    <w:rsid w:val="00735FB1"/>
    <w:rsid w:val="007367E1"/>
    <w:rsid w:val="007379A0"/>
    <w:rsid w:val="00743131"/>
    <w:rsid w:val="0074339E"/>
    <w:rsid w:val="00744D58"/>
    <w:rsid w:val="00745376"/>
    <w:rsid w:val="0074587F"/>
    <w:rsid w:val="00750C8F"/>
    <w:rsid w:val="0075110B"/>
    <w:rsid w:val="007517F6"/>
    <w:rsid w:val="007531C9"/>
    <w:rsid w:val="007537B8"/>
    <w:rsid w:val="00754913"/>
    <w:rsid w:val="00755393"/>
    <w:rsid w:val="007553FC"/>
    <w:rsid w:val="00756175"/>
    <w:rsid w:val="00760F66"/>
    <w:rsid w:val="00761561"/>
    <w:rsid w:val="00762F97"/>
    <w:rsid w:val="0076382E"/>
    <w:rsid w:val="00763AE4"/>
    <w:rsid w:val="00765152"/>
    <w:rsid w:val="00767FBE"/>
    <w:rsid w:val="00770DEF"/>
    <w:rsid w:val="00770EB4"/>
    <w:rsid w:val="00772106"/>
    <w:rsid w:val="00772CF6"/>
    <w:rsid w:val="00772EB1"/>
    <w:rsid w:val="00774368"/>
    <w:rsid w:val="0077589C"/>
    <w:rsid w:val="00775BFD"/>
    <w:rsid w:val="007769D2"/>
    <w:rsid w:val="00780058"/>
    <w:rsid w:val="007804F4"/>
    <w:rsid w:val="00781F43"/>
    <w:rsid w:val="0078267A"/>
    <w:rsid w:val="00783270"/>
    <w:rsid w:val="0078374C"/>
    <w:rsid w:val="007842C1"/>
    <w:rsid w:val="007867FB"/>
    <w:rsid w:val="00790459"/>
    <w:rsid w:val="00790682"/>
    <w:rsid w:val="00790789"/>
    <w:rsid w:val="00791633"/>
    <w:rsid w:val="00792100"/>
    <w:rsid w:val="0079292B"/>
    <w:rsid w:val="0079302E"/>
    <w:rsid w:val="0079379B"/>
    <w:rsid w:val="0079452A"/>
    <w:rsid w:val="00794EC6"/>
    <w:rsid w:val="00794FED"/>
    <w:rsid w:val="00795AD7"/>
    <w:rsid w:val="007961E2"/>
    <w:rsid w:val="007A345A"/>
    <w:rsid w:val="007A78C2"/>
    <w:rsid w:val="007B05E9"/>
    <w:rsid w:val="007B1E17"/>
    <w:rsid w:val="007C0C1F"/>
    <w:rsid w:val="007C206E"/>
    <w:rsid w:val="007C2936"/>
    <w:rsid w:val="007C662A"/>
    <w:rsid w:val="007C7D7F"/>
    <w:rsid w:val="007D33BA"/>
    <w:rsid w:val="007D6FCB"/>
    <w:rsid w:val="007D7FD4"/>
    <w:rsid w:val="007E2FEB"/>
    <w:rsid w:val="007E74E9"/>
    <w:rsid w:val="007F0ED6"/>
    <w:rsid w:val="007F3DCC"/>
    <w:rsid w:val="007F49BD"/>
    <w:rsid w:val="007F6F95"/>
    <w:rsid w:val="007F77CB"/>
    <w:rsid w:val="00800903"/>
    <w:rsid w:val="008040BA"/>
    <w:rsid w:val="00804131"/>
    <w:rsid w:val="00804565"/>
    <w:rsid w:val="00806A3B"/>
    <w:rsid w:val="00807CA4"/>
    <w:rsid w:val="008100FD"/>
    <w:rsid w:val="008114C3"/>
    <w:rsid w:val="008173CF"/>
    <w:rsid w:val="00817884"/>
    <w:rsid w:val="00824BB0"/>
    <w:rsid w:val="0082537E"/>
    <w:rsid w:val="00833A79"/>
    <w:rsid w:val="00833BFF"/>
    <w:rsid w:val="0083677A"/>
    <w:rsid w:val="00837284"/>
    <w:rsid w:val="0083731D"/>
    <w:rsid w:val="008415FE"/>
    <w:rsid w:val="00842319"/>
    <w:rsid w:val="008435C2"/>
    <w:rsid w:val="00844B5C"/>
    <w:rsid w:val="00846431"/>
    <w:rsid w:val="00851353"/>
    <w:rsid w:val="008555BA"/>
    <w:rsid w:val="00856155"/>
    <w:rsid w:val="00856CD0"/>
    <w:rsid w:val="008579A6"/>
    <w:rsid w:val="00860226"/>
    <w:rsid w:val="00861D7A"/>
    <w:rsid w:val="00862E29"/>
    <w:rsid w:val="00863E44"/>
    <w:rsid w:val="0086499F"/>
    <w:rsid w:val="00865A5F"/>
    <w:rsid w:val="00867F04"/>
    <w:rsid w:val="008703DB"/>
    <w:rsid w:val="008710A1"/>
    <w:rsid w:val="0087489F"/>
    <w:rsid w:val="00875E49"/>
    <w:rsid w:val="0088158E"/>
    <w:rsid w:val="0088258D"/>
    <w:rsid w:val="008829F3"/>
    <w:rsid w:val="00882D4B"/>
    <w:rsid w:val="00887256"/>
    <w:rsid w:val="00890EF0"/>
    <w:rsid w:val="00891ADA"/>
    <w:rsid w:val="008962D4"/>
    <w:rsid w:val="008A3ABC"/>
    <w:rsid w:val="008A4C0E"/>
    <w:rsid w:val="008A51B3"/>
    <w:rsid w:val="008A5334"/>
    <w:rsid w:val="008A630B"/>
    <w:rsid w:val="008A734B"/>
    <w:rsid w:val="008B24ED"/>
    <w:rsid w:val="008B5932"/>
    <w:rsid w:val="008C1225"/>
    <w:rsid w:val="008C1646"/>
    <w:rsid w:val="008C189A"/>
    <w:rsid w:val="008C1E51"/>
    <w:rsid w:val="008C5E6B"/>
    <w:rsid w:val="008C6672"/>
    <w:rsid w:val="008D2DCF"/>
    <w:rsid w:val="008D3043"/>
    <w:rsid w:val="008D3318"/>
    <w:rsid w:val="008D4316"/>
    <w:rsid w:val="008D4C00"/>
    <w:rsid w:val="008D52CD"/>
    <w:rsid w:val="008D5C5F"/>
    <w:rsid w:val="008D613D"/>
    <w:rsid w:val="008D756B"/>
    <w:rsid w:val="008E4FFA"/>
    <w:rsid w:val="008E5CC1"/>
    <w:rsid w:val="008E6532"/>
    <w:rsid w:val="008E7FF5"/>
    <w:rsid w:val="008F125F"/>
    <w:rsid w:val="008F3DAE"/>
    <w:rsid w:val="008F6630"/>
    <w:rsid w:val="008F7622"/>
    <w:rsid w:val="0090311E"/>
    <w:rsid w:val="0090438E"/>
    <w:rsid w:val="0090451E"/>
    <w:rsid w:val="0090704E"/>
    <w:rsid w:val="009133F5"/>
    <w:rsid w:val="009141F9"/>
    <w:rsid w:val="00914786"/>
    <w:rsid w:val="00915680"/>
    <w:rsid w:val="0091610E"/>
    <w:rsid w:val="00916373"/>
    <w:rsid w:val="00916548"/>
    <w:rsid w:val="00916A77"/>
    <w:rsid w:val="00921B74"/>
    <w:rsid w:val="00921BE8"/>
    <w:rsid w:val="00922E3D"/>
    <w:rsid w:val="0093061B"/>
    <w:rsid w:val="009316DC"/>
    <w:rsid w:val="00931752"/>
    <w:rsid w:val="00932FDF"/>
    <w:rsid w:val="00936529"/>
    <w:rsid w:val="00940B65"/>
    <w:rsid w:val="0094133A"/>
    <w:rsid w:val="009419AD"/>
    <w:rsid w:val="00942880"/>
    <w:rsid w:val="0095064A"/>
    <w:rsid w:val="00951A0B"/>
    <w:rsid w:val="009535B3"/>
    <w:rsid w:val="00953A36"/>
    <w:rsid w:val="00955DBA"/>
    <w:rsid w:val="00957244"/>
    <w:rsid w:val="00962B98"/>
    <w:rsid w:val="00962CAC"/>
    <w:rsid w:val="00964BDE"/>
    <w:rsid w:val="009676D3"/>
    <w:rsid w:val="00971E24"/>
    <w:rsid w:val="009729BB"/>
    <w:rsid w:val="0098128C"/>
    <w:rsid w:val="009813FE"/>
    <w:rsid w:val="00983A9C"/>
    <w:rsid w:val="00983AC5"/>
    <w:rsid w:val="00983DD0"/>
    <w:rsid w:val="0098670F"/>
    <w:rsid w:val="00986E56"/>
    <w:rsid w:val="00990AFB"/>
    <w:rsid w:val="00991387"/>
    <w:rsid w:val="00993B88"/>
    <w:rsid w:val="00993D02"/>
    <w:rsid w:val="009943AB"/>
    <w:rsid w:val="00994740"/>
    <w:rsid w:val="009966B2"/>
    <w:rsid w:val="009966F8"/>
    <w:rsid w:val="009A059D"/>
    <w:rsid w:val="009A10C4"/>
    <w:rsid w:val="009A142A"/>
    <w:rsid w:val="009A17F4"/>
    <w:rsid w:val="009A22E0"/>
    <w:rsid w:val="009A325B"/>
    <w:rsid w:val="009A3FE3"/>
    <w:rsid w:val="009A4787"/>
    <w:rsid w:val="009A7DEC"/>
    <w:rsid w:val="009B0AF7"/>
    <w:rsid w:val="009B0BFB"/>
    <w:rsid w:val="009B4398"/>
    <w:rsid w:val="009B4EEC"/>
    <w:rsid w:val="009C1815"/>
    <w:rsid w:val="009C70D0"/>
    <w:rsid w:val="009C7F1B"/>
    <w:rsid w:val="009D5A2E"/>
    <w:rsid w:val="009E0573"/>
    <w:rsid w:val="009E06DE"/>
    <w:rsid w:val="009E246F"/>
    <w:rsid w:val="009E3DCA"/>
    <w:rsid w:val="009E76A1"/>
    <w:rsid w:val="009F004A"/>
    <w:rsid w:val="009F1FA0"/>
    <w:rsid w:val="009F235E"/>
    <w:rsid w:val="009F29EB"/>
    <w:rsid w:val="009F2D3B"/>
    <w:rsid w:val="009F3C78"/>
    <w:rsid w:val="009F5ACE"/>
    <w:rsid w:val="009F7FE9"/>
    <w:rsid w:val="00A00A92"/>
    <w:rsid w:val="00A02426"/>
    <w:rsid w:val="00A0589C"/>
    <w:rsid w:val="00A06CAB"/>
    <w:rsid w:val="00A12A69"/>
    <w:rsid w:val="00A12DBB"/>
    <w:rsid w:val="00A150A7"/>
    <w:rsid w:val="00A151B8"/>
    <w:rsid w:val="00A157E7"/>
    <w:rsid w:val="00A210DD"/>
    <w:rsid w:val="00A21443"/>
    <w:rsid w:val="00A22ED0"/>
    <w:rsid w:val="00A24099"/>
    <w:rsid w:val="00A26389"/>
    <w:rsid w:val="00A264B0"/>
    <w:rsid w:val="00A2768E"/>
    <w:rsid w:val="00A33E3C"/>
    <w:rsid w:val="00A3426E"/>
    <w:rsid w:val="00A353ED"/>
    <w:rsid w:val="00A375D9"/>
    <w:rsid w:val="00A4236C"/>
    <w:rsid w:val="00A43CAC"/>
    <w:rsid w:val="00A45E20"/>
    <w:rsid w:val="00A46DB8"/>
    <w:rsid w:val="00A52DF2"/>
    <w:rsid w:val="00A55810"/>
    <w:rsid w:val="00A56E3B"/>
    <w:rsid w:val="00A57C5A"/>
    <w:rsid w:val="00A64AD2"/>
    <w:rsid w:val="00A72C1F"/>
    <w:rsid w:val="00A75482"/>
    <w:rsid w:val="00A81229"/>
    <w:rsid w:val="00A83E5E"/>
    <w:rsid w:val="00A84C12"/>
    <w:rsid w:val="00A85CA4"/>
    <w:rsid w:val="00A85D04"/>
    <w:rsid w:val="00A85DB4"/>
    <w:rsid w:val="00A86044"/>
    <w:rsid w:val="00A96709"/>
    <w:rsid w:val="00A97EBD"/>
    <w:rsid w:val="00AA260F"/>
    <w:rsid w:val="00AA5F19"/>
    <w:rsid w:val="00AA750A"/>
    <w:rsid w:val="00AB001C"/>
    <w:rsid w:val="00AB37EB"/>
    <w:rsid w:val="00AB39C5"/>
    <w:rsid w:val="00AB4438"/>
    <w:rsid w:val="00AB4466"/>
    <w:rsid w:val="00AB6814"/>
    <w:rsid w:val="00AB6863"/>
    <w:rsid w:val="00AB6BE3"/>
    <w:rsid w:val="00AB71F3"/>
    <w:rsid w:val="00AC0555"/>
    <w:rsid w:val="00AC625F"/>
    <w:rsid w:val="00AC67C3"/>
    <w:rsid w:val="00AC6CA3"/>
    <w:rsid w:val="00AC6DB5"/>
    <w:rsid w:val="00AD3D04"/>
    <w:rsid w:val="00AD500D"/>
    <w:rsid w:val="00AD7C27"/>
    <w:rsid w:val="00AE0DF0"/>
    <w:rsid w:val="00AE10E9"/>
    <w:rsid w:val="00AE164F"/>
    <w:rsid w:val="00AE73A1"/>
    <w:rsid w:val="00AF2C49"/>
    <w:rsid w:val="00AF4648"/>
    <w:rsid w:val="00AF4DD3"/>
    <w:rsid w:val="00AF6B78"/>
    <w:rsid w:val="00B01631"/>
    <w:rsid w:val="00B01D80"/>
    <w:rsid w:val="00B05198"/>
    <w:rsid w:val="00B062CD"/>
    <w:rsid w:val="00B06C4C"/>
    <w:rsid w:val="00B10640"/>
    <w:rsid w:val="00B10BF5"/>
    <w:rsid w:val="00B145B5"/>
    <w:rsid w:val="00B152AC"/>
    <w:rsid w:val="00B16C8B"/>
    <w:rsid w:val="00B20969"/>
    <w:rsid w:val="00B22BE8"/>
    <w:rsid w:val="00B2356B"/>
    <w:rsid w:val="00B249F3"/>
    <w:rsid w:val="00B25B74"/>
    <w:rsid w:val="00B26B93"/>
    <w:rsid w:val="00B26C0B"/>
    <w:rsid w:val="00B27126"/>
    <w:rsid w:val="00B32CDE"/>
    <w:rsid w:val="00B34990"/>
    <w:rsid w:val="00B362BE"/>
    <w:rsid w:val="00B363A2"/>
    <w:rsid w:val="00B37213"/>
    <w:rsid w:val="00B41711"/>
    <w:rsid w:val="00B503F3"/>
    <w:rsid w:val="00B504C9"/>
    <w:rsid w:val="00B52A47"/>
    <w:rsid w:val="00B53FB4"/>
    <w:rsid w:val="00B541C6"/>
    <w:rsid w:val="00B556DD"/>
    <w:rsid w:val="00B5798F"/>
    <w:rsid w:val="00B61CB4"/>
    <w:rsid w:val="00B65DB9"/>
    <w:rsid w:val="00B66644"/>
    <w:rsid w:val="00B67756"/>
    <w:rsid w:val="00B70DA9"/>
    <w:rsid w:val="00B712B0"/>
    <w:rsid w:val="00B71802"/>
    <w:rsid w:val="00B7200B"/>
    <w:rsid w:val="00B77EB8"/>
    <w:rsid w:val="00B81A2A"/>
    <w:rsid w:val="00B84109"/>
    <w:rsid w:val="00B85BDA"/>
    <w:rsid w:val="00B8625A"/>
    <w:rsid w:val="00B870D6"/>
    <w:rsid w:val="00B874A9"/>
    <w:rsid w:val="00B932C8"/>
    <w:rsid w:val="00B93B31"/>
    <w:rsid w:val="00B9457F"/>
    <w:rsid w:val="00B965BF"/>
    <w:rsid w:val="00BA06B1"/>
    <w:rsid w:val="00BA3125"/>
    <w:rsid w:val="00BA3654"/>
    <w:rsid w:val="00BA600B"/>
    <w:rsid w:val="00BB06B3"/>
    <w:rsid w:val="00BC0F9A"/>
    <w:rsid w:val="00BC43E2"/>
    <w:rsid w:val="00BD0917"/>
    <w:rsid w:val="00BD1607"/>
    <w:rsid w:val="00BD2394"/>
    <w:rsid w:val="00BD45A0"/>
    <w:rsid w:val="00BD7F62"/>
    <w:rsid w:val="00BE1D55"/>
    <w:rsid w:val="00BE2F51"/>
    <w:rsid w:val="00BE3214"/>
    <w:rsid w:val="00BE5325"/>
    <w:rsid w:val="00BE5439"/>
    <w:rsid w:val="00BE5C09"/>
    <w:rsid w:val="00BE62DB"/>
    <w:rsid w:val="00BE7E1A"/>
    <w:rsid w:val="00BF041C"/>
    <w:rsid w:val="00BF055A"/>
    <w:rsid w:val="00BF097B"/>
    <w:rsid w:val="00BF0B13"/>
    <w:rsid w:val="00BF2B88"/>
    <w:rsid w:val="00BF651C"/>
    <w:rsid w:val="00BF7BD3"/>
    <w:rsid w:val="00C01B04"/>
    <w:rsid w:val="00C01B3A"/>
    <w:rsid w:val="00C03721"/>
    <w:rsid w:val="00C05291"/>
    <w:rsid w:val="00C06025"/>
    <w:rsid w:val="00C067A3"/>
    <w:rsid w:val="00C115C1"/>
    <w:rsid w:val="00C118DD"/>
    <w:rsid w:val="00C13C81"/>
    <w:rsid w:val="00C14A5C"/>
    <w:rsid w:val="00C14B0A"/>
    <w:rsid w:val="00C23EFE"/>
    <w:rsid w:val="00C26CD3"/>
    <w:rsid w:val="00C3047B"/>
    <w:rsid w:val="00C30749"/>
    <w:rsid w:val="00C3163F"/>
    <w:rsid w:val="00C35E4D"/>
    <w:rsid w:val="00C436F7"/>
    <w:rsid w:val="00C44949"/>
    <w:rsid w:val="00C45692"/>
    <w:rsid w:val="00C46175"/>
    <w:rsid w:val="00C46FD1"/>
    <w:rsid w:val="00C47E57"/>
    <w:rsid w:val="00C55B02"/>
    <w:rsid w:val="00C56142"/>
    <w:rsid w:val="00C56B3A"/>
    <w:rsid w:val="00C56EFE"/>
    <w:rsid w:val="00C57F00"/>
    <w:rsid w:val="00C60C0B"/>
    <w:rsid w:val="00C66382"/>
    <w:rsid w:val="00C67F09"/>
    <w:rsid w:val="00C72788"/>
    <w:rsid w:val="00C76A5E"/>
    <w:rsid w:val="00C865D9"/>
    <w:rsid w:val="00C87110"/>
    <w:rsid w:val="00C90813"/>
    <w:rsid w:val="00C90C2B"/>
    <w:rsid w:val="00C9582B"/>
    <w:rsid w:val="00C978FA"/>
    <w:rsid w:val="00CA13F9"/>
    <w:rsid w:val="00CA2B14"/>
    <w:rsid w:val="00CA2D2A"/>
    <w:rsid w:val="00CA40E0"/>
    <w:rsid w:val="00CA4C49"/>
    <w:rsid w:val="00CA67AB"/>
    <w:rsid w:val="00CA789C"/>
    <w:rsid w:val="00CB016F"/>
    <w:rsid w:val="00CB0CBE"/>
    <w:rsid w:val="00CB1C6D"/>
    <w:rsid w:val="00CB2393"/>
    <w:rsid w:val="00CB5956"/>
    <w:rsid w:val="00CB60A9"/>
    <w:rsid w:val="00CC3EAA"/>
    <w:rsid w:val="00CD4A8B"/>
    <w:rsid w:val="00CD7AB6"/>
    <w:rsid w:val="00CD7C51"/>
    <w:rsid w:val="00CE3799"/>
    <w:rsid w:val="00CE4AA9"/>
    <w:rsid w:val="00CE5477"/>
    <w:rsid w:val="00CE7ADD"/>
    <w:rsid w:val="00CF5E7B"/>
    <w:rsid w:val="00CF7A75"/>
    <w:rsid w:val="00D00362"/>
    <w:rsid w:val="00D01153"/>
    <w:rsid w:val="00D02293"/>
    <w:rsid w:val="00D026B6"/>
    <w:rsid w:val="00D03953"/>
    <w:rsid w:val="00D03F61"/>
    <w:rsid w:val="00D047D6"/>
    <w:rsid w:val="00D047EE"/>
    <w:rsid w:val="00D05F0F"/>
    <w:rsid w:val="00D11E24"/>
    <w:rsid w:val="00D12150"/>
    <w:rsid w:val="00D12CFB"/>
    <w:rsid w:val="00D1326C"/>
    <w:rsid w:val="00D1431B"/>
    <w:rsid w:val="00D14690"/>
    <w:rsid w:val="00D15BBA"/>
    <w:rsid w:val="00D16F48"/>
    <w:rsid w:val="00D265B2"/>
    <w:rsid w:val="00D26BA6"/>
    <w:rsid w:val="00D27D4B"/>
    <w:rsid w:val="00D320C3"/>
    <w:rsid w:val="00D33B40"/>
    <w:rsid w:val="00D35146"/>
    <w:rsid w:val="00D3596F"/>
    <w:rsid w:val="00D42F04"/>
    <w:rsid w:val="00D447E5"/>
    <w:rsid w:val="00D457D0"/>
    <w:rsid w:val="00D463A4"/>
    <w:rsid w:val="00D4699C"/>
    <w:rsid w:val="00D47877"/>
    <w:rsid w:val="00D513A1"/>
    <w:rsid w:val="00D57D07"/>
    <w:rsid w:val="00D618E7"/>
    <w:rsid w:val="00D619A2"/>
    <w:rsid w:val="00D66AB5"/>
    <w:rsid w:val="00D676A0"/>
    <w:rsid w:val="00D70856"/>
    <w:rsid w:val="00D7194F"/>
    <w:rsid w:val="00D73117"/>
    <w:rsid w:val="00D73D86"/>
    <w:rsid w:val="00D76D95"/>
    <w:rsid w:val="00D8335C"/>
    <w:rsid w:val="00D9068D"/>
    <w:rsid w:val="00D92B16"/>
    <w:rsid w:val="00D93862"/>
    <w:rsid w:val="00D93CC2"/>
    <w:rsid w:val="00D9629E"/>
    <w:rsid w:val="00D97633"/>
    <w:rsid w:val="00DA2106"/>
    <w:rsid w:val="00DA23EB"/>
    <w:rsid w:val="00DA4ECD"/>
    <w:rsid w:val="00DB02EF"/>
    <w:rsid w:val="00DB0A56"/>
    <w:rsid w:val="00DB1699"/>
    <w:rsid w:val="00DB3DC8"/>
    <w:rsid w:val="00DB5115"/>
    <w:rsid w:val="00DB5177"/>
    <w:rsid w:val="00DB5C75"/>
    <w:rsid w:val="00DB66E6"/>
    <w:rsid w:val="00DC23FE"/>
    <w:rsid w:val="00DC38B9"/>
    <w:rsid w:val="00DC5B37"/>
    <w:rsid w:val="00DC5DDD"/>
    <w:rsid w:val="00DD1C7A"/>
    <w:rsid w:val="00DD309E"/>
    <w:rsid w:val="00DE01B6"/>
    <w:rsid w:val="00DE1304"/>
    <w:rsid w:val="00DE1FBD"/>
    <w:rsid w:val="00DE4677"/>
    <w:rsid w:val="00DE64ED"/>
    <w:rsid w:val="00DF064D"/>
    <w:rsid w:val="00DF0CBF"/>
    <w:rsid w:val="00E003D9"/>
    <w:rsid w:val="00E028F6"/>
    <w:rsid w:val="00E0753F"/>
    <w:rsid w:val="00E10BF1"/>
    <w:rsid w:val="00E11B5C"/>
    <w:rsid w:val="00E13E2B"/>
    <w:rsid w:val="00E21C80"/>
    <w:rsid w:val="00E22DB7"/>
    <w:rsid w:val="00E23C1B"/>
    <w:rsid w:val="00E24D2B"/>
    <w:rsid w:val="00E25DDC"/>
    <w:rsid w:val="00E345BF"/>
    <w:rsid w:val="00E3484D"/>
    <w:rsid w:val="00E34D59"/>
    <w:rsid w:val="00E351BB"/>
    <w:rsid w:val="00E405EA"/>
    <w:rsid w:val="00E40877"/>
    <w:rsid w:val="00E51F8B"/>
    <w:rsid w:val="00E51FCF"/>
    <w:rsid w:val="00E529D4"/>
    <w:rsid w:val="00E53839"/>
    <w:rsid w:val="00E53C18"/>
    <w:rsid w:val="00E53F41"/>
    <w:rsid w:val="00E54488"/>
    <w:rsid w:val="00E557BA"/>
    <w:rsid w:val="00E56D2F"/>
    <w:rsid w:val="00E635B9"/>
    <w:rsid w:val="00E6363C"/>
    <w:rsid w:val="00E66700"/>
    <w:rsid w:val="00E66AD7"/>
    <w:rsid w:val="00E67B0A"/>
    <w:rsid w:val="00E71BAD"/>
    <w:rsid w:val="00E733FF"/>
    <w:rsid w:val="00E74106"/>
    <w:rsid w:val="00E74864"/>
    <w:rsid w:val="00E754E8"/>
    <w:rsid w:val="00E75EF4"/>
    <w:rsid w:val="00E82B29"/>
    <w:rsid w:val="00E82FD8"/>
    <w:rsid w:val="00E834E7"/>
    <w:rsid w:val="00E83ABA"/>
    <w:rsid w:val="00E83E70"/>
    <w:rsid w:val="00E86286"/>
    <w:rsid w:val="00E878FF"/>
    <w:rsid w:val="00E91E16"/>
    <w:rsid w:val="00E952EF"/>
    <w:rsid w:val="00E96437"/>
    <w:rsid w:val="00E968A0"/>
    <w:rsid w:val="00E97145"/>
    <w:rsid w:val="00EA4196"/>
    <w:rsid w:val="00EB0BAE"/>
    <w:rsid w:val="00EB0F20"/>
    <w:rsid w:val="00EB1632"/>
    <w:rsid w:val="00EB308B"/>
    <w:rsid w:val="00EB4EB6"/>
    <w:rsid w:val="00EB535D"/>
    <w:rsid w:val="00EC34E0"/>
    <w:rsid w:val="00EC5385"/>
    <w:rsid w:val="00EC5430"/>
    <w:rsid w:val="00EC60B6"/>
    <w:rsid w:val="00EC6373"/>
    <w:rsid w:val="00EC7853"/>
    <w:rsid w:val="00ED047D"/>
    <w:rsid w:val="00ED0A59"/>
    <w:rsid w:val="00ED297E"/>
    <w:rsid w:val="00ED4626"/>
    <w:rsid w:val="00ED5B3C"/>
    <w:rsid w:val="00ED732D"/>
    <w:rsid w:val="00ED7BC4"/>
    <w:rsid w:val="00EE104D"/>
    <w:rsid w:val="00EE5F6D"/>
    <w:rsid w:val="00EF0701"/>
    <w:rsid w:val="00EF11F2"/>
    <w:rsid w:val="00EF236F"/>
    <w:rsid w:val="00EF3067"/>
    <w:rsid w:val="00EF700C"/>
    <w:rsid w:val="00F03AFB"/>
    <w:rsid w:val="00F13DC7"/>
    <w:rsid w:val="00F14729"/>
    <w:rsid w:val="00F14ED7"/>
    <w:rsid w:val="00F150D6"/>
    <w:rsid w:val="00F17670"/>
    <w:rsid w:val="00F17A90"/>
    <w:rsid w:val="00F2031D"/>
    <w:rsid w:val="00F25A0A"/>
    <w:rsid w:val="00F2622B"/>
    <w:rsid w:val="00F26369"/>
    <w:rsid w:val="00F31671"/>
    <w:rsid w:val="00F3240D"/>
    <w:rsid w:val="00F328DE"/>
    <w:rsid w:val="00F3330B"/>
    <w:rsid w:val="00F357CB"/>
    <w:rsid w:val="00F35CA0"/>
    <w:rsid w:val="00F36A57"/>
    <w:rsid w:val="00F375A4"/>
    <w:rsid w:val="00F4019F"/>
    <w:rsid w:val="00F4328A"/>
    <w:rsid w:val="00F44706"/>
    <w:rsid w:val="00F44A91"/>
    <w:rsid w:val="00F45420"/>
    <w:rsid w:val="00F51EF7"/>
    <w:rsid w:val="00F52A72"/>
    <w:rsid w:val="00F54C59"/>
    <w:rsid w:val="00F57670"/>
    <w:rsid w:val="00F609CB"/>
    <w:rsid w:val="00F64004"/>
    <w:rsid w:val="00F642D3"/>
    <w:rsid w:val="00F65F73"/>
    <w:rsid w:val="00F6631A"/>
    <w:rsid w:val="00F66E3F"/>
    <w:rsid w:val="00F70436"/>
    <w:rsid w:val="00F70B8E"/>
    <w:rsid w:val="00F713DB"/>
    <w:rsid w:val="00F730A9"/>
    <w:rsid w:val="00F735FC"/>
    <w:rsid w:val="00F73614"/>
    <w:rsid w:val="00F738D2"/>
    <w:rsid w:val="00F73A7C"/>
    <w:rsid w:val="00F73E50"/>
    <w:rsid w:val="00F75F3B"/>
    <w:rsid w:val="00F77CB4"/>
    <w:rsid w:val="00F83763"/>
    <w:rsid w:val="00F83C6C"/>
    <w:rsid w:val="00F84EA3"/>
    <w:rsid w:val="00F85513"/>
    <w:rsid w:val="00F86D76"/>
    <w:rsid w:val="00F877CE"/>
    <w:rsid w:val="00F90614"/>
    <w:rsid w:val="00F90A2F"/>
    <w:rsid w:val="00F91BD0"/>
    <w:rsid w:val="00F9239B"/>
    <w:rsid w:val="00F92E85"/>
    <w:rsid w:val="00F9336C"/>
    <w:rsid w:val="00F93BDC"/>
    <w:rsid w:val="00F95080"/>
    <w:rsid w:val="00F9544F"/>
    <w:rsid w:val="00F9741A"/>
    <w:rsid w:val="00FA0CA5"/>
    <w:rsid w:val="00FA2589"/>
    <w:rsid w:val="00FA34DF"/>
    <w:rsid w:val="00FA3F4D"/>
    <w:rsid w:val="00FA3FBD"/>
    <w:rsid w:val="00FA62B4"/>
    <w:rsid w:val="00FA70CF"/>
    <w:rsid w:val="00FA71DD"/>
    <w:rsid w:val="00FB3AA4"/>
    <w:rsid w:val="00FB3C35"/>
    <w:rsid w:val="00FB4627"/>
    <w:rsid w:val="00FC0F57"/>
    <w:rsid w:val="00FC1BC9"/>
    <w:rsid w:val="00FC4133"/>
    <w:rsid w:val="00FC41DA"/>
    <w:rsid w:val="00FC5C65"/>
    <w:rsid w:val="00FC75B8"/>
    <w:rsid w:val="00FC75D3"/>
    <w:rsid w:val="00FD07C7"/>
    <w:rsid w:val="00FD318F"/>
    <w:rsid w:val="00FD54BE"/>
    <w:rsid w:val="00FD7CD4"/>
    <w:rsid w:val="00FE2498"/>
    <w:rsid w:val="00FE3548"/>
    <w:rsid w:val="00FE6556"/>
    <w:rsid w:val="00FF09A4"/>
    <w:rsid w:val="00FF204B"/>
    <w:rsid w:val="00FF2151"/>
    <w:rsid w:val="00FF2899"/>
    <w:rsid w:val="00FF3067"/>
    <w:rsid w:val="00FF30B7"/>
    <w:rsid w:val="00FF4236"/>
    <w:rsid w:val="00FF5A88"/>
    <w:rsid w:val="00FF6271"/>
    <w:rsid w:val="00FF6C87"/>
    <w:rsid w:val="00FF7A95"/>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A4236C"/>
    <w:pPr>
      <w:spacing w:line="240" w:lineRule="exact"/>
    </w:pPr>
    <w:rPr>
      <w:rFonts w:ascii="Times New Roman" w:hAnsi="Times New Roman"/>
      <w:spacing w:val="4"/>
      <w:w w:val="103"/>
      <w:kern w:val="14"/>
      <w:szCs w:val="22"/>
      <w:lang w:val="fr-CA"/>
    </w:rPr>
  </w:style>
  <w:style w:type="paragraph" w:styleId="Titre1">
    <w:name w:val="heading 1"/>
    <w:basedOn w:val="Normal"/>
    <w:next w:val="Normal"/>
    <w:link w:val="Titre1C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Titre2">
    <w:name w:val="heading 2"/>
    <w:basedOn w:val="Normal"/>
    <w:next w:val="Normal"/>
    <w:link w:val="Titre2C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Titre3">
    <w:name w:val="heading 3"/>
    <w:basedOn w:val="Normal"/>
    <w:next w:val="Normal"/>
    <w:link w:val="Titre3C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Titre4">
    <w:name w:val="heading 4"/>
    <w:basedOn w:val="Normal"/>
    <w:next w:val="Normal"/>
    <w:link w:val="Titre4C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Titre5">
    <w:name w:val="heading 5"/>
    <w:basedOn w:val="Normal"/>
    <w:next w:val="Normal"/>
    <w:link w:val="Titre5C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Titre6">
    <w:name w:val="heading 6"/>
    <w:basedOn w:val="Normal"/>
    <w:next w:val="Normal"/>
    <w:link w:val="Titre6C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Titre7">
    <w:name w:val="heading 7"/>
    <w:basedOn w:val="Normal"/>
    <w:next w:val="Normal"/>
    <w:link w:val="Titre7C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Titre8">
    <w:name w:val="heading 8"/>
    <w:basedOn w:val="Normal"/>
    <w:next w:val="Normal"/>
    <w:link w:val="Titre8C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Titre9">
    <w:name w:val="heading 9"/>
    <w:basedOn w:val="Normal"/>
    <w:next w:val="Normal"/>
    <w:link w:val="Titre9C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uiPriority w:val="9"/>
    <w:rsid w:val="00745376"/>
    <w:rPr>
      <w:rFonts w:ascii="Arial" w:eastAsia="Times New Roman" w:hAnsi="Arial" w:cs="Times New Roman"/>
      <w:b/>
      <w:bCs/>
      <w:i/>
      <w:color w:val="4F81BD"/>
      <w:spacing w:val="4"/>
      <w:w w:val="103"/>
      <w:kern w:val="14"/>
      <w:sz w:val="28"/>
      <w:szCs w:val="26"/>
    </w:rPr>
  </w:style>
  <w:style w:type="character" w:customStyle="1" w:styleId="Titre3Car">
    <w:name w:val="Titre 3 Car"/>
    <w:link w:val="Titre3"/>
    <w:uiPriority w:val="9"/>
    <w:rsid w:val="00745376"/>
    <w:rPr>
      <w:rFonts w:ascii="Arial" w:eastAsia="Times New Roman" w:hAnsi="Arial" w:cs="Times New Roman"/>
      <w:b/>
      <w:bCs/>
      <w:color w:val="4F81BD"/>
      <w:spacing w:val="4"/>
      <w:w w:val="103"/>
      <w:kern w:val="14"/>
      <w:sz w:val="26"/>
    </w:rPr>
  </w:style>
  <w:style w:type="character" w:customStyle="1" w:styleId="Titre4Car">
    <w:name w:val="Titre 4 Car"/>
    <w:link w:val="Titre4"/>
    <w:uiPriority w:val="9"/>
    <w:rsid w:val="000055FB"/>
    <w:rPr>
      <w:rFonts w:ascii="Cambria" w:eastAsia="Times New Roman" w:hAnsi="Cambria" w:cs="Times New Roman"/>
      <w:b/>
      <w:bCs/>
      <w:i/>
      <w:iCs/>
      <w:color w:val="4F81BD"/>
      <w:spacing w:val="4"/>
      <w:w w:val="103"/>
      <w:kern w:val="14"/>
      <w:sz w:val="20"/>
    </w:rPr>
  </w:style>
  <w:style w:type="character" w:customStyle="1" w:styleId="Titre5Car">
    <w:name w:val="Titre 5 Car"/>
    <w:link w:val="Titre5"/>
    <w:uiPriority w:val="9"/>
    <w:rsid w:val="000055FB"/>
    <w:rPr>
      <w:rFonts w:ascii="Cambria" w:eastAsia="Times New Roman" w:hAnsi="Cambria" w:cs="Times New Roman"/>
      <w:color w:val="243F60"/>
      <w:spacing w:val="4"/>
      <w:w w:val="103"/>
      <w:kern w:val="14"/>
      <w:sz w:val="20"/>
    </w:rPr>
  </w:style>
  <w:style w:type="character" w:customStyle="1" w:styleId="Titre6Car">
    <w:name w:val="Titre 6 Car"/>
    <w:link w:val="Titre6"/>
    <w:uiPriority w:val="9"/>
    <w:rsid w:val="000055FB"/>
    <w:rPr>
      <w:rFonts w:ascii="Cambria" w:eastAsia="Times New Roman" w:hAnsi="Cambria" w:cs="Times New Roman"/>
      <w:i/>
      <w:iCs/>
      <w:color w:val="243F60"/>
      <w:spacing w:val="4"/>
      <w:w w:val="103"/>
      <w:kern w:val="14"/>
      <w:sz w:val="20"/>
    </w:rPr>
  </w:style>
  <w:style w:type="character" w:styleId="lev">
    <w:name w:val="Strong"/>
    <w:uiPriority w:val="22"/>
    <w:rsid w:val="000055FB"/>
    <w:rPr>
      <w:b/>
      <w:bCs/>
    </w:rPr>
  </w:style>
  <w:style w:type="paragraph" w:customStyle="1" w:styleId="H1">
    <w:name w:val="_ H_1"/>
    <w:basedOn w:val="Normal"/>
    <w:next w:val="Normal"/>
    <w:qFormat/>
    <w:rsid w:val="00745376"/>
    <w:pPr>
      <w:keepNext/>
      <w:keepLines/>
      <w:suppressAutoHyphens/>
      <w:spacing w:line="270" w:lineRule="exact"/>
      <w:outlineLvl w:val="0"/>
    </w:pPr>
    <w:rPr>
      <w:b/>
      <w:sz w:val="24"/>
    </w:rPr>
  </w:style>
  <w:style w:type="paragraph" w:styleId="Sansinterligne">
    <w:name w:val="No Spacing"/>
    <w:uiPriority w:val="1"/>
    <w:rsid w:val="000055FB"/>
    <w:rPr>
      <w:sz w:val="22"/>
      <w:szCs w:val="22"/>
    </w:rPr>
  </w:style>
  <w:style w:type="character" w:customStyle="1" w:styleId="Titre1Car">
    <w:name w:val="Titre 1 Car"/>
    <w:link w:val="Titre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Normal"/>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Pieddepage">
    <w:name w:val="footer"/>
    <w:link w:val="PieddepageC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PieddepageCar">
    <w:name w:val="Pied de page Car"/>
    <w:link w:val="Pieddepage"/>
    <w:uiPriority w:val="99"/>
    <w:rsid w:val="00745376"/>
    <w:rPr>
      <w:rFonts w:ascii="Times New Roman" w:hAnsi="Times New Roman"/>
      <w:b/>
      <w:spacing w:val="3"/>
      <w:w w:val="105"/>
      <w:sz w:val="17"/>
    </w:rPr>
  </w:style>
  <w:style w:type="paragraph" w:styleId="En-tte">
    <w:name w:val="header"/>
    <w:link w:val="En-tteC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En-tteCar">
    <w:name w:val="En-tête Car"/>
    <w:link w:val="En-tte"/>
    <w:uiPriority w:val="99"/>
    <w:rsid w:val="000055FB"/>
    <w:rPr>
      <w:rFonts w:ascii="Times New Roman" w:hAnsi="Times New Roman"/>
      <w:spacing w:val="3"/>
      <w:w w:val="105"/>
      <w:sz w:val="17"/>
    </w:rPr>
  </w:style>
  <w:style w:type="character" w:styleId="Numrodeligne">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Textedebulles">
    <w:name w:val="Balloon Text"/>
    <w:basedOn w:val="Normal"/>
    <w:link w:val="TextedebullesCar"/>
    <w:uiPriority w:val="99"/>
    <w:semiHidden/>
    <w:unhideWhenUsed/>
    <w:rsid w:val="00520271"/>
    <w:pPr>
      <w:spacing w:line="240" w:lineRule="auto"/>
    </w:pPr>
    <w:rPr>
      <w:rFonts w:ascii="Tahoma" w:hAnsi="Tahoma" w:cs="Tahoma"/>
      <w:sz w:val="16"/>
      <w:szCs w:val="16"/>
    </w:rPr>
  </w:style>
  <w:style w:type="character" w:customStyle="1" w:styleId="TextedebullesCar">
    <w:name w:val="Texte de bulles Car"/>
    <w:link w:val="Textedebulles"/>
    <w:uiPriority w:val="99"/>
    <w:semiHidden/>
    <w:rsid w:val="00520271"/>
    <w:rPr>
      <w:rFonts w:ascii="Tahoma" w:hAnsi="Tahoma" w:cs="Tahoma"/>
      <w:spacing w:val="4"/>
      <w:w w:val="103"/>
      <w:kern w:val="14"/>
      <w:sz w:val="16"/>
      <w:szCs w:val="16"/>
    </w:rPr>
  </w:style>
  <w:style w:type="paragraph" w:styleId="Notedebasdepage">
    <w:name w:val="footnote text"/>
    <w:basedOn w:val="Normal"/>
    <w:link w:val="NotedebasdepageCar"/>
    <w:uiPriority w:val="99"/>
    <w:rsid w:val="00611DA0"/>
    <w:pPr>
      <w:spacing w:line="210" w:lineRule="exact"/>
    </w:pPr>
    <w:rPr>
      <w:sz w:val="17"/>
      <w:szCs w:val="20"/>
    </w:rPr>
  </w:style>
  <w:style w:type="character" w:customStyle="1" w:styleId="NotedebasdepageCar">
    <w:name w:val="Note de bas de page Car"/>
    <w:link w:val="Notedebasdepage"/>
    <w:uiPriority w:val="99"/>
    <w:rsid w:val="00611DA0"/>
    <w:rPr>
      <w:rFonts w:ascii="Times New Roman" w:hAnsi="Times New Roman"/>
      <w:spacing w:val="4"/>
      <w:w w:val="103"/>
      <w:kern w:val="14"/>
      <w:sz w:val="17"/>
    </w:rPr>
  </w:style>
  <w:style w:type="character" w:customStyle="1" w:styleId="Titre7Car">
    <w:name w:val="Titre 7 Car"/>
    <w:link w:val="Titre7"/>
    <w:uiPriority w:val="9"/>
    <w:semiHidden/>
    <w:rsid w:val="005B74B8"/>
    <w:rPr>
      <w:rFonts w:ascii="Cambria" w:eastAsia="Times New Roman" w:hAnsi="Cambria" w:cs="Times New Roman"/>
      <w:i/>
      <w:iCs/>
      <w:color w:val="404040"/>
      <w:spacing w:val="4"/>
      <w:w w:val="103"/>
      <w:kern w:val="14"/>
      <w:sz w:val="20"/>
    </w:rPr>
  </w:style>
  <w:style w:type="character" w:customStyle="1" w:styleId="Titre8Car">
    <w:name w:val="Titre 8 Car"/>
    <w:link w:val="Titre8"/>
    <w:uiPriority w:val="9"/>
    <w:semiHidden/>
    <w:rsid w:val="005B74B8"/>
    <w:rPr>
      <w:rFonts w:ascii="Cambria" w:eastAsia="Times New Roman" w:hAnsi="Cambria" w:cs="Times New Roman"/>
      <w:color w:val="404040"/>
      <w:spacing w:val="4"/>
      <w:w w:val="103"/>
      <w:kern w:val="14"/>
      <w:sz w:val="20"/>
      <w:szCs w:val="20"/>
    </w:rPr>
  </w:style>
  <w:style w:type="character" w:customStyle="1" w:styleId="Titre9Car">
    <w:name w:val="Titre 9 Car"/>
    <w:link w:val="Titre9"/>
    <w:uiPriority w:val="9"/>
    <w:semiHidden/>
    <w:rsid w:val="005B74B8"/>
    <w:rPr>
      <w:rFonts w:ascii="Cambria" w:eastAsia="Times New Roman" w:hAnsi="Cambria" w:cs="Times New Roman"/>
      <w:i/>
      <w:iCs/>
      <w:color w:val="404040"/>
      <w:spacing w:val="4"/>
      <w:w w:val="103"/>
      <w:kern w:val="14"/>
      <w:sz w:val="20"/>
      <w:szCs w:val="20"/>
    </w:rPr>
  </w:style>
  <w:style w:type="paragraph" w:styleId="Paragraphedeliste">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Notedefin">
    <w:name w:val="endnote text"/>
    <w:basedOn w:val="Normal"/>
    <w:link w:val="NotedefinCar"/>
    <w:uiPriority w:val="99"/>
    <w:semiHidden/>
    <w:unhideWhenUsed/>
    <w:rsid w:val="00F3330B"/>
    <w:pPr>
      <w:spacing w:line="210" w:lineRule="exact"/>
    </w:pPr>
    <w:rPr>
      <w:sz w:val="17"/>
      <w:szCs w:val="20"/>
    </w:rPr>
  </w:style>
  <w:style w:type="character" w:customStyle="1" w:styleId="NotedefinCar">
    <w:name w:val="Note de fin Car"/>
    <w:link w:val="Notedefin"/>
    <w:uiPriority w:val="99"/>
    <w:semiHidden/>
    <w:rsid w:val="00F3330B"/>
    <w:rPr>
      <w:rFonts w:ascii="Times New Roman" w:hAnsi="Times New Roman"/>
      <w:spacing w:val="4"/>
      <w:w w:val="103"/>
      <w:kern w:val="14"/>
      <w:sz w:val="17"/>
    </w:rPr>
  </w:style>
  <w:style w:type="character" w:styleId="Appelnotedebasdep">
    <w:name w:val="footnote reference"/>
    <w:uiPriority w:val="99"/>
    <w:rsid w:val="00A4236C"/>
    <w:rPr>
      <w:color w:val="943634" w:themeColor="accent2" w:themeShade="BF"/>
      <w:vertAlign w:val="superscript"/>
    </w:rPr>
  </w:style>
  <w:style w:type="paragraph" w:customStyle="1" w:styleId="Bullet1">
    <w:name w:val="Bullet 1"/>
    <w:basedOn w:val="Normal"/>
    <w:qFormat/>
    <w:rsid w:val="00E733FF"/>
    <w:pPr>
      <w:numPr>
        <w:numId w:val="3"/>
      </w:numPr>
      <w:tabs>
        <w:tab w:val="left" w:pos="2217"/>
      </w:tabs>
      <w:spacing w:after="120"/>
      <w:ind w:left="1746" w:right="1264" w:hanging="130"/>
      <w:jc w:val="both"/>
    </w:pPr>
  </w:style>
  <w:style w:type="paragraph" w:customStyle="1" w:styleId="Bullet2">
    <w:name w:val="Bullet 2"/>
    <w:basedOn w:val="Normal"/>
    <w:qFormat/>
    <w:rsid w:val="00E733FF"/>
    <w:pPr>
      <w:numPr>
        <w:numId w:val="4"/>
      </w:numPr>
      <w:tabs>
        <w:tab w:val="left" w:pos="2217"/>
      </w:tabs>
      <w:spacing w:after="120"/>
      <w:ind w:left="2217" w:right="1264" w:hanging="130"/>
      <w:jc w:val="both"/>
    </w:pPr>
  </w:style>
  <w:style w:type="character" w:styleId="Marquedecommentaire">
    <w:name w:val="annotation reference"/>
    <w:basedOn w:val="Policepardfaut"/>
    <w:uiPriority w:val="99"/>
    <w:semiHidden/>
    <w:unhideWhenUsed/>
    <w:rsid w:val="00CD7AB6"/>
    <w:rPr>
      <w:sz w:val="16"/>
      <w:szCs w:val="16"/>
    </w:rPr>
  </w:style>
  <w:style w:type="paragraph" w:styleId="Commentaire">
    <w:name w:val="annotation text"/>
    <w:basedOn w:val="Normal"/>
    <w:link w:val="CommentaireCar"/>
    <w:uiPriority w:val="99"/>
    <w:semiHidden/>
    <w:unhideWhenUsed/>
    <w:rsid w:val="00CD7AB6"/>
    <w:pPr>
      <w:spacing w:line="240" w:lineRule="auto"/>
    </w:pPr>
    <w:rPr>
      <w:szCs w:val="20"/>
    </w:rPr>
  </w:style>
  <w:style w:type="character" w:customStyle="1" w:styleId="CommentaireCar">
    <w:name w:val="Commentaire Car"/>
    <w:basedOn w:val="Policepardfaut"/>
    <w:link w:val="Commentaire"/>
    <w:uiPriority w:val="99"/>
    <w:semiHidden/>
    <w:rsid w:val="00CD7AB6"/>
    <w:rPr>
      <w:rFonts w:ascii="Times New Roman" w:hAnsi="Times New Roman"/>
      <w:spacing w:val="4"/>
      <w:w w:val="103"/>
      <w:kern w:val="14"/>
      <w:lang w:val="fr-CA"/>
    </w:rPr>
  </w:style>
  <w:style w:type="paragraph" w:styleId="Objetducommentaire">
    <w:name w:val="annotation subject"/>
    <w:basedOn w:val="Commentaire"/>
    <w:next w:val="Commentaire"/>
    <w:link w:val="ObjetducommentaireCar"/>
    <w:uiPriority w:val="99"/>
    <w:semiHidden/>
    <w:unhideWhenUsed/>
    <w:rsid w:val="00CD7AB6"/>
    <w:rPr>
      <w:b/>
      <w:bCs/>
    </w:rPr>
  </w:style>
  <w:style w:type="character" w:customStyle="1" w:styleId="ObjetducommentaireCar">
    <w:name w:val="Objet du commentaire Car"/>
    <w:basedOn w:val="CommentaireCar"/>
    <w:link w:val="Objetducommentaire"/>
    <w:uiPriority w:val="99"/>
    <w:semiHidden/>
    <w:rsid w:val="00CD7AB6"/>
    <w:rPr>
      <w:rFonts w:ascii="Times New Roman" w:hAnsi="Times New Roman"/>
      <w:b/>
      <w:bCs/>
      <w:spacing w:val="4"/>
      <w:w w:val="103"/>
      <w:kern w:val="14"/>
      <w:lang w:val="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A4236C"/>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Normal"/>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Normal"/>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rsid w:val="00A4236C"/>
    <w:rPr>
      <w:color w:val="943634" w:themeColor="accent2" w:themeShade="BF"/>
      <w:vertAlign w:val="superscript"/>
    </w:rPr>
  </w:style>
  <w:style w:type="paragraph" w:customStyle="1" w:styleId="Bullet1">
    <w:name w:val="Bullet 1"/>
    <w:basedOn w:val="Normal"/>
    <w:qFormat/>
    <w:rsid w:val="00E733FF"/>
    <w:pPr>
      <w:numPr>
        <w:numId w:val="3"/>
      </w:numPr>
      <w:tabs>
        <w:tab w:val="left" w:pos="2217"/>
      </w:tabs>
      <w:spacing w:after="120"/>
      <w:ind w:left="1746" w:right="1264" w:hanging="130"/>
      <w:jc w:val="both"/>
    </w:pPr>
  </w:style>
  <w:style w:type="paragraph" w:customStyle="1" w:styleId="Bullet2">
    <w:name w:val="Bullet 2"/>
    <w:basedOn w:val="Normal"/>
    <w:qFormat/>
    <w:rsid w:val="00E733FF"/>
    <w:pPr>
      <w:numPr>
        <w:numId w:val="4"/>
      </w:numPr>
      <w:tabs>
        <w:tab w:val="left" w:pos="2217"/>
      </w:tabs>
      <w:spacing w:after="120"/>
      <w:ind w:left="2217" w:right="1264" w:hanging="130"/>
      <w:jc w:val="both"/>
    </w:pPr>
  </w:style>
  <w:style w:type="character" w:styleId="CommentReference">
    <w:name w:val="annotation reference"/>
    <w:basedOn w:val="DefaultParagraphFont"/>
    <w:uiPriority w:val="99"/>
    <w:semiHidden/>
    <w:unhideWhenUsed/>
    <w:rsid w:val="00CD7AB6"/>
    <w:rPr>
      <w:sz w:val="16"/>
      <w:szCs w:val="16"/>
    </w:rPr>
  </w:style>
  <w:style w:type="paragraph" w:styleId="CommentText">
    <w:name w:val="annotation text"/>
    <w:basedOn w:val="Normal"/>
    <w:link w:val="CommentTextChar"/>
    <w:uiPriority w:val="99"/>
    <w:semiHidden/>
    <w:unhideWhenUsed/>
    <w:rsid w:val="00CD7AB6"/>
    <w:pPr>
      <w:spacing w:line="240" w:lineRule="auto"/>
    </w:pPr>
    <w:rPr>
      <w:szCs w:val="20"/>
    </w:rPr>
  </w:style>
  <w:style w:type="character" w:customStyle="1" w:styleId="CommentTextChar">
    <w:name w:val="Comment Text Char"/>
    <w:basedOn w:val="DefaultParagraphFont"/>
    <w:link w:val="CommentText"/>
    <w:uiPriority w:val="99"/>
    <w:semiHidden/>
    <w:rsid w:val="00CD7AB6"/>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CD7AB6"/>
    <w:rPr>
      <w:b/>
      <w:bCs/>
    </w:rPr>
  </w:style>
  <w:style w:type="character" w:customStyle="1" w:styleId="CommentSubjectChar">
    <w:name w:val="Comment Subject Char"/>
    <w:basedOn w:val="CommentTextChar"/>
    <w:link w:val="CommentSubject"/>
    <w:uiPriority w:val="99"/>
    <w:semiHidden/>
    <w:rsid w:val="00CD7AB6"/>
    <w:rPr>
      <w:rFonts w:ascii="Times New Roman" w:hAnsi="Times New Roman"/>
      <w:b/>
      <w:bCs/>
      <w:spacing w:val="4"/>
      <w:w w:val="103"/>
      <w:kern w:val="14"/>
      <w:lang w:val="fr-C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ACCA37-9EFE-4852-A80E-4ED143EC6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2131</Words>
  <Characters>11722</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FTPU - Office 2010</vt:lpstr>
    </vt:vector>
  </TitlesOfParts>
  <Company>DCM</Company>
  <LinksUpToDate>false</LinksUpToDate>
  <CharactersWithSpaces>13826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creator>Temporaire</dc:creator>
  <cp:lastModifiedBy>Maison</cp:lastModifiedBy>
  <cp:revision>2</cp:revision>
  <cp:lastPrinted>2015-08-03T08:12:00Z</cp:lastPrinted>
  <dcterms:created xsi:type="dcterms:W3CDTF">2015-08-11T08:47:00Z</dcterms:created>
  <dcterms:modified xsi:type="dcterms:W3CDTF">2015-08-11T08:47:00Z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1510232F</vt:lpwstr>
  </property>
  <property fmtid="{D5CDD505-2E9C-101B-9397-08002B2CF9AE}" pid="3" name="ODSRefJobNo">
    <vt:lpwstr>1513135F</vt:lpwstr>
  </property>
  <property fmtid="{D5CDD505-2E9C-101B-9397-08002B2CF9AE}" pid="4" name="Symbol1">
    <vt:lpwstr>ECE/TRANS/WP.15/AC.1/2015/34</vt:lpwstr>
  </property>
  <property fmtid="{D5CDD505-2E9C-101B-9397-08002B2CF9AE}" pid="5" name="Symbol2">
    <vt:lpwstr/>
  </property>
  <property fmtid="{D5CDD505-2E9C-101B-9397-08002B2CF9AE}" pid="6" name="Translator">
    <vt:lpwstr/>
  </property>
  <property fmtid="{D5CDD505-2E9C-101B-9397-08002B2CF9AE}" pid="7" name="Operator">
    <vt:lpwstr>M. Deschamps</vt:lpwstr>
  </property>
  <property fmtid="{D5CDD505-2E9C-101B-9397-08002B2CF9AE}" pid="8" name="DraftPages">
    <vt:lpwstr> </vt:lpwstr>
  </property>
  <property fmtid="{D5CDD505-2E9C-101B-9397-08002B2CF9AE}" pid="9" name="Comment">
    <vt:lpwstr/>
  </property>
  <property fmtid="{D5CDD505-2E9C-101B-9397-08002B2CF9AE}" pid="10" name="Distribution">
    <vt:lpwstr>générale</vt:lpwstr>
  </property>
  <property fmtid="{D5CDD505-2E9C-101B-9397-08002B2CF9AE}" pid="11" name="Publication Date">
    <vt:lpwstr>22 juin 2015</vt:lpwstr>
  </property>
  <property fmtid="{D5CDD505-2E9C-101B-9397-08002B2CF9AE}" pid="12" name="Original">
    <vt:lpwstr>anglais</vt:lpwstr>
  </property>
  <property fmtid="{D5CDD505-2E9C-101B-9397-08002B2CF9AE}" pid="13" name="Release Date">
    <vt:lpwstr>280715</vt:lpwstr>
  </property>
</Properties>
</file>