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bookmarkStart w:id="0" w:name="_GoBack"/>
            <w:bookmarkEnd w:id="0"/>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0A27E9" w:rsidP="00144C49">
            <w:pPr>
              <w:jc w:val="right"/>
              <w:rPr>
                <w:lang w:val="fr-FR"/>
              </w:rPr>
            </w:pPr>
            <w:r w:rsidRPr="000A27E9">
              <w:rPr>
                <w:sz w:val="40"/>
                <w:lang w:val="fr-FR"/>
              </w:rPr>
              <w:t>ECE</w:t>
            </w:r>
            <w:r>
              <w:rPr>
                <w:lang w:val="fr-FR"/>
              </w:rPr>
              <w:t>/TRANS/WP.15/140/Add.</w:t>
            </w:r>
            <w:r w:rsidR="00144C49">
              <w:rPr>
                <w:lang w:val="fr-FR"/>
              </w:rPr>
              <w:t>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4846C6" w:rsidP="00F01516">
            <w:pPr>
              <w:spacing w:before="120"/>
              <w:jc w:val="center"/>
              <w:rPr>
                <w:lang w:val="fr-FR"/>
              </w:rPr>
            </w:pPr>
            <w:r>
              <w:rPr>
                <w:noProof/>
                <w:lang w:val="en-GB"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0A27E9" w:rsidP="000A27E9">
            <w:pPr>
              <w:spacing w:before="240" w:line="240" w:lineRule="exact"/>
              <w:rPr>
                <w:lang w:val="fr-FR"/>
              </w:rPr>
            </w:pPr>
            <w:r>
              <w:rPr>
                <w:lang w:val="fr-FR"/>
              </w:rPr>
              <w:t>Distr. générale</w:t>
            </w:r>
          </w:p>
          <w:p w:rsidR="000A27E9" w:rsidRDefault="00224A0E" w:rsidP="000A27E9">
            <w:pPr>
              <w:spacing w:line="240" w:lineRule="exact"/>
              <w:rPr>
                <w:lang w:val="fr-FR"/>
              </w:rPr>
            </w:pPr>
            <w:r>
              <w:rPr>
                <w:lang w:val="fr-FR"/>
              </w:rPr>
              <w:t>4</w:t>
            </w:r>
            <w:r w:rsidR="00442E35">
              <w:rPr>
                <w:lang w:val="fr-FR"/>
              </w:rPr>
              <w:t xml:space="preserve"> novembre</w:t>
            </w:r>
            <w:r w:rsidR="000A27E9">
              <w:rPr>
                <w:lang w:val="fr-FR"/>
              </w:rPr>
              <w:t xml:space="preserve"> 2015</w:t>
            </w:r>
          </w:p>
          <w:p w:rsidR="000A27E9" w:rsidRDefault="000A27E9" w:rsidP="000A27E9">
            <w:pPr>
              <w:spacing w:line="240" w:lineRule="exact"/>
              <w:rPr>
                <w:lang w:val="fr-FR"/>
              </w:rPr>
            </w:pPr>
            <w:r>
              <w:rPr>
                <w:lang w:val="fr-FR"/>
              </w:rPr>
              <w:t>Français</w:t>
            </w:r>
          </w:p>
          <w:p w:rsidR="000A27E9" w:rsidRPr="00367E6A" w:rsidRDefault="000A27E9" w:rsidP="000A27E9">
            <w:pPr>
              <w:spacing w:line="240" w:lineRule="exact"/>
              <w:rPr>
                <w:lang w:val="fr-FR"/>
              </w:rPr>
            </w:pPr>
            <w:r>
              <w:rPr>
                <w:lang w:val="fr-FR"/>
              </w:rPr>
              <w:t>Original: français 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3A0A8B" w:rsidRPr="00884179" w:rsidRDefault="003A0A8B" w:rsidP="003A0A8B">
      <w:pPr>
        <w:spacing w:before="120"/>
        <w:rPr>
          <w:b/>
          <w:lang w:val="fr-FR"/>
        </w:rPr>
      </w:pPr>
      <w:r w:rsidRPr="00884179">
        <w:rPr>
          <w:b/>
          <w:lang w:val="fr-FR"/>
        </w:rPr>
        <w:t>Réunion commune de la Commission d’experts</w:t>
      </w:r>
      <w:r w:rsidRPr="00884179">
        <w:rPr>
          <w:b/>
          <w:lang w:val="fr-FR"/>
        </w:rPr>
        <w:br/>
        <w:t>du RID et du Groupe de travail des transports</w:t>
      </w:r>
      <w:r w:rsidRPr="00884179">
        <w:rPr>
          <w:b/>
          <w:lang w:val="fr-FR"/>
        </w:rPr>
        <w:br/>
        <w:t>de marchandises dangereuses</w:t>
      </w:r>
    </w:p>
    <w:p w:rsidR="003A0A8B" w:rsidRPr="00FE33F3" w:rsidRDefault="003A0A8B" w:rsidP="003A0A8B">
      <w:pPr>
        <w:pStyle w:val="HChG"/>
        <w:rPr>
          <w:b w:val="0"/>
        </w:rPr>
      </w:pPr>
      <w:r w:rsidRPr="00144F2B">
        <w:rPr>
          <w:bCs/>
        </w:rPr>
        <w:tab/>
      </w:r>
      <w:r w:rsidRPr="00144F2B">
        <w:rPr>
          <w:bCs/>
        </w:rPr>
        <w:tab/>
        <w:t xml:space="preserve">Rapport de la Réunion commune de la Commission d'experts du RID et du Groupe de travail des transports de marchandises dangereuses sur sa session </w:t>
      </w:r>
      <w:r>
        <w:rPr>
          <w:bCs/>
        </w:rPr>
        <w:t>d’automne 2015</w:t>
      </w:r>
      <w:r>
        <w:rPr>
          <w:rStyle w:val="FootnoteReference"/>
          <w:bCs/>
        </w:rPr>
        <w:footnoteReference w:id="2"/>
      </w:r>
    </w:p>
    <w:p w:rsidR="003A0A8B" w:rsidRPr="00144F2B" w:rsidRDefault="003A0A8B" w:rsidP="003A0A8B">
      <w:pPr>
        <w:pStyle w:val="H56G"/>
      </w:pPr>
      <w:r w:rsidRPr="00144F2B">
        <w:tab/>
      </w:r>
      <w:r w:rsidRPr="00144F2B">
        <w:tab/>
        <w:t xml:space="preserve">tenue à </w:t>
      </w:r>
      <w:r>
        <w:t>Genève</w:t>
      </w:r>
      <w:r w:rsidRPr="00144F2B">
        <w:t xml:space="preserve"> du </w:t>
      </w:r>
      <w:r>
        <w:t>15 au 25 septembre</w:t>
      </w:r>
      <w:r w:rsidRPr="00144F2B">
        <w:t xml:space="preserve"> </w:t>
      </w:r>
      <w:r>
        <w:t>2015</w:t>
      </w:r>
    </w:p>
    <w:p w:rsidR="003A0A8B" w:rsidRDefault="003A0A8B" w:rsidP="003A0A8B">
      <w:pPr>
        <w:pStyle w:val="H23G"/>
      </w:pPr>
      <w:r>
        <w:tab/>
      </w:r>
      <w:r>
        <w:tab/>
        <w:t>Additif</w:t>
      </w:r>
      <w:r>
        <w:rPr>
          <w:rStyle w:val="FootnoteReference"/>
        </w:rPr>
        <w:footnoteReference w:id="3"/>
      </w:r>
    </w:p>
    <w:p w:rsidR="003A0A8B" w:rsidRDefault="00144C49" w:rsidP="00276259">
      <w:pPr>
        <w:pStyle w:val="HChG"/>
        <w:rPr>
          <w:lang w:val="fr-FR"/>
        </w:rPr>
      </w:pPr>
      <w:r>
        <w:rPr>
          <w:lang w:val="fr-FR"/>
        </w:rPr>
        <w:tab/>
      </w:r>
      <w:r>
        <w:rPr>
          <w:lang w:val="fr-FR"/>
        </w:rPr>
        <w:tab/>
        <w:t>Annexe I</w:t>
      </w:r>
    </w:p>
    <w:p w:rsidR="003A0A8B" w:rsidRDefault="003A0A8B" w:rsidP="003A0A8B">
      <w:pPr>
        <w:pStyle w:val="HChG"/>
        <w:keepNext w:val="0"/>
        <w:keepLines w:val="0"/>
        <w:rPr>
          <w:lang w:val="fr-FR"/>
        </w:rPr>
      </w:pPr>
      <w:r>
        <w:rPr>
          <w:lang w:val="fr-FR"/>
        </w:rPr>
        <w:tab/>
      </w:r>
      <w:r>
        <w:rPr>
          <w:lang w:val="fr-FR"/>
        </w:rPr>
        <w:tab/>
        <w:t>Textes adoptés par la Réunion commune (Projet d’amendements au RID, ADR et ADN pour entrée en vigueur le 1er janvier 2017)</w:t>
      </w:r>
    </w:p>
    <w:p w:rsidR="003A0A8B" w:rsidRDefault="003A0A8B" w:rsidP="003A0A8B">
      <w:pPr>
        <w:pStyle w:val="H1G"/>
        <w:keepNext w:val="0"/>
        <w:keepLines w:val="0"/>
      </w:pPr>
      <w:r>
        <w:tab/>
        <w:t>A.</w:t>
      </w:r>
      <w:r>
        <w:tab/>
        <w:t>Document ECE/TRANS/WP.15/AC.1/2015/23/Add.1</w:t>
      </w:r>
    </w:p>
    <w:p w:rsidR="003A0A8B" w:rsidRDefault="003A0A8B" w:rsidP="003A0A8B">
      <w:pPr>
        <w:pStyle w:val="H23G"/>
        <w:keepNext w:val="0"/>
        <w:keepLines w:val="0"/>
        <w:rPr>
          <w:b w:val="0"/>
          <w:bCs/>
        </w:rPr>
      </w:pPr>
      <w:r w:rsidRPr="00270BA4">
        <w:tab/>
      </w:r>
      <w:r w:rsidRPr="00270BA4">
        <w:tab/>
      </w:r>
      <w:r w:rsidR="009533C2" w:rsidRPr="002D091E">
        <w:rPr>
          <w:b w:val="0"/>
        </w:rPr>
        <w:t xml:space="preserve">Les propositions d’amendement du </w:t>
      </w:r>
      <w:r w:rsidR="009533C2">
        <w:rPr>
          <w:b w:val="0"/>
        </w:rPr>
        <w:t>d</w:t>
      </w:r>
      <w:r w:rsidR="009533C2" w:rsidRPr="002D091E">
        <w:rPr>
          <w:b w:val="0"/>
        </w:rPr>
        <w:t xml:space="preserve">ocument </w:t>
      </w:r>
      <w:r w:rsidRPr="002D091E">
        <w:rPr>
          <w:b w:val="0"/>
        </w:rPr>
        <w:t xml:space="preserve">ECE/TRANS/WP.15/AC.1/2015/23/Add.1 </w:t>
      </w:r>
      <w:r w:rsidR="009533C2">
        <w:rPr>
          <w:b w:val="0"/>
        </w:rPr>
        <w:t xml:space="preserve">ont été </w:t>
      </w:r>
      <w:r w:rsidRPr="00270BA4">
        <w:rPr>
          <w:b w:val="0"/>
          <w:bCs/>
        </w:rPr>
        <w:t>adopté</w:t>
      </w:r>
      <w:r w:rsidR="009533C2">
        <w:rPr>
          <w:b w:val="0"/>
          <w:bCs/>
        </w:rPr>
        <w:t>es</w:t>
      </w:r>
      <w:r w:rsidRPr="00270BA4">
        <w:rPr>
          <w:b w:val="0"/>
          <w:bCs/>
        </w:rPr>
        <w:t xml:space="preserve"> a</w:t>
      </w:r>
      <w:r>
        <w:rPr>
          <w:b w:val="0"/>
          <w:bCs/>
        </w:rPr>
        <w:t>vec les modifications suivantes</w:t>
      </w:r>
      <w:r w:rsidRPr="00270BA4">
        <w:rPr>
          <w:b w:val="0"/>
          <w:bCs/>
        </w:rPr>
        <w:t>:</w:t>
      </w:r>
    </w:p>
    <w:p w:rsidR="003A0A8B" w:rsidRPr="00884179" w:rsidRDefault="003A0A8B" w:rsidP="003A0A8B">
      <w:pPr>
        <w:pStyle w:val="H23G"/>
        <w:rPr>
          <w:lang w:val="fr-FR"/>
        </w:rPr>
      </w:pPr>
      <w:r w:rsidRPr="00884179">
        <w:rPr>
          <w:lang w:val="fr-FR"/>
        </w:rPr>
        <w:lastRenderedPageBreak/>
        <w:tab/>
      </w:r>
      <w:r w:rsidRPr="00884179">
        <w:rPr>
          <w:lang w:val="fr-FR"/>
        </w:rPr>
        <w:tab/>
        <w:t xml:space="preserve">Chapitre </w:t>
      </w:r>
      <w:r>
        <w:rPr>
          <w:lang w:val="fr-FR"/>
        </w:rPr>
        <w:t>1.1</w:t>
      </w:r>
    </w:p>
    <w:p w:rsidR="003A0A8B" w:rsidRDefault="003A0A8B" w:rsidP="003A0A8B">
      <w:pPr>
        <w:pStyle w:val="SingleTxtG"/>
        <w:rPr>
          <w:lang w:val="fr-FR"/>
        </w:rPr>
      </w:pPr>
      <w:r>
        <w:rPr>
          <w:iCs/>
          <w:lang w:val="fr-FR"/>
        </w:rPr>
        <w:t>1.1.3.6.3</w:t>
      </w:r>
      <w:r w:rsidRPr="00884179">
        <w:rPr>
          <w:iCs/>
          <w:lang w:val="fr-FR"/>
        </w:rPr>
        <w:tab/>
      </w:r>
      <w:r>
        <w:rPr>
          <w:iCs/>
          <w:lang w:val="fr-FR"/>
        </w:rPr>
        <w:t>Pour la catégorie de transport 0, pour la classe 9, d</w:t>
      </w:r>
      <w:r w:rsidRPr="00884179">
        <w:rPr>
          <w:lang w:val="fr-FR"/>
        </w:rPr>
        <w:t>ans le texte anglais, remplacer «</w:t>
      </w:r>
      <w:r w:rsidRPr="00B37E5E">
        <w:rPr>
          <w:bCs/>
          <w:iCs/>
          <w:lang w:val="fr-FR"/>
        </w:rPr>
        <w:t>apparatus</w:t>
      </w:r>
      <w:r w:rsidRPr="00884179">
        <w:rPr>
          <w:lang w:val="fr-FR"/>
        </w:rPr>
        <w:t>» par «</w:t>
      </w:r>
      <w:r w:rsidRPr="00B37E5E">
        <w:rPr>
          <w:bCs/>
          <w:iCs/>
          <w:lang w:val="fr-FR"/>
        </w:rPr>
        <w:t>articles</w:t>
      </w:r>
      <w:r w:rsidRPr="00884179">
        <w:rPr>
          <w:lang w:val="fr-FR"/>
        </w:rPr>
        <w:t>».</w:t>
      </w:r>
    </w:p>
    <w:p w:rsidR="003A0A8B" w:rsidRPr="00884179" w:rsidRDefault="003A0A8B" w:rsidP="003A0A8B">
      <w:pPr>
        <w:pStyle w:val="H23G"/>
        <w:rPr>
          <w:lang w:val="fr-FR"/>
        </w:rPr>
      </w:pPr>
      <w:r w:rsidRPr="00617A2D">
        <w:rPr>
          <w:lang w:val="fr-FR"/>
        </w:rPr>
        <w:tab/>
      </w:r>
      <w:r w:rsidRPr="00617A2D">
        <w:rPr>
          <w:lang w:val="fr-FR"/>
        </w:rPr>
        <w:tab/>
      </w:r>
      <w:r w:rsidRPr="00884179">
        <w:rPr>
          <w:lang w:val="fr-FR"/>
        </w:rPr>
        <w:t xml:space="preserve">Chapitre </w:t>
      </w:r>
      <w:r>
        <w:rPr>
          <w:lang w:val="fr-FR"/>
        </w:rPr>
        <w:t>1.2</w:t>
      </w:r>
    </w:p>
    <w:p w:rsidR="003A0A8B" w:rsidRDefault="003A0A8B" w:rsidP="003A0A8B">
      <w:pPr>
        <w:pStyle w:val="SingleTxtG"/>
        <w:rPr>
          <w:lang w:val="fr-FR"/>
        </w:rPr>
      </w:pPr>
      <w:r>
        <w:rPr>
          <w:iCs/>
          <w:lang w:val="fr-FR"/>
        </w:rPr>
        <w:t>1.2.1</w:t>
      </w:r>
      <w:r w:rsidRPr="00884179">
        <w:rPr>
          <w:iCs/>
          <w:lang w:val="fr-FR"/>
        </w:rPr>
        <w:tab/>
      </w:r>
      <w:r>
        <w:rPr>
          <w:lang w:val="fr-FR"/>
        </w:rPr>
        <w:t>Dans les définitions de «</w:t>
      </w:r>
      <w:r w:rsidRPr="00884179">
        <w:rPr>
          <w:i/>
          <w:lang w:val="fr-FR"/>
        </w:rPr>
        <w:t>Durée de service</w:t>
      </w:r>
      <w:r>
        <w:rPr>
          <w:lang w:val="fr-FR"/>
        </w:rPr>
        <w:t>» et «</w:t>
      </w:r>
      <w:r w:rsidRPr="00884179">
        <w:rPr>
          <w:i/>
          <w:lang w:val="fr-FR"/>
        </w:rPr>
        <w:t>Durée de vie nominale</w:t>
      </w:r>
      <w:r>
        <w:rPr>
          <w:lang w:val="fr-FR"/>
        </w:rPr>
        <w:t>», remplacer «bouteilles à gaz» par «bouteilles».</w:t>
      </w:r>
    </w:p>
    <w:p w:rsidR="003A0A8B" w:rsidRPr="00884179" w:rsidRDefault="003A0A8B" w:rsidP="003A0A8B">
      <w:pPr>
        <w:pStyle w:val="SingleTxtG"/>
        <w:rPr>
          <w:iCs/>
          <w:lang w:val="fr-FR"/>
        </w:rPr>
      </w:pPr>
      <w:r>
        <w:rPr>
          <w:lang w:val="fr-FR"/>
        </w:rPr>
        <w:t>1.2.1</w:t>
      </w:r>
      <w:r>
        <w:rPr>
          <w:lang w:val="fr-FR"/>
        </w:rPr>
        <w:tab/>
        <w:t>Dans la définition de «</w:t>
      </w:r>
      <w:r w:rsidRPr="000C748A">
        <w:rPr>
          <w:i/>
        </w:rPr>
        <w:t>Température de polymérisation auto-accélérée (TPAA)</w:t>
      </w:r>
      <w:r>
        <w:rPr>
          <w:lang w:val="fr-FR"/>
        </w:rPr>
        <w:t>», remplacer «servant au transport» par «tel que remis au transport».</w:t>
      </w:r>
    </w:p>
    <w:p w:rsidR="003A0A8B" w:rsidRPr="00884179" w:rsidRDefault="003A0A8B" w:rsidP="003A0A8B">
      <w:pPr>
        <w:pStyle w:val="H23G"/>
        <w:rPr>
          <w:lang w:val="fr-FR"/>
        </w:rPr>
      </w:pPr>
      <w:r w:rsidRPr="00884179">
        <w:rPr>
          <w:lang w:val="fr-FR"/>
        </w:rPr>
        <w:tab/>
      </w:r>
      <w:r w:rsidRPr="00884179">
        <w:rPr>
          <w:lang w:val="fr-FR"/>
        </w:rPr>
        <w:tab/>
        <w:t xml:space="preserve">Chapitre </w:t>
      </w:r>
      <w:r>
        <w:rPr>
          <w:lang w:val="fr-FR"/>
        </w:rPr>
        <w:t>1.6</w:t>
      </w:r>
    </w:p>
    <w:p w:rsidR="003A0A8B" w:rsidRDefault="003A0A8B" w:rsidP="003A0A8B">
      <w:pPr>
        <w:pStyle w:val="SingleTxtG"/>
        <w:rPr>
          <w:lang w:val="fr-FR"/>
        </w:rPr>
      </w:pPr>
      <w:r>
        <w:rPr>
          <w:iCs/>
          <w:lang w:val="fr-FR"/>
        </w:rPr>
        <w:t>1.6.1.25</w:t>
      </w:r>
      <w:r>
        <w:rPr>
          <w:iCs/>
          <w:lang w:val="fr-FR"/>
        </w:rPr>
        <w:tab/>
      </w:r>
      <w:r w:rsidR="00996A47">
        <w:rPr>
          <w:iCs/>
          <w:lang w:val="fr-FR"/>
        </w:rPr>
        <w:t xml:space="preserve">À </w:t>
      </w:r>
      <w:r>
        <w:rPr>
          <w:iCs/>
          <w:lang w:val="fr-FR"/>
        </w:rPr>
        <w:t>la fin, supprimer la virgule avant «jusqu’à leur prochain contrôle».</w:t>
      </w:r>
    </w:p>
    <w:p w:rsidR="003A0A8B" w:rsidRDefault="003A0A8B" w:rsidP="003A0A8B">
      <w:pPr>
        <w:pStyle w:val="SingleTxtG"/>
        <w:rPr>
          <w:lang w:val="fr-FR"/>
        </w:rPr>
      </w:pPr>
      <w:r>
        <w:rPr>
          <w:iCs/>
          <w:lang w:val="fr-FR"/>
        </w:rPr>
        <w:t>1.6.1.39</w:t>
      </w:r>
      <w:r>
        <w:rPr>
          <w:iCs/>
          <w:lang w:val="fr-FR"/>
        </w:rPr>
        <w:tab/>
        <w:t>Remplacer «division 6.1» par «classe 6.1».</w:t>
      </w:r>
    </w:p>
    <w:p w:rsidR="003A0A8B" w:rsidRPr="00884179" w:rsidRDefault="003A0A8B" w:rsidP="003A0A8B">
      <w:pPr>
        <w:pStyle w:val="H23G"/>
        <w:rPr>
          <w:lang w:val="fr-FR"/>
        </w:rPr>
      </w:pPr>
      <w:r w:rsidRPr="00884179">
        <w:rPr>
          <w:lang w:val="fr-FR"/>
        </w:rPr>
        <w:tab/>
      </w:r>
      <w:r w:rsidRPr="00884179">
        <w:rPr>
          <w:lang w:val="fr-FR"/>
        </w:rPr>
        <w:tab/>
        <w:t xml:space="preserve">Chapitre </w:t>
      </w:r>
      <w:r>
        <w:rPr>
          <w:lang w:val="fr-FR"/>
        </w:rPr>
        <w:t>2.1</w:t>
      </w:r>
    </w:p>
    <w:p w:rsidR="003A0A8B" w:rsidRDefault="003A0A8B" w:rsidP="003A0A8B">
      <w:pPr>
        <w:pStyle w:val="SingleTxtG"/>
        <w:rPr>
          <w:iCs/>
          <w:lang w:val="fr-FR"/>
        </w:rPr>
      </w:pPr>
      <w:r>
        <w:rPr>
          <w:iCs/>
          <w:lang w:val="fr-FR"/>
        </w:rPr>
        <w:t>2.1.2.8, Nota 1</w:t>
      </w:r>
      <w:r w:rsidRPr="00884179">
        <w:rPr>
          <w:iCs/>
          <w:lang w:val="fr-FR"/>
        </w:rPr>
        <w:tab/>
      </w:r>
      <w:r>
        <w:rPr>
          <w:iCs/>
          <w:lang w:val="fr-FR"/>
        </w:rPr>
        <w:t>Remplacer «reconnaitre» par «reconnaître».</w:t>
      </w:r>
    </w:p>
    <w:p w:rsidR="003A0A8B" w:rsidRPr="00884179" w:rsidRDefault="003A0A8B" w:rsidP="003A0A8B">
      <w:pPr>
        <w:pStyle w:val="SingleTxtG"/>
        <w:rPr>
          <w:iCs/>
          <w:lang w:val="fr-FR"/>
        </w:rPr>
      </w:pPr>
      <w:r>
        <w:rPr>
          <w:iCs/>
          <w:lang w:val="fr-FR"/>
        </w:rPr>
        <w:t>2.1.2.8, Nota 2</w:t>
      </w:r>
      <w:r>
        <w:rPr>
          <w:iCs/>
          <w:lang w:val="fr-FR"/>
        </w:rPr>
        <w:tab/>
        <w:t xml:space="preserve">Après «Liste de marchandises dangereuses», ajouter «du </w:t>
      </w:r>
      <w:r w:rsidRPr="0016419C">
        <w:t>Rè</w:t>
      </w:r>
      <w:r>
        <w:t>glement type de l'ONU</w:t>
      </w:r>
      <w:r>
        <w:rPr>
          <w:iCs/>
          <w:lang w:val="fr-FR"/>
        </w:rPr>
        <w:t>».</w:t>
      </w:r>
    </w:p>
    <w:p w:rsidR="003A0A8B" w:rsidRPr="00884179" w:rsidRDefault="003A0A8B" w:rsidP="003A0A8B">
      <w:pPr>
        <w:pStyle w:val="H23G"/>
        <w:rPr>
          <w:lang w:val="fr-FR"/>
        </w:rPr>
      </w:pPr>
      <w:r w:rsidRPr="00884179">
        <w:rPr>
          <w:lang w:val="fr-FR"/>
        </w:rPr>
        <w:tab/>
      </w:r>
      <w:r w:rsidRPr="00884179">
        <w:rPr>
          <w:lang w:val="fr-FR"/>
        </w:rPr>
        <w:tab/>
        <w:t>Chapitre 2.2</w:t>
      </w:r>
    </w:p>
    <w:p w:rsidR="003A0A8B" w:rsidRDefault="003A0A8B" w:rsidP="002D091E">
      <w:pPr>
        <w:pStyle w:val="SingleTxtG"/>
        <w:rPr>
          <w:iCs/>
          <w:lang w:val="fr-FR"/>
        </w:rPr>
      </w:pPr>
      <w:r>
        <w:rPr>
          <w:iCs/>
          <w:lang w:val="fr-FR"/>
        </w:rPr>
        <w:t>2.2.1.1.7.5, dans le tableau</w:t>
      </w:r>
      <w:r>
        <w:rPr>
          <w:iCs/>
          <w:lang w:val="fr-FR"/>
        </w:rPr>
        <w:tab/>
        <w:t>Remplacer «2.1.3.5.1» par «2.2.1.1.7.1».</w:t>
      </w:r>
    </w:p>
    <w:p w:rsidR="00BB1B8C" w:rsidRPr="002A4564" w:rsidRDefault="00BB1B8C" w:rsidP="002D091E">
      <w:pPr>
        <w:pStyle w:val="SingleTxtG"/>
        <w:rPr>
          <w:iCs/>
          <w:lang w:val="fr-FR"/>
        </w:rPr>
      </w:pPr>
      <w:r w:rsidRPr="002A4564">
        <w:rPr>
          <w:iCs/>
          <w:lang w:val="fr-FR"/>
        </w:rPr>
        <w:t>2.2.1.1.9.4 e)</w:t>
      </w:r>
      <w:r w:rsidRPr="002A4564">
        <w:rPr>
          <w:iCs/>
          <w:lang w:val="fr-FR"/>
        </w:rPr>
        <w:tab/>
      </w:r>
      <w:r w:rsidR="002D091E">
        <w:rPr>
          <w:iCs/>
          <w:lang w:val="fr-FR"/>
        </w:rPr>
        <w:tab/>
      </w:r>
      <w:r w:rsidRPr="002A4564">
        <w:rPr>
          <w:iCs/>
          <w:lang w:val="fr-FR"/>
        </w:rPr>
        <w:t>Modifier pour lire comme suit: «e)</w:t>
      </w:r>
      <w:r w:rsidRPr="002A4564">
        <w:rPr>
          <w:iCs/>
          <w:lang w:val="fr-FR"/>
        </w:rPr>
        <w:tab/>
      </w:r>
      <w:r w:rsidRPr="002A4564">
        <w:rPr>
          <w:iCs/>
          <w:lang w:val="fr-FR"/>
        </w:rPr>
        <w:tab/>
        <w:t>Dénomination sous laquelle la matière ou l’objet explosible sera mis sur le marché ou expédié;».</w:t>
      </w:r>
    </w:p>
    <w:p w:rsidR="00BB1B8C" w:rsidRPr="002A4564" w:rsidRDefault="00BB1B8C" w:rsidP="002D091E">
      <w:pPr>
        <w:pStyle w:val="SingleTxtG"/>
        <w:rPr>
          <w:iCs/>
          <w:lang w:val="fr-FR"/>
        </w:rPr>
      </w:pPr>
      <w:r w:rsidRPr="002A4564">
        <w:rPr>
          <w:iCs/>
          <w:lang w:val="fr-FR"/>
        </w:rPr>
        <w:t>2.2.1.1.9.4 f)</w:t>
      </w:r>
      <w:r w:rsidRPr="002A4564">
        <w:rPr>
          <w:iCs/>
          <w:lang w:val="fr-FR"/>
        </w:rPr>
        <w:tab/>
      </w:r>
      <w:r w:rsidR="002D091E">
        <w:rPr>
          <w:iCs/>
          <w:lang w:val="fr-FR"/>
        </w:rPr>
        <w:tab/>
      </w:r>
      <w:r w:rsidRPr="002A4564">
        <w:rPr>
          <w:iCs/>
          <w:lang w:val="fr-FR"/>
        </w:rPr>
        <w:t>À la fin</w:t>
      </w:r>
      <w:r w:rsidR="002D091E">
        <w:rPr>
          <w:iCs/>
          <w:lang w:val="fr-FR"/>
        </w:rPr>
        <w:t>,</w:t>
      </w:r>
      <w:r w:rsidRPr="002A4564">
        <w:rPr>
          <w:iCs/>
          <w:lang w:val="fr-FR"/>
        </w:rPr>
        <w:t xml:space="preserve"> ajouter «à la matière ou l’objet explosible».</w:t>
      </w:r>
    </w:p>
    <w:p w:rsidR="002002B1" w:rsidRDefault="002002B1" w:rsidP="002D091E">
      <w:pPr>
        <w:pStyle w:val="SingleTxtG"/>
        <w:rPr>
          <w:iCs/>
          <w:lang w:val="fr-FR"/>
        </w:rPr>
      </w:pPr>
      <w:r w:rsidRPr="002A4564">
        <w:rPr>
          <w:iCs/>
          <w:lang w:val="fr-FR"/>
        </w:rPr>
        <w:t>2.2.1.1.9.4 j)</w:t>
      </w:r>
      <w:r w:rsidRPr="002A4564">
        <w:rPr>
          <w:iCs/>
          <w:lang w:val="fr-FR"/>
        </w:rPr>
        <w:tab/>
      </w:r>
      <w:r w:rsidR="002D091E">
        <w:rPr>
          <w:iCs/>
          <w:lang w:val="fr-FR"/>
        </w:rPr>
        <w:tab/>
      </w:r>
      <w:r w:rsidRPr="002A4564">
        <w:rPr>
          <w:iCs/>
          <w:lang w:val="fr-FR"/>
        </w:rPr>
        <w:t>À la fin</w:t>
      </w:r>
      <w:r w:rsidR="002D091E">
        <w:rPr>
          <w:iCs/>
          <w:lang w:val="fr-FR"/>
        </w:rPr>
        <w:t>,</w:t>
      </w:r>
      <w:r w:rsidRPr="002A4564">
        <w:rPr>
          <w:iCs/>
          <w:lang w:val="fr-FR"/>
        </w:rPr>
        <w:t xml:space="preserve"> remplacer «les explosifs serons commercialisés ou expédiés» par «la matière ou l’objet explosible sera mis sur le marché ou expédié».</w:t>
      </w:r>
    </w:p>
    <w:p w:rsidR="003A0A8B" w:rsidRDefault="003A0A8B" w:rsidP="002D091E">
      <w:pPr>
        <w:pStyle w:val="SingleTxtG"/>
        <w:rPr>
          <w:iCs/>
          <w:lang w:val="fr-FR"/>
        </w:rPr>
      </w:pPr>
      <w:r>
        <w:rPr>
          <w:iCs/>
          <w:lang w:val="fr-FR"/>
        </w:rPr>
        <w:t>2.2.3.2.2, 2.2.61.2.1 et 2.2.8.2.1</w:t>
      </w:r>
      <w:r>
        <w:rPr>
          <w:iCs/>
          <w:lang w:val="fr-FR"/>
        </w:rPr>
        <w:tab/>
      </w:r>
      <w:r w:rsidR="002D091E">
        <w:rPr>
          <w:iCs/>
          <w:lang w:val="fr-FR"/>
        </w:rPr>
        <w:tab/>
      </w:r>
      <w:r>
        <w:rPr>
          <w:iCs/>
          <w:lang w:val="fr-FR"/>
        </w:rPr>
        <w:t>Remplacer «conditions de transport normales» par «conditions normales de transport».</w:t>
      </w:r>
    </w:p>
    <w:p w:rsidR="002002B1" w:rsidRDefault="002002B1" w:rsidP="002D091E">
      <w:pPr>
        <w:pStyle w:val="SingleTxtG"/>
        <w:rPr>
          <w:iCs/>
          <w:lang w:val="fr-FR"/>
        </w:rPr>
      </w:pPr>
      <w:r w:rsidRPr="002A4564">
        <w:rPr>
          <w:iCs/>
          <w:lang w:val="fr-FR"/>
        </w:rPr>
        <w:t>2.2.41</w:t>
      </w:r>
      <w:r w:rsidRPr="002A4564">
        <w:rPr>
          <w:iCs/>
          <w:lang w:val="fr-FR"/>
        </w:rPr>
        <w:tab/>
      </w:r>
      <w:r w:rsidR="002A4564">
        <w:rPr>
          <w:iCs/>
          <w:lang w:val="fr-FR"/>
        </w:rPr>
        <w:tab/>
      </w:r>
      <w:r w:rsidRPr="002A4564">
        <w:rPr>
          <w:iCs/>
          <w:lang w:val="fr-FR"/>
        </w:rPr>
        <w:t xml:space="preserve">Modifier le premier titre </w:t>
      </w:r>
      <w:r w:rsidR="002A4564">
        <w:rPr>
          <w:iCs/>
          <w:lang w:val="fr-FR"/>
        </w:rPr>
        <w:t xml:space="preserve">avant les nouvelles sous-sections </w:t>
      </w:r>
      <w:r w:rsidR="002A4564" w:rsidRPr="002A4564">
        <w:rPr>
          <w:iCs/>
          <w:lang w:val="fr-FR"/>
        </w:rPr>
        <w:t xml:space="preserve">2.2.41.1.20 et 2.2.41.1.21 </w:t>
      </w:r>
      <w:r w:rsidRPr="002A4564">
        <w:rPr>
          <w:iCs/>
          <w:lang w:val="fr-FR"/>
        </w:rPr>
        <w:t>pour lire «Matières qui polymérisent».</w:t>
      </w:r>
    </w:p>
    <w:p w:rsidR="003A0A8B" w:rsidRDefault="003A0A8B" w:rsidP="002D091E">
      <w:pPr>
        <w:pStyle w:val="SingleTxtG"/>
        <w:rPr>
          <w:iCs/>
          <w:lang w:val="fr-FR"/>
        </w:rPr>
      </w:pPr>
      <w:r w:rsidRPr="002D6AA2">
        <w:rPr>
          <w:iCs/>
          <w:lang w:val="fr-FR"/>
        </w:rPr>
        <w:t>2.2.41.1.20 a)</w:t>
      </w:r>
      <w:r w:rsidRPr="002D6AA2">
        <w:rPr>
          <w:iCs/>
          <w:lang w:val="fr-FR"/>
        </w:rPr>
        <w:tab/>
      </w:r>
      <w:r w:rsidRPr="002D6AA2">
        <w:rPr>
          <w:iCs/>
          <w:lang w:val="fr-FR"/>
        </w:rPr>
        <w:tab/>
        <w:t xml:space="preserve">Remplacer </w:t>
      </w:r>
      <w:r>
        <w:rPr>
          <w:iCs/>
          <w:lang w:val="fr-FR"/>
        </w:rPr>
        <w:t>«présentés au transport» par «remis au transport».</w:t>
      </w:r>
    </w:p>
    <w:p w:rsidR="003A0A8B" w:rsidRPr="002D6AA2" w:rsidRDefault="003A0A8B" w:rsidP="002D091E">
      <w:pPr>
        <w:pStyle w:val="SingleTxtG"/>
        <w:rPr>
          <w:iCs/>
          <w:lang w:val="fr-FR"/>
        </w:rPr>
      </w:pPr>
      <w:r>
        <w:rPr>
          <w:iCs/>
          <w:lang w:val="fr-FR"/>
        </w:rPr>
        <w:t>2.2.41.1.21</w:t>
      </w:r>
      <w:r>
        <w:rPr>
          <w:iCs/>
          <w:lang w:val="fr-FR"/>
        </w:rPr>
        <w:tab/>
        <w:t>Remplacer «soumis à régulation» par «soumises à régulation».</w:t>
      </w:r>
    </w:p>
    <w:p w:rsidR="0093391B" w:rsidRPr="0093391B" w:rsidRDefault="0093391B" w:rsidP="002D091E">
      <w:pPr>
        <w:spacing w:after="120"/>
        <w:ind w:left="1134" w:right="1134"/>
        <w:jc w:val="both"/>
      </w:pPr>
      <w:r w:rsidRPr="0093391B">
        <w:t>2.2.9.1.14</w:t>
      </w:r>
      <w:r w:rsidRPr="0093391B">
        <w:tab/>
      </w:r>
      <w:r w:rsidR="009920C9">
        <w:t xml:space="preserve">Les </w:t>
      </w:r>
      <w:r w:rsidRPr="0093391B">
        <w:t>amendement</w:t>
      </w:r>
      <w:r w:rsidR="009920C9">
        <w:t>s doivent</w:t>
      </w:r>
      <w:r w:rsidRPr="0093391B">
        <w:t xml:space="preserve"> se lire: «Dans le Nota, biffer les rubriques pour les Nos. ONU 3166 et 3171.».</w:t>
      </w:r>
    </w:p>
    <w:p w:rsidR="0093391B" w:rsidRPr="0093391B" w:rsidRDefault="0093391B" w:rsidP="002D091E">
      <w:pPr>
        <w:spacing w:after="120"/>
        <w:ind w:left="1134" w:right="1134"/>
        <w:jc w:val="both"/>
        <w:rPr>
          <w:i/>
        </w:rPr>
      </w:pPr>
      <w:r w:rsidRPr="0093391B">
        <w:rPr>
          <w:i/>
        </w:rPr>
        <w:t>(Document de référence: document informel INF.39, proposition 1, amendement de conséquence)</w:t>
      </w:r>
    </w:p>
    <w:p w:rsidR="003A0A8B" w:rsidRPr="00884179" w:rsidRDefault="003A0A8B" w:rsidP="002D091E">
      <w:pPr>
        <w:pStyle w:val="SingleTxtG"/>
        <w:rPr>
          <w:iCs/>
          <w:lang w:val="fr-FR"/>
        </w:rPr>
      </w:pPr>
      <w:r w:rsidRPr="00884179">
        <w:rPr>
          <w:iCs/>
          <w:lang w:val="fr-FR"/>
        </w:rPr>
        <w:t>2.2.9.3</w:t>
      </w:r>
      <w:r w:rsidRPr="00884179">
        <w:rPr>
          <w:iCs/>
          <w:lang w:val="fr-FR"/>
        </w:rPr>
        <w:tab/>
      </w:r>
      <w:r w:rsidRPr="00884179">
        <w:rPr>
          <w:iCs/>
          <w:lang w:val="fr-FR"/>
        </w:rPr>
        <w:tab/>
      </w:r>
      <w:r w:rsidRPr="00884179">
        <w:rPr>
          <w:lang w:val="fr-FR"/>
        </w:rPr>
        <w:t>Dans le texte anglais, remplacer «</w:t>
      </w:r>
      <w:r w:rsidRPr="00884179">
        <w:rPr>
          <w:bCs/>
          <w:i/>
          <w:iCs/>
          <w:lang w:val="fr-FR"/>
        </w:rPr>
        <w:t>[articles] / [apparatus]</w:t>
      </w:r>
      <w:r w:rsidRPr="00884179">
        <w:rPr>
          <w:lang w:val="fr-FR"/>
        </w:rPr>
        <w:t>» par «</w:t>
      </w:r>
      <w:r w:rsidRPr="00884179">
        <w:rPr>
          <w:bCs/>
          <w:i/>
          <w:iCs/>
          <w:lang w:val="fr-FR"/>
        </w:rPr>
        <w:t>articles</w:t>
      </w:r>
      <w:r w:rsidRPr="00884179">
        <w:rPr>
          <w:lang w:val="fr-FR"/>
        </w:rPr>
        <w:t>».</w:t>
      </w:r>
    </w:p>
    <w:p w:rsidR="003A0A8B" w:rsidRPr="00884179" w:rsidRDefault="003A0A8B" w:rsidP="003A0A8B">
      <w:pPr>
        <w:pStyle w:val="H23G"/>
        <w:rPr>
          <w:lang w:val="fr-FR"/>
        </w:rPr>
      </w:pPr>
      <w:r w:rsidRPr="00884179">
        <w:rPr>
          <w:lang w:val="fr-FR"/>
        </w:rPr>
        <w:tab/>
      </w:r>
      <w:r w:rsidRPr="00884179">
        <w:rPr>
          <w:lang w:val="fr-FR"/>
        </w:rPr>
        <w:tab/>
        <w:t>Chapitre 3.</w:t>
      </w:r>
      <w:r>
        <w:rPr>
          <w:lang w:val="fr-FR"/>
        </w:rPr>
        <w:t>1</w:t>
      </w:r>
    </w:p>
    <w:p w:rsidR="003A0A8B" w:rsidRDefault="003A0A8B" w:rsidP="003A0A8B">
      <w:pPr>
        <w:pStyle w:val="SingleTxtG"/>
        <w:rPr>
          <w:iCs/>
          <w:lang w:val="fr-FR"/>
        </w:rPr>
      </w:pPr>
      <w:r>
        <w:rPr>
          <w:iCs/>
          <w:lang w:val="fr-FR"/>
        </w:rPr>
        <w:t>3.1.2.3</w:t>
      </w:r>
      <w:r>
        <w:rPr>
          <w:iCs/>
          <w:lang w:val="fr-FR"/>
        </w:rPr>
        <w:tab/>
      </w:r>
      <w:r>
        <w:rPr>
          <w:iCs/>
          <w:lang w:val="fr-FR"/>
        </w:rPr>
        <w:tab/>
      </w:r>
      <w:r w:rsidR="00A00571">
        <w:t>L’amendement ne s’applique pas au texte français.</w:t>
      </w:r>
    </w:p>
    <w:p w:rsidR="0093391B" w:rsidRDefault="0093391B" w:rsidP="0093391B">
      <w:pPr>
        <w:pStyle w:val="H23G"/>
        <w:rPr>
          <w:lang w:val="fr-FR"/>
        </w:rPr>
      </w:pPr>
      <w:r>
        <w:rPr>
          <w:lang w:val="fr-FR"/>
        </w:rPr>
        <w:tab/>
      </w:r>
      <w:r>
        <w:rPr>
          <w:lang w:val="fr-FR"/>
        </w:rPr>
        <w:tab/>
        <w:t xml:space="preserve">Chapitre 3.2, </w:t>
      </w:r>
      <w:r>
        <w:t>tableau A</w:t>
      </w:r>
    </w:p>
    <w:p w:rsidR="0093391B" w:rsidRDefault="0093391B" w:rsidP="0093391B">
      <w:pPr>
        <w:pStyle w:val="SingleTxtG"/>
      </w:pPr>
      <w:r>
        <w:t>Biffer l'amendement concernant le No. ONU 3166.</w:t>
      </w:r>
    </w:p>
    <w:p w:rsidR="003A0A8B" w:rsidRPr="00884179" w:rsidRDefault="003A0A8B" w:rsidP="003A0A8B">
      <w:pPr>
        <w:pStyle w:val="H23G"/>
        <w:rPr>
          <w:lang w:val="fr-FR"/>
        </w:rPr>
      </w:pPr>
      <w:r w:rsidRPr="00884179">
        <w:rPr>
          <w:lang w:val="fr-FR"/>
        </w:rPr>
        <w:lastRenderedPageBreak/>
        <w:tab/>
      </w:r>
      <w:r w:rsidRPr="00884179">
        <w:rPr>
          <w:lang w:val="fr-FR"/>
        </w:rPr>
        <w:tab/>
        <w:t>Chapitre 3.2, tableau A, nouvelles rubriques</w:t>
      </w:r>
    </w:p>
    <w:p w:rsidR="003A0A8B" w:rsidRDefault="003A0A8B" w:rsidP="002D091E">
      <w:pPr>
        <w:pStyle w:val="SingleTxtG"/>
        <w:rPr>
          <w:iCs/>
          <w:lang w:val="fr-FR"/>
        </w:rPr>
      </w:pPr>
      <w:r>
        <w:rPr>
          <w:iCs/>
          <w:lang w:val="fr-FR"/>
        </w:rPr>
        <w:t>Pour le No ONU 0510, supprimer «</w:t>
      </w:r>
      <w:r w:rsidRPr="00E1236D">
        <w:rPr>
          <w:sz w:val="18"/>
          <w:szCs w:val="18"/>
        </w:rPr>
        <w:t>†</w:t>
      </w:r>
      <w:r>
        <w:rPr>
          <w:iCs/>
          <w:lang w:val="fr-FR"/>
        </w:rPr>
        <w:t>» en colonne (2).</w:t>
      </w:r>
    </w:p>
    <w:p w:rsidR="003044BB" w:rsidRDefault="003044BB" w:rsidP="002D091E">
      <w:pPr>
        <w:pStyle w:val="SingleTxtG"/>
      </w:pPr>
      <w:r>
        <w:t xml:space="preserve">Pour les Nos ONU </w:t>
      </w:r>
      <w:r w:rsidRPr="00760B05">
        <w:t xml:space="preserve">3528, 3529 </w:t>
      </w:r>
      <w:r>
        <w:t>et</w:t>
      </w:r>
      <w:r w:rsidRPr="00760B05">
        <w:t xml:space="preserve"> 3530, </w:t>
      </w:r>
      <w:r>
        <w:t>en colonne</w:t>
      </w:r>
      <w:r w:rsidRPr="00760B05">
        <w:t xml:space="preserve"> (6) </w:t>
      </w:r>
      <w:r>
        <w:t>ajouter</w:t>
      </w:r>
      <w:r w:rsidRPr="00760B05">
        <w:t xml:space="preserve"> “</w:t>
      </w:r>
      <w:r w:rsidR="00ED23F0">
        <w:t>667</w:t>
      </w:r>
      <w:r w:rsidRPr="00760B05">
        <w:t>”</w:t>
      </w:r>
      <w:r>
        <w:t>.</w:t>
      </w:r>
    </w:p>
    <w:p w:rsidR="003044BB" w:rsidRDefault="003044BB" w:rsidP="002D091E">
      <w:pPr>
        <w:pStyle w:val="SingleTxtG"/>
        <w:rPr>
          <w:i/>
        </w:rPr>
      </w:pPr>
      <w:r w:rsidRPr="00301384">
        <w:rPr>
          <w:i/>
        </w:rPr>
        <w:t>(Document de référence: document informel INF.39)</w:t>
      </w:r>
    </w:p>
    <w:p w:rsidR="003A0A8B" w:rsidRPr="00884179" w:rsidRDefault="003A0A8B" w:rsidP="002D091E">
      <w:pPr>
        <w:pStyle w:val="SingleTxtG"/>
        <w:rPr>
          <w:iCs/>
          <w:lang w:val="fr-FR"/>
        </w:rPr>
      </w:pPr>
      <w:r w:rsidRPr="00884179">
        <w:rPr>
          <w:iCs/>
          <w:lang w:val="fr-FR"/>
        </w:rPr>
        <w:t>Pour les No ONU 3531, 3532, 3533 et 3534, supprimer les crochets.</w:t>
      </w:r>
    </w:p>
    <w:p w:rsidR="00BE40E1" w:rsidRDefault="00BE40E1" w:rsidP="002D091E">
      <w:pPr>
        <w:pStyle w:val="SingleTxtG"/>
      </w:pPr>
      <w:r>
        <w:t>Pour les Nos ONU 3531 et 3532 / 3531, 3532, 3533 et 3534</w:t>
      </w:r>
      <w:r w:rsidRPr="00760B05">
        <w:t xml:space="preserve">, </w:t>
      </w:r>
      <w:r>
        <w:t>en colonne</w:t>
      </w:r>
      <w:r w:rsidRPr="00760B05">
        <w:t xml:space="preserve"> (</w:t>
      </w:r>
      <w:r>
        <w:t>13</w:t>
      </w:r>
      <w:r w:rsidRPr="00760B05">
        <w:t xml:space="preserve">) </w:t>
      </w:r>
      <w:r>
        <w:t>ajouter «</w:t>
      </w:r>
      <w:r w:rsidR="00032AD5">
        <w:t>[</w:t>
      </w:r>
      <w:r>
        <w:t>TE11</w:t>
      </w:r>
      <w:r w:rsidR="00032AD5">
        <w:t>]</w:t>
      </w:r>
      <w:r>
        <w:t>».</w:t>
      </w:r>
    </w:p>
    <w:p w:rsidR="00BE40E1" w:rsidRDefault="00BE40E1" w:rsidP="002D091E">
      <w:pPr>
        <w:pStyle w:val="SingleTxtG"/>
        <w:rPr>
          <w:i/>
        </w:rPr>
      </w:pPr>
      <w:r w:rsidRPr="00301384">
        <w:rPr>
          <w:i/>
        </w:rPr>
        <w:t>(Document de référence: document informel INF.</w:t>
      </w:r>
      <w:r w:rsidR="00ED23F0">
        <w:rPr>
          <w:i/>
        </w:rPr>
        <w:t>3, proposition 1</w:t>
      </w:r>
      <w:r w:rsidRPr="00301384">
        <w:rPr>
          <w:i/>
        </w:rPr>
        <w:t>)</w:t>
      </w:r>
    </w:p>
    <w:p w:rsidR="003A0A8B" w:rsidRPr="00884179" w:rsidRDefault="003A0A8B" w:rsidP="003A0A8B">
      <w:pPr>
        <w:pStyle w:val="H23G"/>
        <w:rPr>
          <w:lang w:val="fr-FR"/>
        </w:rPr>
      </w:pPr>
      <w:r w:rsidRPr="00884179">
        <w:rPr>
          <w:lang w:val="fr-FR"/>
        </w:rPr>
        <w:tab/>
      </w:r>
      <w:r w:rsidRPr="00884179">
        <w:rPr>
          <w:lang w:val="fr-FR"/>
        </w:rPr>
        <w:tab/>
        <w:t>Chapitre 3.2, tableau B</w:t>
      </w:r>
    </w:p>
    <w:p w:rsidR="003A0A8B" w:rsidRPr="00884179" w:rsidRDefault="003A0A8B" w:rsidP="002D091E">
      <w:pPr>
        <w:pStyle w:val="SingleTxtG"/>
        <w:spacing w:before="120"/>
        <w:rPr>
          <w:iCs/>
          <w:lang w:val="fr-FR"/>
        </w:rPr>
      </w:pPr>
      <w:r w:rsidRPr="00884179">
        <w:rPr>
          <w:iCs/>
          <w:lang w:val="fr-FR"/>
        </w:rPr>
        <w:t>Dans la liste des nouvelles rubriques, ajouter les rubriques suivantes:</w:t>
      </w:r>
    </w:p>
    <w:tbl>
      <w:tblPr>
        <w:tblW w:w="87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850"/>
        <w:gridCol w:w="850"/>
      </w:tblGrid>
      <w:tr w:rsidR="003A0A8B" w:rsidRPr="00EC60E6" w:rsidTr="00781E65">
        <w:tc>
          <w:tcPr>
            <w:tcW w:w="7093" w:type="dxa"/>
            <w:shd w:val="clear" w:color="auto" w:fill="auto"/>
          </w:tcPr>
          <w:p w:rsidR="003A0A8B" w:rsidRPr="00EC60E6" w:rsidRDefault="003A0A8B" w:rsidP="00781E65">
            <w:pPr>
              <w:pStyle w:val="SingleTxtG"/>
              <w:ind w:left="0" w:right="142"/>
              <w:rPr>
                <w:sz w:val="18"/>
                <w:szCs w:val="18"/>
                <w:lang w:val="fr-FR"/>
              </w:rPr>
            </w:pPr>
            <w:r w:rsidRPr="00EC60E6">
              <w:rPr>
                <w:sz w:val="18"/>
                <w:szCs w:val="18"/>
                <w:lang w:val="fr-FR"/>
              </w:rPr>
              <w:t>MATIÈRE SOLIDE QUI POLYMÉRISE, STABILISÉE, N.S.A</w:t>
            </w:r>
          </w:p>
        </w:tc>
        <w:tc>
          <w:tcPr>
            <w:tcW w:w="850" w:type="dxa"/>
            <w:shd w:val="clear" w:color="auto" w:fill="auto"/>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3531</w:t>
            </w:r>
          </w:p>
        </w:tc>
        <w:tc>
          <w:tcPr>
            <w:tcW w:w="850" w:type="dxa"/>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4.1</w:t>
            </w:r>
          </w:p>
        </w:tc>
      </w:tr>
      <w:tr w:rsidR="003A0A8B" w:rsidRPr="00EC60E6" w:rsidTr="00781E65">
        <w:tc>
          <w:tcPr>
            <w:tcW w:w="7093" w:type="dxa"/>
            <w:shd w:val="clear" w:color="auto" w:fill="auto"/>
          </w:tcPr>
          <w:p w:rsidR="003A0A8B" w:rsidRPr="00EC60E6" w:rsidRDefault="003A0A8B" w:rsidP="00781E65">
            <w:pPr>
              <w:pStyle w:val="SingleTxtG"/>
              <w:ind w:left="0" w:right="142"/>
              <w:rPr>
                <w:sz w:val="18"/>
                <w:szCs w:val="18"/>
                <w:lang w:val="fr-FR"/>
              </w:rPr>
            </w:pPr>
            <w:r w:rsidRPr="00EC60E6">
              <w:rPr>
                <w:sz w:val="18"/>
                <w:szCs w:val="18"/>
                <w:lang w:val="fr-FR"/>
              </w:rPr>
              <w:t>MATIÈRE LIQUIDE QUI POLYMÉRISE, STABILISÉE, N.S.A</w:t>
            </w:r>
          </w:p>
        </w:tc>
        <w:tc>
          <w:tcPr>
            <w:tcW w:w="850" w:type="dxa"/>
            <w:shd w:val="clear" w:color="auto" w:fill="auto"/>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3532</w:t>
            </w:r>
          </w:p>
        </w:tc>
        <w:tc>
          <w:tcPr>
            <w:tcW w:w="850" w:type="dxa"/>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4.1</w:t>
            </w:r>
          </w:p>
        </w:tc>
      </w:tr>
      <w:tr w:rsidR="003A0A8B" w:rsidRPr="00EC60E6" w:rsidTr="00781E65">
        <w:tc>
          <w:tcPr>
            <w:tcW w:w="7093" w:type="dxa"/>
            <w:shd w:val="clear" w:color="auto" w:fill="auto"/>
          </w:tcPr>
          <w:p w:rsidR="003A0A8B" w:rsidRPr="00EC60E6" w:rsidRDefault="003A0A8B" w:rsidP="00781E65">
            <w:pPr>
              <w:pStyle w:val="SingleTxtG"/>
              <w:ind w:left="0" w:right="142"/>
              <w:rPr>
                <w:sz w:val="18"/>
                <w:szCs w:val="18"/>
                <w:lang w:val="fr-FR"/>
              </w:rPr>
            </w:pPr>
            <w:r w:rsidRPr="00EC60E6">
              <w:rPr>
                <w:sz w:val="18"/>
                <w:szCs w:val="18"/>
                <w:lang w:val="fr-FR"/>
              </w:rPr>
              <w:t>MATIÈRE SOLIDE QUI POLYMÉRISE, AVEC RÉGULATION DE TEMPÉRATURE, N.S.A</w:t>
            </w:r>
          </w:p>
        </w:tc>
        <w:tc>
          <w:tcPr>
            <w:tcW w:w="850" w:type="dxa"/>
            <w:shd w:val="clear" w:color="auto" w:fill="auto"/>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3533</w:t>
            </w:r>
          </w:p>
        </w:tc>
        <w:tc>
          <w:tcPr>
            <w:tcW w:w="850" w:type="dxa"/>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4.1</w:t>
            </w:r>
          </w:p>
        </w:tc>
      </w:tr>
      <w:tr w:rsidR="003A0A8B" w:rsidRPr="00EC60E6" w:rsidTr="00781E65">
        <w:tc>
          <w:tcPr>
            <w:tcW w:w="7093" w:type="dxa"/>
            <w:shd w:val="clear" w:color="auto" w:fill="auto"/>
          </w:tcPr>
          <w:p w:rsidR="003A0A8B" w:rsidRPr="00EC60E6" w:rsidRDefault="003A0A8B" w:rsidP="00781E65">
            <w:pPr>
              <w:pStyle w:val="SingleTxtG"/>
              <w:ind w:left="0" w:right="142"/>
              <w:rPr>
                <w:sz w:val="18"/>
                <w:szCs w:val="18"/>
                <w:lang w:val="fr-FR"/>
              </w:rPr>
            </w:pPr>
            <w:r w:rsidRPr="00EC60E6">
              <w:rPr>
                <w:sz w:val="18"/>
                <w:szCs w:val="18"/>
                <w:lang w:val="fr-FR"/>
              </w:rPr>
              <w:t>MATIÈRE LIQUIDE QUI POLYMÉRISE, AVEC RÉGULATION DE TEMPÉRATURE, N.S.A</w:t>
            </w:r>
          </w:p>
        </w:tc>
        <w:tc>
          <w:tcPr>
            <w:tcW w:w="850" w:type="dxa"/>
            <w:shd w:val="clear" w:color="auto" w:fill="auto"/>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3534</w:t>
            </w:r>
          </w:p>
        </w:tc>
        <w:tc>
          <w:tcPr>
            <w:tcW w:w="850" w:type="dxa"/>
          </w:tcPr>
          <w:p w:rsidR="003A0A8B" w:rsidRPr="00EC60E6" w:rsidRDefault="003A0A8B" w:rsidP="00781E65">
            <w:pPr>
              <w:pStyle w:val="SingleTxtG"/>
              <w:tabs>
                <w:tab w:val="left" w:pos="0"/>
              </w:tabs>
              <w:ind w:left="0" w:right="141"/>
              <w:jc w:val="center"/>
              <w:rPr>
                <w:sz w:val="18"/>
                <w:szCs w:val="18"/>
                <w:lang w:val="fr-FR"/>
              </w:rPr>
            </w:pPr>
            <w:r w:rsidRPr="00EC60E6">
              <w:rPr>
                <w:sz w:val="18"/>
                <w:szCs w:val="18"/>
                <w:lang w:val="fr-FR"/>
              </w:rPr>
              <w:t>4.1</w:t>
            </w:r>
          </w:p>
        </w:tc>
      </w:tr>
    </w:tbl>
    <w:p w:rsidR="003A0A8B" w:rsidRPr="00884179" w:rsidRDefault="003A0A8B" w:rsidP="003A0A8B">
      <w:pPr>
        <w:pStyle w:val="H23G"/>
        <w:rPr>
          <w:lang w:val="fr-FR"/>
        </w:rPr>
      </w:pPr>
      <w:r w:rsidRPr="00884179">
        <w:rPr>
          <w:lang w:val="fr-FR"/>
        </w:rPr>
        <w:tab/>
      </w:r>
      <w:r w:rsidRPr="00884179">
        <w:rPr>
          <w:lang w:val="fr-FR"/>
        </w:rPr>
        <w:tab/>
        <w:t>Chapitre 3.3</w:t>
      </w:r>
    </w:p>
    <w:p w:rsidR="003A0A8B" w:rsidRDefault="003A0A8B" w:rsidP="003A0A8B">
      <w:pPr>
        <w:pStyle w:val="SingleTxtG"/>
        <w:rPr>
          <w:iCs/>
          <w:lang w:val="fr-FR"/>
        </w:rPr>
      </w:pPr>
      <w:r>
        <w:rPr>
          <w:iCs/>
          <w:lang w:val="fr-FR"/>
        </w:rPr>
        <w:t>3.3.1</w:t>
      </w:r>
      <w:r>
        <w:rPr>
          <w:iCs/>
          <w:lang w:val="fr-FR"/>
        </w:rPr>
        <w:tab/>
      </w:r>
      <w:r>
        <w:rPr>
          <w:iCs/>
          <w:lang w:val="fr-FR"/>
        </w:rPr>
        <w:tab/>
        <w:t>Remplacer «Si le marquage en question» par «Si la marque» et «la dimension minimale du marquage» par «la dimension minimale de la marque».</w:t>
      </w:r>
    </w:p>
    <w:p w:rsidR="003A0A8B" w:rsidRPr="00884179" w:rsidRDefault="003A0A8B" w:rsidP="003A0A8B">
      <w:pPr>
        <w:pStyle w:val="SingleTxtG"/>
        <w:rPr>
          <w:iCs/>
          <w:lang w:val="fr-FR"/>
        </w:rPr>
      </w:pPr>
      <w:r w:rsidRPr="00884179">
        <w:rPr>
          <w:iCs/>
          <w:lang w:val="fr-FR"/>
        </w:rPr>
        <w:t>DS 310</w:t>
      </w:r>
      <w:r w:rsidRPr="00884179">
        <w:rPr>
          <w:iCs/>
          <w:lang w:val="fr-FR"/>
        </w:rPr>
        <w:tab/>
        <w:t xml:space="preserve">Dans le dernier paragraphe, remplacer </w:t>
      </w:r>
      <w:r>
        <w:rPr>
          <w:iCs/>
          <w:lang w:val="fr-FR"/>
        </w:rPr>
        <w:t>«doivent être emballées» par «peuvent être emballées».</w:t>
      </w:r>
    </w:p>
    <w:p w:rsidR="003A0A8B" w:rsidRPr="00884179" w:rsidRDefault="003A0A8B" w:rsidP="003A0A8B">
      <w:pPr>
        <w:pStyle w:val="SingleTxtG"/>
        <w:rPr>
          <w:i/>
          <w:iCs/>
          <w:lang w:val="fr-FR"/>
        </w:rPr>
      </w:pPr>
      <w:r w:rsidRPr="00884179">
        <w:rPr>
          <w:i/>
          <w:iCs/>
          <w:lang w:val="fr-FR"/>
        </w:rPr>
        <w:t>(</w:t>
      </w:r>
      <w:r>
        <w:rPr>
          <w:i/>
          <w:iCs/>
          <w:lang w:val="fr-FR"/>
        </w:rPr>
        <w:t>D</w:t>
      </w:r>
      <w:r w:rsidRPr="00884179">
        <w:rPr>
          <w:i/>
          <w:iCs/>
          <w:lang w:val="fr-FR"/>
        </w:rPr>
        <w:t>ocument</w:t>
      </w:r>
      <w:r>
        <w:rPr>
          <w:i/>
          <w:iCs/>
          <w:lang w:val="fr-FR"/>
        </w:rPr>
        <w:t xml:space="preserve"> de référence</w:t>
      </w:r>
      <w:r w:rsidRPr="00884179">
        <w:rPr>
          <w:i/>
          <w:iCs/>
          <w:lang w:val="fr-FR"/>
        </w:rPr>
        <w:t xml:space="preserve">: document </w:t>
      </w:r>
      <w:r>
        <w:rPr>
          <w:i/>
          <w:iCs/>
          <w:lang w:val="fr-FR"/>
        </w:rPr>
        <w:t xml:space="preserve">informel </w:t>
      </w:r>
      <w:r w:rsidRPr="00884179">
        <w:rPr>
          <w:i/>
          <w:iCs/>
          <w:lang w:val="fr-FR"/>
        </w:rPr>
        <w:t>INF.27)</w:t>
      </w:r>
    </w:p>
    <w:p w:rsidR="007A3615" w:rsidRDefault="007A3615" w:rsidP="007A3615">
      <w:pPr>
        <w:pStyle w:val="SingleTxtG"/>
        <w:rPr>
          <w:lang w:val="fr-FR"/>
        </w:rPr>
      </w:pPr>
      <w:r>
        <w:rPr>
          <w:lang w:val="fr-FR"/>
        </w:rPr>
        <w:t>Dans la disposition spéciale 363:</w:t>
      </w:r>
    </w:p>
    <w:p w:rsidR="00F63896" w:rsidRDefault="00F63896" w:rsidP="00533A22">
      <w:pPr>
        <w:pStyle w:val="SingleTxtG"/>
        <w:ind w:left="1701"/>
        <w:rPr>
          <w:i/>
        </w:rPr>
      </w:pPr>
      <w:r>
        <w:t>Au début, a</w:t>
      </w:r>
      <w:r w:rsidRPr="00943859">
        <w:t>près «combustibles»,</w:t>
      </w:r>
      <w:r>
        <w:rPr>
          <w:i/>
        </w:rPr>
        <w:t xml:space="preserve"> </w:t>
      </w:r>
      <w:r>
        <w:t xml:space="preserve">ajouter une référence à la note de bas de page *. </w:t>
      </w:r>
      <w:r w:rsidRPr="00B05FED">
        <w:rPr>
          <w:lang w:val="fr-FR"/>
        </w:rPr>
        <w:t>Le texte de cette note de bas de page se lit comme suit:</w:t>
      </w:r>
      <w:r>
        <w:rPr>
          <w:lang w:val="fr-FR"/>
        </w:rPr>
        <w:t xml:space="preserve"> «*</w:t>
      </w:r>
      <w:r>
        <w:rPr>
          <w:lang w:val="fr-FR"/>
        </w:rPr>
        <w:tab/>
        <w:t>Le terme combustible inclut également les carburants.».</w:t>
      </w:r>
    </w:p>
    <w:p w:rsidR="007A3615" w:rsidRDefault="007A3615" w:rsidP="002D091E">
      <w:pPr>
        <w:pStyle w:val="SingleTxtG"/>
        <w:ind w:left="1701"/>
        <w:rPr>
          <w:lang w:val="fr-FR"/>
        </w:rPr>
      </w:pPr>
      <w:r w:rsidRPr="00DA7878">
        <w:t>À</w:t>
      </w:r>
      <w:r>
        <w:rPr>
          <w:lang w:val="fr-FR"/>
        </w:rPr>
        <w:t xml:space="preserve"> la fin de l’alinéa a), remplacer «</w:t>
      </w:r>
      <w:r w:rsidRPr="001C29E2">
        <w:t xml:space="preserve">, autres </w:t>
      </w:r>
      <w:r>
        <w:t>que ceux qui sont affectés aux Nos ONU 3166 ou 3363</w:t>
      </w:r>
      <w:r>
        <w:rPr>
          <w:lang w:val="fr-FR"/>
        </w:rPr>
        <w:t xml:space="preserve">» par «, </w:t>
      </w:r>
      <w:r w:rsidRPr="00E87289">
        <w:rPr>
          <w:lang w:val="fr-FR"/>
        </w:rPr>
        <w:t>en quantités supérieures à celles indiquées dans la colonne (7a) du tableau A</w:t>
      </w:r>
      <w:r>
        <w:rPr>
          <w:lang w:val="fr-FR"/>
        </w:rPr>
        <w:t xml:space="preserve"> </w:t>
      </w:r>
      <w:r w:rsidRPr="00E87289">
        <w:rPr>
          <w:lang w:val="fr-FR"/>
        </w:rPr>
        <w:t>du chapitre 3.2,</w:t>
      </w:r>
      <w:r>
        <w:rPr>
          <w:lang w:val="fr-FR"/>
        </w:rPr>
        <w:t xml:space="preserve"> autres que les équipements des véhicules affectés au No ONU 3166 visés dans la disposition spéciale </w:t>
      </w:r>
      <w:r w:rsidR="00ED23F0">
        <w:rPr>
          <w:lang w:val="fr-FR"/>
        </w:rPr>
        <w:t>666</w:t>
      </w:r>
      <w:r>
        <w:rPr>
          <w:lang w:val="fr-FR"/>
        </w:rPr>
        <w:t>». Ajouter le nouveau Nota suivant sous a): «</w:t>
      </w:r>
      <w:r w:rsidRPr="00DB7FE2">
        <w:rPr>
          <w:b/>
          <w:i/>
          <w:lang w:val="fr-FR"/>
        </w:rPr>
        <w:t>NOTA:</w:t>
      </w:r>
      <w:r w:rsidRPr="00DB7FE2">
        <w:rPr>
          <w:i/>
          <w:lang w:val="fr-FR"/>
        </w:rPr>
        <w:t xml:space="preserve"> Cette rubrique ne s’applique pas aux équipements visés au 1.1.3.3.</w:t>
      </w:r>
      <w:r>
        <w:rPr>
          <w:lang w:val="fr-FR"/>
        </w:rPr>
        <w:t>».</w:t>
      </w:r>
    </w:p>
    <w:p w:rsidR="001432DE" w:rsidRDefault="001432DE" w:rsidP="001432DE">
      <w:pPr>
        <w:pStyle w:val="SingleTxtG"/>
        <w:ind w:left="1701"/>
        <w:rPr>
          <w:iCs/>
          <w:lang w:val="fr-FR"/>
        </w:rPr>
      </w:pPr>
      <w:r>
        <w:rPr>
          <w:iCs/>
          <w:lang w:val="fr-FR"/>
        </w:rPr>
        <w:t>Sous l’alinéa b), au Nota 2, supprimer «positive».</w:t>
      </w:r>
    </w:p>
    <w:p w:rsidR="007A3615" w:rsidRDefault="007A3615" w:rsidP="002D091E">
      <w:pPr>
        <w:pStyle w:val="SingleTxtG"/>
        <w:ind w:left="1701"/>
      </w:pPr>
      <w:r>
        <w:rPr>
          <w:lang w:val="fr-FR"/>
        </w:rPr>
        <w:t xml:space="preserve">Dans l’alinéa f), remplacer la dernière phrase pour lire comme suit: </w:t>
      </w:r>
      <w:r>
        <w:t>«</w:t>
      </w:r>
      <w:r w:rsidR="00DA415B">
        <w:t>Cependant, à</w:t>
      </w:r>
      <w:r w:rsidRPr="00DA7878">
        <w:t xml:space="preserve"> moins qu’il n’en soit prévu autrement dans </w:t>
      </w:r>
      <w:r>
        <w:t xml:space="preserve">la disposition spéciale </w:t>
      </w:r>
      <w:r w:rsidR="00ED23F0">
        <w:t>667</w:t>
      </w:r>
      <w:r>
        <w:t xml:space="preserve">, les piles au lithium doivent satisfaire aux prescriptions du </w:t>
      </w:r>
      <w:r>
        <w:rPr>
          <w:rFonts w:eastAsia="Calibri"/>
        </w:rPr>
        <w:t>2.2.9.1.7</w:t>
      </w:r>
      <w:r>
        <w:t>.».</w:t>
      </w:r>
    </w:p>
    <w:p w:rsidR="007A3615" w:rsidRDefault="007A3615" w:rsidP="002D091E">
      <w:pPr>
        <w:pStyle w:val="SingleTxtG"/>
        <w:ind w:left="1701"/>
      </w:pPr>
      <w:r>
        <w:t>Dans l’alinéa g), au iv) et au v), supprimer le premier paragraphe après la phrase d’introduction et, à la fin, remplacer le texte entre crochets par:</w:t>
      </w:r>
    </w:p>
    <w:p w:rsidR="007A3615" w:rsidRDefault="007A3615" w:rsidP="002D091E">
      <w:pPr>
        <w:pStyle w:val="SingleTxtG"/>
        <w:ind w:left="1701"/>
      </w:pPr>
      <w:r>
        <w:t>«vi)</w:t>
      </w:r>
      <w:r>
        <w:tab/>
        <w:t xml:space="preserve">Un document de transport conforme au 5.4.1 n’est requis que lorsque le moteur ou la machine contient une quantité de combustible liquide supérieure à </w:t>
      </w:r>
      <w:r>
        <w:lastRenderedPageBreak/>
        <w:t xml:space="preserve">1000 l pour les Nos ONU 3528 et 3530, ou a une contenance en eau supérieure à 1000 l pour le No ONU 3529. </w:t>
      </w:r>
    </w:p>
    <w:p w:rsidR="007A3615" w:rsidRDefault="007A3615" w:rsidP="002D091E">
      <w:pPr>
        <w:pStyle w:val="SingleTxtG"/>
        <w:ind w:left="1701"/>
        <w:rPr>
          <w:lang w:val="fr-FR"/>
        </w:rPr>
      </w:pPr>
      <w:r>
        <w:tab/>
        <w:t>Ce document de transport doit contenir la mention suivante: "Transport selon la disposition spéciale 363".».</w:t>
      </w:r>
    </w:p>
    <w:p w:rsidR="008F0CCC" w:rsidRDefault="007A3615" w:rsidP="003A0A8B">
      <w:pPr>
        <w:pStyle w:val="SingleTxtG"/>
        <w:rPr>
          <w:i/>
        </w:rPr>
      </w:pPr>
      <w:r w:rsidRPr="00301384">
        <w:rPr>
          <w:i/>
        </w:rPr>
        <w:t xml:space="preserve">(Document de référence: document informel INF.39, proposition </w:t>
      </w:r>
      <w:r>
        <w:rPr>
          <w:i/>
        </w:rPr>
        <w:t>3</w:t>
      </w:r>
      <w:r w:rsidR="00C016D2">
        <w:rPr>
          <w:i/>
        </w:rPr>
        <w:t xml:space="preserve"> et ECE/TRANS/WP.15/2015/40</w:t>
      </w:r>
      <w:r w:rsidRPr="00301384">
        <w:rPr>
          <w:i/>
        </w:rPr>
        <w:t>)</w:t>
      </w:r>
    </w:p>
    <w:p w:rsidR="003A0A8B" w:rsidRDefault="003A0A8B" w:rsidP="003A0A8B">
      <w:pPr>
        <w:pStyle w:val="SingleTxtG"/>
        <w:rPr>
          <w:iCs/>
          <w:lang w:val="fr-FR"/>
        </w:rPr>
      </w:pPr>
      <w:r>
        <w:rPr>
          <w:iCs/>
          <w:lang w:val="fr-FR"/>
        </w:rPr>
        <w:t xml:space="preserve">DS </w:t>
      </w:r>
      <w:r w:rsidRPr="00884179">
        <w:rPr>
          <w:iCs/>
          <w:lang w:val="fr-FR"/>
        </w:rPr>
        <w:t>369</w:t>
      </w:r>
      <w:r w:rsidR="002D1CDE">
        <w:rPr>
          <w:iCs/>
          <w:lang w:val="fr-FR"/>
        </w:rPr>
        <w:t>, premier paragraphe</w:t>
      </w:r>
      <w:r w:rsidR="002D1CDE">
        <w:rPr>
          <w:iCs/>
          <w:lang w:val="fr-FR"/>
        </w:rPr>
        <w:tab/>
      </w:r>
      <w:r w:rsidRPr="00884179">
        <w:rPr>
          <w:iCs/>
          <w:lang w:val="fr-FR"/>
        </w:rPr>
        <w:tab/>
      </w:r>
      <w:r w:rsidR="002D1CDE">
        <w:rPr>
          <w:iCs/>
          <w:lang w:val="fr-FR"/>
        </w:rPr>
        <w:t>À la fin, après «risque subsidiaire»</w:t>
      </w:r>
      <w:r w:rsidR="00EE4B8F">
        <w:rPr>
          <w:iCs/>
          <w:lang w:val="fr-FR"/>
        </w:rPr>
        <w:t xml:space="preserve"> </w:t>
      </w:r>
      <w:r w:rsidR="002D1CDE">
        <w:rPr>
          <w:iCs/>
          <w:lang w:val="fr-FR"/>
        </w:rPr>
        <w:t>p</w:t>
      </w:r>
      <w:r w:rsidRPr="00884179">
        <w:rPr>
          <w:iCs/>
          <w:lang w:val="fr-FR"/>
        </w:rPr>
        <w:t>lace</w:t>
      </w:r>
      <w:r>
        <w:rPr>
          <w:iCs/>
          <w:lang w:val="fr-FR"/>
        </w:rPr>
        <w:t>r «</w:t>
      </w:r>
      <w:r w:rsidRPr="00A1622E">
        <w:t>de matière radioactive</w:t>
      </w:r>
      <w:r>
        <w:rPr>
          <w:iCs/>
          <w:lang w:val="fr-FR"/>
        </w:rPr>
        <w:t>»</w:t>
      </w:r>
      <w:r w:rsidRPr="00884179">
        <w:rPr>
          <w:iCs/>
          <w:lang w:val="fr-FR"/>
        </w:rPr>
        <w:t xml:space="preserve"> </w:t>
      </w:r>
      <w:r>
        <w:rPr>
          <w:iCs/>
          <w:lang w:val="fr-FR"/>
        </w:rPr>
        <w:t>entre crochets.</w:t>
      </w:r>
    </w:p>
    <w:p w:rsidR="00741503" w:rsidRPr="00A366B4" w:rsidRDefault="00741503" w:rsidP="003A0A8B">
      <w:pPr>
        <w:pStyle w:val="SingleTxtG"/>
        <w:rPr>
          <w:iCs/>
          <w:lang w:val="fr-FR"/>
        </w:rPr>
      </w:pPr>
      <w:r w:rsidRPr="00A366B4">
        <w:rPr>
          <w:iCs/>
          <w:lang w:val="fr-FR"/>
        </w:rPr>
        <w:t>DS 378 d)</w:t>
      </w:r>
      <w:r w:rsidRPr="00A366B4">
        <w:rPr>
          <w:iCs/>
          <w:lang w:val="fr-FR"/>
        </w:rPr>
        <w:tab/>
        <w:t>Remplacer «Les récipients soient fabriqués» par «Chaque récipient soit fabriqué»</w:t>
      </w:r>
      <w:r w:rsidR="00297BC0" w:rsidRPr="00A366B4">
        <w:rPr>
          <w:iCs/>
          <w:lang w:val="fr-FR"/>
        </w:rPr>
        <w:t>.</w:t>
      </w:r>
    </w:p>
    <w:p w:rsidR="00297BC0" w:rsidRDefault="00297BC0" w:rsidP="003A0A8B">
      <w:pPr>
        <w:pStyle w:val="SingleTxtG"/>
        <w:rPr>
          <w:iCs/>
          <w:lang w:val="fr-FR"/>
        </w:rPr>
      </w:pPr>
      <w:r w:rsidRPr="00A366B4">
        <w:rPr>
          <w:iCs/>
          <w:lang w:val="fr-FR"/>
        </w:rPr>
        <w:t xml:space="preserve">DS </w:t>
      </w:r>
      <w:r w:rsidR="00E52AD9" w:rsidRPr="00A366B4">
        <w:rPr>
          <w:iCs/>
          <w:lang w:val="fr-FR"/>
        </w:rPr>
        <w:t>3</w:t>
      </w:r>
      <w:r w:rsidRPr="00A366B4">
        <w:rPr>
          <w:iCs/>
          <w:lang w:val="fr-FR"/>
        </w:rPr>
        <w:t>79 c)</w:t>
      </w:r>
      <w:r w:rsidRPr="00A366B4">
        <w:rPr>
          <w:iCs/>
          <w:lang w:val="fr-FR"/>
        </w:rPr>
        <w:tab/>
        <w:t>Modifier pour lire comme suit: «c)</w:t>
      </w:r>
      <w:r w:rsidRPr="00A366B4">
        <w:rPr>
          <w:iCs/>
          <w:lang w:val="fr-FR"/>
        </w:rPr>
        <w:tab/>
      </w:r>
      <w:r w:rsidR="00082E23" w:rsidRPr="00A366B4">
        <w:t>Le contenu maximal d’ammoniac</w:t>
      </w:r>
      <w:r w:rsidRPr="00A366B4">
        <w:t xml:space="preserve"> </w:t>
      </w:r>
      <w:r w:rsidR="00082E23" w:rsidRPr="00A366B4">
        <w:t xml:space="preserve">par </w:t>
      </w:r>
      <w:r w:rsidRPr="00A366B4">
        <w:t>récipient est de 10 kg; et</w:t>
      </w:r>
      <w:r w:rsidRPr="00A366B4">
        <w:rPr>
          <w:iCs/>
          <w:lang w:val="fr-FR"/>
        </w:rPr>
        <w:t>».</w:t>
      </w:r>
    </w:p>
    <w:p w:rsidR="003A0A8B" w:rsidRDefault="003A0A8B" w:rsidP="003A0A8B">
      <w:pPr>
        <w:pStyle w:val="SingleTxtG"/>
        <w:rPr>
          <w:lang w:val="fr-FR"/>
        </w:rPr>
      </w:pPr>
      <w:r>
        <w:rPr>
          <w:iCs/>
          <w:lang w:val="fr-FR"/>
        </w:rPr>
        <w:t>DS 386 (ADR/ADN)</w:t>
      </w:r>
      <w:r>
        <w:rPr>
          <w:iCs/>
          <w:lang w:val="fr-FR"/>
        </w:rPr>
        <w:tab/>
      </w:r>
      <w:r>
        <w:rPr>
          <w:iCs/>
          <w:lang w:val="fr-FR"/>
        </w:rPr>
        <w:tab/>
        <w:t>Après «à une température moyenne» ajouter «du chargement». A la fin, dans le texte entre parenthèses, ajouter «prescriptions» après «par exemple»</w:t>
      </w:r>
      <w:r>
        <w:rPr>
          <w:lang w:val="fr-FR"/>
        </w:rPr>
        <w:t>.</w:t>
      </w:r>
    </w:p>
    <w:p w:rsidR="003A0A8B" w:rsidRDefault="003A0A8B" w:rsidP="003A0A8B">
      <w:pPr>
        <w:pStyle w:val="SingleTxtG"/>
        <w:rPr>
          <w:lang w:val="fr-FR"/>
        </w:rPr>
      </w:pPr>
      <w:r>
        <w:rPr>
          <w:lang w:val="fr-FR"/>
        </w:rPr>
        <w:t>DS 386 (RID)</w:t>
      </w:r>
      <w:r>
        <w:rPr>
          <w:lang w:val="fr-FR"/>
        </w:rPr>
        <w:tab/>
        <w:t xml:space="preserve"> </w:t>
      </w:r>
      <w:r>
        <w:rPr>
          <w:lang w:val="fr-FR"/>
        </w:rPr>
        <w:tab/>
      </w:r>
      <w:r>
        <w:rPr>
          <w:iCs/>
          <w:lang w:val="fr-FR"/>
        </w:rPr>
        <w:t>Après «à une température moyenne» ajouter «du chargement». A la fin, dans le texte entre parenthèses, ajouter «prescriptions» après «par exemple»</w:t>
      </w:r>
      <w:r>
        <w:rPr>
          <w:lang w:val="fr-FR"/>
        </w:rPr>
        <w:t>. Déplacer la dernière phrase après la deuxième phrase avec les modifications suivantes: remplacer «la durée anticipée» par «la durée prévue» et supprimer «</w:t>
      </w:r>
      <w:r w:rsidRPr="00EE1350">
        <w:rPr>
          <w:lang w:val="fr-FR"/>
        </w:rPr>
        <w:t>(voir 2.2.41.2.3)</w:t>
      </w:r>
      <w:r>
        <w:rPr>
          <w:lang w:val="fr-FR"/>
        </w:rPr>
        <w:t xml:space="preserve">». </w:t>
      </w:r>
    </w:p>
    <w:p w:rsidR="003A0A8B" w:rsidRPr="00884179" w:rsidRDefault="003A0A8B" w:rsidP="003A0A8B">
      <w:pPr>
        <w:pStyle w:val="H23G"/>
        <w:rPr>
          <w:lang w:val="fr-FR"/>
        </w:rPr>
      </w:pPr>
      <w:r w:rsidRPr="00884179">
        <w:rPr>
          <w:lang w:val="fr-FR"/>
        </w:rPr>
        <w:tab/>
      </w:r>
      <w:r>
        <w:rPr>
          <w:lang w:val="fr-FR"/>
        </w:rPr>
        <w:tab/>
      </w:r>
      <w:r w:rsidRPr="00884179">
        <w:rPr>
          <w:lang w:val="fr-FR"/>
        </w:rPr>
        <w:t>Chapitre 4.1</w:t>
      </w:r>
    </w:p>
    <w:p w:rsidR="003A0A8B" w:rsidRDefault="003A0A8B" w:rsidP="003A0A8B">
      <w:pPr>
        <w:pStyle w:val="SingleTxtG"/>
        <w:rPr>
          <w:iCs/>
          <w:lang w:val="fr-FR"/>
        </w:rPr>
      </w:pPr>
      <w:r w:rsidRPr="00884179">
        <w:rPr>
          <w:iCs/>
          <w:lang w:val="fr-FR"/>
        </w:rPr>
        <w:t>4.1.1.19.1</w:t>
      </w:r>
      <w:r w:rsidRPr="00884179">
        <w:rPr>
          <w:iCs/>
          <w:lang w:val="fr-FR"/>
        </w:rPr>
        <w:tab/>
      </w:r>
      <w:r>
        <w:rPr>
          <w:iCs/>
          <w:lang w:val="fr-FR"/>
        </w:rPr>
        <w:t>Placer l’amendement entre crochets.</w:t>
      </w:r>
    </w:p>
    <w:p w:rsidR="003A0A8B" w:rsidRDefault="003A0A8B" w:rsidP="003A0A8B">
      <w:pPr>
        <w:pStyle w:val="SingleTxtG"/>
      </w:pPr>
      <w:r>
        <w:t>4.1.4.1, P200 3) d), Nota et P200 9), dernier paragraphe</w:t>
      </w:r>
      <w:r>
        <w:tab/>
        <w:t xml:space="preserve"> Après «</w:t>
      </w:r>
      <w:r w:rsidRPr="00EE1350">
        <w:t>avec l’accord de l’autorité compétente</w:t>
      </w:r>
      <w:r>
        <w:t>», supprimer la virgule.</w:t>
      </w:r>
    </w:p>
    <w:p w:rsidR="003A0A8B" w:rsidRPr="000F1A98" w:rsidRDefault="003A0A8B" w:rsidP="003A0A8B">
      <w:pPr>
        <w:pStyle w:val="SingleTxtG"/>
      </w:pPr>
      <w:r>
        <w:t>4.1.4.1, P200 5)</w:t>
      </w:r>
      <w:r>
        <w:tab/>
        <w:t>Dans le nouvel alinéa e), au début, remplacer «d’un gaz comprimé» par «de gaz comprimés». Sous i), iv) et v), remplacer «de la phase liquide» par «du composant liquide». Dans le dernier paragraphe, remplacer «la phase liquide» par «le composant liquide».</w:t>
      </w:r>
    </w:p>
    <w:p w:rsidR="003A0A8B" w:rsidRDefault="003A0A8B" w:rsidP="003A0A8B">
      <w:pPr>
        <w:pStyle w:val="SingleTxtG"/>
        <w:rPr>
          <w:iCs/>
          <w:lang w:val="pt-BR"/>
        </w:rPr>
      </w:pPr>
      <w:r>
        <w:rPr>
          <w:iCs/>
          <w:lang w:val="pt-BR"/>
        </w:rPr>
        <w:t>4.1.4.1</w:t>
      </w:r>
      <w:r>
        <w:rPr>
          <w:iCs/>
          <w:lang w:val="pt-BR"/>
        </w:rPr>
        <w:tab/>
        <w:t>, P200 11)</w:t>
      </w:r>
      <w:r>
        <w:rPr>
          <w:iCs/>
          <w:lang w:val="pt-BR"/>
        </w:rPr>
        <w:tab/>
        <w:t>Dans le texte russe, remplacer “</w:t>
      </w:r>
      <w:r>
        <w:t>(СНГ)</w:t>
      </w:r>
      <w:r>
        <w:rPr>
          <w:iCs/>
          <w:lang w:val="pt-BR"/>
        </w:rPr>
        <w:t>” par “(LPG)”. Dans la troisième ligne du tableau (ISO 24431:2006), supprimer le texte entre crochets.</w:t>
      </w:r>
    </w:p>
    <w:p w:rsidR="003A0A8B" w:rsidRDefault="003A0A8B" w:rsidP="003A0A8B">
      <w:pPr>
        <w:pStyle w:val="SingleTxtG"/>
      </w:pPr>
      <w:r>
        <w:t>4.1.4.1, P206 3)</w:t>
      </w:r>
      <w:r>
        <w:tab/>
        <w:t>Dans le nouveau texte, au début, remplacer «d’un gaz comprimé» par «de gaz comprimés». Dans les alinéas a)</w:t>
      </w:r>
      <w:r w:rsidR="00D151B3">
        <w:t>, d)</w:t>
      </w:r>
      <w:r>
        <w:t xml:space="preserve"> et e), remplacer «de la phase liquide» par «du composant liquide». Dans le dernier paragraphe, remplacer «la phase liquide» par «le composant liquide».</w:t>
      </w:r>
    </w:p>
    <w:p w:rsidR="003A0A8B" w:rsidRPr="000F1A98" w:rsidRDefault="003A0A8B" w:rsidP="003A0A8B">
      <w:pPr>
        <w:pStyle w:val="SingleTxtG"/>
      </w:pPr>
      <w:r w:rsidRPr="00A366B4">
        <w:t>4.1.4.1, nouvelle instruction d’emballage P005</w:t>
      </w:r>
      <w:r w:rsidR="00A366B4" w:rsidRPr="00A366B4">
        <w:tab/>
      </w:r>
      <w:r w:rsidRPr="00A366B4">
        <w:tab/>
      </w:r>
      <w:r w:rsidR="0025313C" w:rsidRPr="00A366B4">
        <w:t xml:space="preserve">Dans le deuxième paragraphe, remplacer «est suffisamment protégé» par «offre une protection suffisante». </w:t>
      </w:r>
      <w:r w:rsidRPr="00A366B4">
        <w:t>Dans le quatrième paragraphe, remplacer «des liquides dangereuses» par «des liquides dangereux».</w:t>
      </w:r>
      <w:r w:rsidR="0025313C" w:rsidRPr="00A366B4">
        <w:t xml:space="preserve"> Dans le cinquième paragraphe, dans la première phrase, remplacer «maintenus et calés» par «</w:t>
      </w:r>
      <w:r w:rsidR="00B9538D" w:rsidRPr="00A366B4">
        <w:t>assujettis ou calés</w:t>
      </w:r>
      <w:r w:rsidR="0025313C" w:rsidRPr="00A366B4">
        <w:t>»</w:t>
      </w:r>
      <w:r w:rsidR="00B801D1" w:rsidRPr="00A366B4">
        <w:t>.</w:t>
      </w:r>
    </w:p>
    <w:p w:rsidR="003A0A8B" w:rsidRDefault="003A0A8B" w:rsidP="003A0A8B">
      <w:pPr>
        <w:pStyle w:val="SingleTxtG"/>
      </w:pPr>
      <w:r>
        <w:t>4.1.4.1, nouvelle instruction d’emballage P910 1) Dans l’alinéa c), ajouter «</w:t>
      </w:r>
      <w:r w:rsidRPr="003C694D">
        <w:t>complétement</w:t>
      </w:r>
      <w:r>
        <w:t>» avant «entouré».</w:t>
      </w:r>
    </w:p>
    <w:p w:rsidR="004C73C2" w:rsidRPr="00884179" w:rsidRDefault="004C73C2" w:rsidP="004C73C2">
      <w:pPr>
        <w:pStyle w:val="H23G"/>
        <w:rPr>
          <w:lang w:val="fr-FR"/>
        </w:rPr>
      </w:pPr>
      <w:r w:rsidRPr="00884179">
        <w:rPr>
          <w:lang w:val="fr-FR"/>
        </w:rPr>
        <w:tab/>
      </w:r>
      <w:r>
        <w:rPr>
          <w:lang w:val="fr-FR"/>
        </w:rPr>
        <w:tab/>
      </w:r>
      <w:r w:rsidRPr="00884179">
        <w:rPr>
          <w:lang w:val="fr-FR"/>
        </w:rPr>
        <w:t xml:space="preserve">Chapitre </w:t>
      </w:r>
      <w:r>
        <w:rPr>
          <w:lang w:val="fr-FR"/>
        </w:rPr>
        <w:t>5.1</w:t>
      </w:r>
    </w:p>
    <w:p w:rsidR="004C73C2" w:rsidRDefault="004C73C2" w:rsidP="004C73C2">
      <w:pPr>
        <w:pStyle w:val="SingleTxtG"/>
      </w:pPr>
      <w:r>
        <w:t>5.1.2.1</w:t>
      </w:r>
      <w:r>
        <w:tab/>
        <w:t>L’amendement prend la teneur suivante:</w:t>
      </w:r>
    </w:p>
    <w:p w:rsidR="004C73C2" w:rsidRDefault="004C73C2" w:rsidP="004C73C2">
      <w:pPr>
        <w:pStyle w:val="SingleTxtG"/>
      </w:pPr>
      <w:r>
        <w:t>«5.1.2.1 a)</w:t>
      </w:r>
      <w:r>
        <w:tab/>
        <w:t>Modifier pour lire comme suit:</w:t>
      </w:r>
    </w:p>
    <w:p w:rsidR="004C73C2" w:rsidRPr="00AE3941" w:rsidRDefault="004C73C2" w:rsidP="004C73C2">
      <w:pPr>
        <w:pStyle w:val="SingleTxtG"/>
        <w:tabs>
          <w:tab w:val="left" w:pos="1701"/>
        </w:tabs>
      </w:pPr>
      <w:r w:rsidRPr="0025313C">
        <w:rPr>
          <w:lang w:val="fr-FR"/>
        </w:rPr>
        <w:lastRenderedPageBreak/>
        <w:t>«a)</w:t>
      </w:r>
      <w:r w:rsidRPr="0025313C">
        <w:rPr>
          <w:lang w:val="fr-FR"/>
        </w:rPr>
        <w:tab/>
      </w:r>
      <w:r w:rsidRPr="0025313C">
        <w:t xml:space="preserve">À moins que les marques et les étiquettes </w:t>
      </w:r>
      <w:r w:rsidR="000148D9" w:rsidRPr="0025313C">
        <w:t xml:space="preserve">prescrites au </w:t>
      </w:r>
      <w:r w:rsidRPr="0025313C">
        <w:t>chapitre 5.2</w:t>
      </w:r>
      <w:r w:rsidR="007901EE" w:rsidRPr="0025313C">
        <w:t xml:space="preserve">, à l’exception de celles </w:t>
      </w:r>
      <w:r w:rsidR="000148D9" w:rsidRPr="0025313C">
        <w:t>prescrites aux</w:t>
      </w:r>
      <w:r w:rsidR="007901EE" w:rsidRPr="0025313C">
        <w:t xml:space="preserve"> 5.2.1.3 à 5.2.1.6, 5.2.1.7.2 à 5.2.1.7.8 et 5.2.1.10,</w:t>
      </w:r>
      <w:r w:rsidRPr="0025313C">
        <w:t xml:space="preserve"> représentatives de toutes les marchandises dangereuses contenues dans le suremballage soient visibles, celui</w:t>
      </w:r>
      <w:r w:rsidRPr="0025313C">
        <w:noBreakHyphen/>
        <w:t>ci doit:</w:t>
      </w:r>
    </w:p>
    <w:p w:rsidR="004C73C2" w:rsidRDefault="004C73C2" w:rsidP="004C73C2">
      <w:pPr>
        <w:pStyle w:val="SingleTxtG"/>
        <w:tabs>
          <w:tab w:val="left" w:pos="1701"/>
        </w:tabs>
      </w:pPr>
      <w:r>
        <w:t>i)</w:t>
      </w:r>
      <w:r>
        <w:tab/>
      </w:r>
      <w:r w:rsidRPr="00AE3941">
        <w:t>Porter une marque indiquant le mot “SUREMBALLAGE”. Les lettres de la marque “SUREMBALLAGE” doivent mesurer au moins 12 mm de hauteur</w:t>
      </w:r>
      <w:r>
        <w:t xml:space="preserve">. La marque doit être </w:t>
      </w:r>
      <w:r w:rsidRPr="005A2C3A">
        <w:t>dans une langue officielle du pays d'origine et également, si cette langue n'est pas l'anglais, le français ou l'allemand, en anglais, français ou allemand à moins que des accords conclus entre les pays intéressés au transport, s'il en existe, n'en disposent autrement</w:t>
      </w:r>
      <w:r w:rsidRPr="00AE3941">
        <w:t>;</w:t>
      </w:r>
    </w:p>
    <w:p w:rsidR="004C73C2" w:rsidRPr="00AE3941" w:rsidRDefault="004C73C2" w:rsidP="004C73C2">
      <w:pPr>
        <w:pStyle w:val="SingleTxtG"/>
      </w:pPr>
      <w:r>
        <w:t>ii)</w:t>
      </w:r>
      <w:r w:rsidRPr="00E3070D">
        <w:tab/>
        <w:t>Porter une marque indiquant le numéro ONU, ainsi que les étiquettes et autre</w:t>
      </w:r>
      <w:r>
        <w:t>s</w:t>
      </w:r>
      <w:r w:rsidRPr="00E3070D">
        <w:t xml:space="preserve"> </w:t>
      </w:r>
      <w:r w:rsidRPr="000148D9">
        <w:t xml:space="preserve">marques </w:t>
      </w:r>
      <w:r w:rsidR="000148D9">
        <w:t>prescrites</w:t>
      </w:r>
      <w:r w:rsidR="000148D9" w:rsidRPr="000148D9">
        <w:t xml:space="preserve"> </w:t>
      </w:r>
      <w:r w:rsidRPr="000148D9">
        <w:t xml:space="preserve">pour les colis au chapitre 5.2 à l’exception </w:t>
      </w:r>
      <w:r w:rsidR="007901EE" w:rsidRPr="000148D9">
        <w:t xml:space="preserve">de celles </w:t>
      </w:r>
      <w:r w:rsidR="000148D9">
        <w:t>prescrites</w:t>
      </w:r>
      <w:r w:rsidR="007901EE" w:rsidRPr="000148D9">
        <w:t xml:space="preserve"> aux</w:t>
      </w:r>
      <w:r w:rsidR="007901EE">
        <w:t xml:space="preserve"> </w:t>
      </w:r>
      <w:r>
        <w:t>5.2.1.3 à 5.2.1.6, 5.2.1.7.2 à 5.2.1.7.8 et 5.2.1.10</w:t>
      </w:r>
      <w:r w:rsidRPr="00E3070D">
        <w:t>, pour chacune des marchandises dangereuses qu’il contient.</w:t>
      </w:r>
      <w:r>
        <w:t xml:space="preserve"> </w:t>
      </w:r>
      <w:r w:rsidR="007901EE">
        <w:t xml:space="preserve">Il est suffisant d’appliquer chaque </w:t>
      </w:r>
      <w:r>
        <w:t xml:space="preserve">marque </w:t>
      </w:r>
      <w:r w:rsidR="007901EE">
        <w:t xml:space="preserve">et </w:t>
      </w:r>
      <w:r>
        <w:t xml:space="preserve">étiquette applicable une </w:t>
      </w:r>
      <w:r w:rsidR="007901EE">
        <w:t xml:space="preserve">seule </w:t>
      </w:r>
      <w:r>
        <w:t>fois.</w:t>
      </w:r>
    </w:p>
    <w:p w:rsidR="00A366B4" w:rsidRDefault="004C73C2" w:rsidP="004C73C2">
      <w:pPr>
        <w:pStyle w:val="SingleTxtG"/>
      </w:pPr>
      <w:r w:rsidRPr="00AE3941">
        <w:t xml:space="preserve">Les suremballages contenant des matières radioactives doivent être étiquetés conformément au </w:t>
      </w:r>
      <w:r>
        <w:t>5.2.2.1.11</w:t>
      </w:r>
      <w:r w:rsidRPr="00AE3941">
        <w:t>.</w:t>
      </w:r>
    </w:p>
    <w:p w:rsidR="004C73C2" w:rsidRDefault="00A366B4" w:rsidP="004C73C2">
      <w:pPr>
        <w:pStyle w:val="SingleTxtG"/>
      </w:pPr>
      <w:r w:rsidRPr="00A366B4">
        <w:t>La modification du 5.1.2.1 b) ne s’applique pas au texte français.</w:t>
      </w:r>
      <w:r w:rsidR="004C73C2" w:rsidRPr="00AE3941">
        <w:t>».</w:t>
      </w:r>
    </w:p>
    <w:p w:rsidR="004C73C2" w:rsidRPr="0088237B" w:rsidRDefault="004C73C2" w:rsidP="004C73C2">
      <w:pPr>
        <w:pStyle w:val="SingleTxtG"/>
        <w:rPr>
          <w:i/>
        </w:rPr>
      </w:pPr>
      <w:r w:rsidRPr="0088237B">
        <w:rPr>
          <w:i/>
        </w:rPr>
        <w:t>(Document de référence: document informel INF.37</w:t>
      </w:r>
      <w:r>
        <w:rPr>
          <w:i/>
        </w:rPr>
        <w:t xml:space="preserve"> tel que modifié</w:t>
      </w:r>
      <w:r w:rsidRPr="0088237B">
        <w:rPr>
          <w:i/>
        </w:rPr>
        <w:t>)</w:t>
      </w:r>
    </w:p>
    <w:p w:rsidR="004C73C2" w:rsidRPr="00884179" w:rsidRDefault="004C73C2" w:rsidP="004C73C2">
      <w:pPr>
        <w:pStyle w:val="H23G"/>
        <w:rPr>
          <w:lang w:val="fr-FR"/>
        </w:rPr>
      </w:pPr>
      <w:r w:rsidRPr="00884179">
        <w:rPr>
          <w:lang w:val="fr-FR"/>
        </w:rPr>
        <w:tab/>
      </w:r>
      <w:r>
        <w:rPr>
          <w:lang w:val="fr-FR"/>
        </w:rPr>
        <w:tab/>
      </w:r>
      <w:r w:rsidRPr="00884179">
        <w:rPr>
          <w:lang w:val="fr-FR"/>
        </w:rPr>
        <w:t xml:space="preserve">Chapitre </w:t>
      </w:r>
      <w:r>
        <w:rPr>
          <w:lang w:val="fr-FR"/>
        </w:rPr>
        <w:t>5.2</w:t>
      </w:r>
    </w:p>
    <w:p w:rsidR="004C73C2" w:rsidRDefault="004C73C2" w:rsidP="004C73C2">
      <w:pPr>
        <w:pStyle w:val="SingleTxtG"/>
        <w:rPr>
          <w:lang w:val="fr-FR"/>
        </w:rPr>
      </w:pPr>
      <w:r>
        <w:rPr>
          <w:lang w:val="fr-FR"/>
        </w:rPr>
        <w:t xml:space="preserve">Remplacer </w:t>
      </w:r>
      <w:r w:rsidRPr="00086D83">
        <w:rPr>
          <w:lang w:val="fr-FR"/>
        </w:rPr>
        <w:t>les amendements au 5.2.2.2.1.3 a) et au 5.2.2.2.1.5 proposés</w:t>
      </w:r>
      <w:r>
        <w:rPr>
          <w:lang w:val="fr-FR"/>
        </w:rPr>
        <w:t xml:space="preserve"> par le nouvel amendement suivant:</w:t>
      </w:r>
    </w:p>
    <w:p w:rsidR="004C73C2" w:rsidRPr="00F47A45" w:rsidRDefault="004C73C2" w:rsidP="004C73C2">
      <w:pPr>
        <w:pStyle w:val="SingleTxtG"/>
        <w:rPr>
          <w:lang w:val="fr-FR"/>
        </w:rPr>
      </w:pPr>
      <w:r>
        <w:rPr>
          <w:lang w:val="fr-FR"/>
        </w:rPr>
        <w:t>«</w:t>
      </w:r>
      <w:r w:rsidRPr="00F47A45">
        <w:rPr>
          <w:lang w:val="fr-FR"/>
        </w:rPr>
        <w:t>5.2.2.2.1.3</w:t>
      </w:r>
      <w:r w:rsidRPr="00F47A45">
        <w:rPr>
          <w:lang w:val="fr-FR"/>
        </w:rPr>
        <w:tab/>
        <w:t>Ajouter le texte suivant après l’alinéa c):</w:t>
      </w:r>
    </w:p>
    <w:p w:rsidR="005C03A3" w:rsidRPr="00F47A45" w:rsidRDefault="005C03A3" w:rsidP="005C03A3">
      <w:pPr>
        <w:pStyle w:val="SingleTxtG"/>
        <w:rPr>
          <w:lang w:val="fr-FR"/>
        </w:rPr>
      </w:pPr>
      <w:r>
        <w:rPr>
          <w:lang w:val="fr-FR"/>
        </w:rPr>
        <w:t>«</w:t>
      </w:r>
      <w:r w:rsidRPr="00F47A45">
        <w:rPr>
          <w:lang w:val="fr-FR"/>
        </w:rPr>
        <w:t>Toutefois, pour l</w:t>
      </w:r>
      <w:r>
        <w:rPr>
          <w:lang w:val="fr-FR"/>
        </w:rPr>
        <w:t>'étiquette</w:t>
      </w:r>
      <w:r w:rsidRPr="00F47A45">
        <w:rPr>
          <w:lang w:val="fr-FR"/>
        </w:rPr>
        <w:t xml:space="preserve"> </w:t>
      </w:r>
      <w:r>
        <w:rPr>
          <w:lang w:val="fr-FR"/>
        </w:rPr>
        <w:t xml:space="preserve">du </w:t>
      </w:r>
      <w:r w:rsidRPr="00F47A45">
        <w:rPr>
          <w:lang w:val="fr-FR"/>
        </w:rPr>
        <w:t xml:space="preserve">modèle No 9A, la moitié supérieure de l’étiquette </w:t>
      </w:r>
      <w:r>
        <w:rPr>
          <w:lang w:val="fr-FR"/>
        </w:rPr>
        <w:t xml:space="preserve">ne </w:t>
      </w:r>
      <w:r w:rsidRPr="00F47A45">
        <w:rPr>
          <w:lang w:val="fr-FR"/>
        </w:rPr>
        <w:t xml:space="preserve">doit contenir </w:t>
      </w:r>
      <w:r>
        <w:rPr>
          <w:lang w:val="fr-FR"/>
        </w:rPr>
        <w:t xml:space="preserve">que </w:t>
      </w:r>
      <w:r w:rsidRPr="00F47A45">
        <w:rPr>
          <w:lang w:val="fr-FR"/>
        </w:rPr>
        <w:t xml:space="preserve">les sept lignes verticales du signe conventionnel et la moitié inférieure doit contenir </w:t>
      </w:r>
      <w:r>
        <w:rPr>
          <w:lang w:val="fr-FR"/>
        </w:rPr>
        <w:t xml:space="preserve">le </w:t>
      </w:r>
      <w:r w:rsidRPr="00F47A45">
        <w:rPr>
          <w:lang w:val="fr-FR"/>
        </w:rPr>
        <w:t>groupe de batteries du signe conventionnel et le numéro de la classe.</w:t>
      </w:r>
      <w:r>
        <w:rPr>
          <w:lang w:val="fr-FR"/>
        </w:rPr>
        <w:t>»</w:t>
      </w:r>
      <w:r w:rsidRPr="00F47A45">
        <w:rPr>
          <w:lang w:val="fr-FR"/>
        </w:rPr>
        <w:t>.</w:t>
      </w:r>
    </w:p>
    <w:p w:rsidR="005C03A3" w:rsidRPr="00F47A45" w:rsidRDefault="005C03A3" w:rsidP="005C03A3">
      <w:pPr>
        <w:pStyle w:val="SingleTxtG"/>
        <w:rPr>
          <w:lang w:val="fr-FR"/>
        </w:rPr>
      </w:pPr>
      <w:r w:rsidRPr="00F47A45">
        <w:rPr>
          <w:lang w:val="fr-FR"/>
        </w:rPr>
        <w:t>Au début du dernier paragraphe, ajouter: «Sauf pour le modèle No 9A,»</w:t>
      </w:r>
    </w:p>
    <w:p w:rsidR="005C03A3" w:rsidRDefault="005C03A3" w:rsidP="005C03A3">
      <w:pPr>
        <w:pStyle w:val="SingleTxtG"/>
        <w:rPr>
          <w:i/>
        </w:rPr>
      </w:pPr>
      <w:r w:rsidRPr="0088237B">
        <w:rPr>
          <w:i/>
        </w:rPr>
        <w:t>(Document de référence: document informel INF.3</w:t>
      </w:r>
      <w:r>
        <w:rPr>
          <w:i/>
        </w:rPr>
        <w:t>6 tel que modifié</w:t>
      </w:r>
      <w:r w:rsidRPr="0088237B">
        <w:rPr>
          <w:i/>
        </w:rPr>
        <w:t>)</w:t>
      </w:r>
    </w:p>
    <w:p w:rsidR="007A3615" w:rsidRDefault="007A3615" w:rsidP="007A3615">
      <w:pPr>
        <w:pStyle w:val="H23G"/>
        <w:rPr>
          <w:lang w:val="fr-FR"/>
        </w:rPr>
      </w:pPr>
      <w:r w:rsidRPr="00884179">
        <w:rPr>
          <w:lang w:val="fr-FR"/>
        </w:rPr>
        <w:tab/>
      </w:r>
      <w:r>
        <w:rPr>
          <w:lang w:val="fr-FR"/>
        </w:rPr>
        <w:tab/>
      </w:r>
      <w:r w:rsidRPr="00884179">
        <w:rPr>
          <w:lang w:val="fr-FR"/>
        </w:rPr>
        <w:t xml:space="preserve">Chapitre </w:t>
      </w:r>
      <w:r>
        <w:rPr>
          <w:lang w:val="fr-FR"/>
        </w:rPr>
        <w:t>5.3</w:t>
      </w:r>
    </w:p>
    <w:p w:rsidR="00B801D1" w:rsidRDefault="00B801D1" w:rsidP="007A3615">
      <w:pPr>
        <w:pStyle w:val="SingleTxtG"/>
        <w:rPr>
          <w:lang w:val="fr-FR"/>
        </w:rPr>
      </w:pPr>
      <w:r w:rsidRPr="000E1A67">
        <w:rPr>
          <w:lang w:val="fr-FR"/>
        </w:rPr>
        <w:t>5.3.1.2</w:t>
      </w:r>
      <w:r w:rsidRPr="000E1A67">
        <w:rPr>
          <w:lang w:val="fr-FR"/>
        </w:rPr>
        <w:tab/>
      </w:r>
      <w:r w:rsidRPr="000E1A67">
        <w:rPr>
          <w:lang w:val="fr-FR"/>
        </w:rPr>
        <w:tab/>
        <w:t>Remplacer «ces plaques-étiquettes ne doivent être apposées» par «</w:t>
      </w:r>
      <w:r w:rsidRPr="000E1A67">
        <w:t>il est possible de ne les apposer</w:t>
      </w:r>
      <w:r w:rsidRPr="000E1A67">
        <w:rPr>
          <w:lang w:val="fr-FR"/>
        </w:rPr>
        <w:t>»</w:t>
      </w:r>
      <w:r w:rsidR="00F01857" w:rsidRPr="000E1A67">
        <w:rPr>
          <w:lang w:val="fr-FR"/>
        </w:rPr>
        <w:t>.</w:t>
      </w:r>
    </w:p>
    <w:p w:rsidR="007A3615" w:rsidRDefault="007A3615" w:rsidP="007A3615">
      <w:pPr>
        <w:pStyle w:val="SingleTxtG"/>
        <w:rPr>
          <w:lang w:val="fr-FR"/>
        </w:rPr>
      </w:pPr>
      <w:r>
        <w:rPr>
          <w:lang w:val="fr-FR"/>
        </w:rPr>
        <w:t>5.3.1.7.3</w:t>
      </w:r>
      <w:r w:rsidR="000148D9">
        <w:rPr>
          <w:lang w:val="fr-FR"/>
        </w:rPr>
        <w:t xml:space="preserve"> (RID)</w:t>
      </w:r>
      <w:r>
        <w:rPr>
          <w:lang w:val="fr-FR"/>
        </w:rPr>
        <w:t>, 5.3.3 et 5.3.6.2</w:t>
      </w:r>
      <w:r>
        <w:rPr>
          <w:lang w:val="fr-FR"/>
        </w:rPr>
        <w:tab/>
        <w:t>Supprimer «[citernes]» et supprimer les crochets autour de «conteneurs-citernes et citernes mobiles»</w:t>
      </w:r>
      <w:r w:rsidR="00A967DF">
        <w:rPr>
          <w:lang w:val="fr-FR"/>
        </w:rPr>
        <w:t>/</w:t>
      </w:r>
      <w:r w:rsidR="00A967DF" w:rsidRPr="00A967DF">
        <w:rPr>
          <w:lang w:val="fr-FR"/>
        </w:rPr>
        <w:t xml:space="preserve"> </w:t>
      </w:r>
      <w:r w:rsidR="00A967DF">
        <w:rPr>
          <w:lang w:val="fr-FR"/>
        </w:rPr>
        <w:t>«conteneurs-citernes ou les citernes mobiles»</w:t>
      </w:r>
      <w:r>
        <w:rPr>
          <w:lang w:val="fr-FR"/>
        </w:rPr>
        <w:t>.</w:t>
      </w:r>
    </w:p>
    <w:p w:rsidR="004C73C2" w:rsidRPr="00884179" w:rsidRDefault="004C73C2" w:rsidP="004C73C2">
      <w:pPr>
        <w:pStyle w:val="H23G"/>
        <w:rPr>
          <w:lang w:val="fr-FR"/>
        </w:rPr>
      </w:pPr>
      <w:r w:rsidRPr="00884179">
        <w:rPr>
          <w:lang w:val="fr-FR"/>
        </w:rPr>
        <w:tab/>
      </w:r>
      <w:r>
        <w:rPr>
          <w:lang w:val="fr-FR"/>
        </w:rPr>
        <w:tab/>
      </w:r>
      <w:r w:rsidRPr="00884179">
        <w:rPr>
          <w:lang w:val="fr-FR"/>
        </w:rPr>
        <w:t xml:space="preserve">Chapitre </w:t>
      </w:r>
      <w:r>
        <w:rPr>
          <w:lang w:val="fr-FR"/>
        </w:rPr>
        <w:t>6.2</w:t>
      </w:r>
    </w:p>
    <w:p w:rsidR="004C73C2" w:rsidRPr="000F1A98" w:rsidRDefault="004C73C2" w:rsidP="004C73C2">
      <w:pPr>
        <w:pStyle w:val="SingleTxtG"/>
      </w:pPr>
      <w:r>
        <w:t>6.2.2.1.1 et 6.2.2.1.2, Nota 2</w:t>
      </w:r>
      <w:r>
        <w:tab/>
        <w:t>Dans l’avant-dernière phrase, après «</w:t>
      </w:r>
      <w:r w:rsidRPr="003C694D">
        <w:t>l’agrément d’origine</w:t>
      </w:r>
      <w:r>
        <w:t>» ajouter «du modèle type»</w:t>
      </w:r>
      <w:r w:rsidR="000E1A67">
        <w:t>.</w:t>
      </w:r>
    </w:p>
    <w:p w:rsidR="004C73C2" w:rsidRPr="000E1A67" w:rsidRDefault="004C73C2" w:rsidP="000E1A67">
      <w:pPr>
        <w:pStyle w:val="SingleTxtG"/>
      </w:pPr>
      <w:r w:rsidRPr="000E1A67">
        <w:t>6.2.3.9.2</w:t>
      </w:r>
      <w:r w:rsidRPr="000E1A67">
        <w:tab/>
        <w:t>Supprimer les crochets.</w:t>
      </w:r>
    </w:p>
    <w:p w:rsidR="00842398" w:rsidRDefault="004C73C2" w:rsidP="004C73C2">
      <w:pPr>
        <w:pStyle w:val="H23G"/>
        <w:rPr>
          <w:b w:val="0"/>
          <w:lang w:val="fr-FR"/>
        </w:rPr>
      </w:pPr>
      <w:r w:rsidRPr="00884179">
        <w:rPr>
          <w:lang w:val="fr-FR"/>
        </w:rPr>
        <w:tab/>
      </w:r>
      <w:r>
        <w:rPr>
          <w:lang w:val="fr-FR"/>
        </w:rPr>
        <w:tab/>
      </w:r>
      <w:r w:rsidRPr="00884179">
        <w:rPr>
          <w:lang w:val="fr-FR"/>
        </w:rPr>
        <w:t xml:space="preserve">Chapitre </w:t>
      </w:r>
      <w:r>
        <w:rPr>
          <w:lang w:val="fr-FR"/>
        </w:rPr>
        <w:t>7.2</w:t>
      </w:r>
    </w:p>
    <w:p w:rsidR="004C73C2" w:rsidRPr="00842398" w:rsidRDefault="004C73C2" w:rsidP="00842398">
      <w:pPr>
        <w:pStyle w:val="SingleTxtG"/>
      </w:pPr>
      <w:r w:rsidRPr="00842398">
        <w:t>7.2.4</w:t>
      </w:r>
      <w:r w:rsidRPr="00842398">
        <w:tab/>
      </w:r>
      <w:r w:rsidRPr="00842398">
        <w:tab/>
        <w:t>Supprimer les crochets.</w:t>
      </w:r>
    </w:p>
    <w:p w:rsidR="003A0A8B" w:rsidRPr="001A2440" w:rsidRDefault="003A0A8B" w:rsidP="003A0A8B">
      <w:pPr>
        <w:pStyle w:val="H1G"/>
      </w:pPr>
      <w:r w:rsidRPr="001A2440">
        <w:lastRenderedPageBreak/>
        <w:tab/>
      </w:r>
      <w:r>
        <w:t>B.</w:t>
      </w:r>
      <w:r w:rsidRPr="001A2440">
        <w:tab/>
      </w:r>
      <w:r>
        <w:t>Autres amendements</w:t>
      </w:r>
    </w:p>
    <w:p w:rsidR="00BE2818" w:rsidRPr="00884179" w:rsidRDefault="00BE2818" w:rsidP="00434445">
      <w:pPr>
        <w:pStyle w:val="H23G"/>
        <w:rPr>
          <w:lang w:val="fr-FR"/>
        </w:rPr>
      </w:pPr>
      <w:r w:rsidRPr="00884179">
        <w:rPr>
          <w:lang w:val="fr-FR"/>
        </w:rPr>
        <w:tab/>
      </w:r>
      <w:r>
        <w:rPr>
          <w:lang w:val="fr-FR"/>
        </w:rPr>
        <w:tab/>
      </w:r>
      <w:r w:rsidRPr="00884179">
        <w:rPr>
          <w:lang w:val="fr-FR"/>
        </w:rPr>
        <w:t xml:space="preserve">Chapitre </w:t>
      </w:r>
      <w:r>
        <w:rPr>
          <w:lang w:val="fr-FR"/>
        </w:rPr>
        <w:t>1.1</w:t>
      </w:r>
    </w:p>
    <w:p w:rsidR="005E1AB6" w:rsidRPr="006D7F2E" w:rsidRDefault="005E1AB6" w:rsidP="002D091E">
      <w:pPr>
        <w:pStyle w:val="SingleTxtG"/>
      </w:pPr>
      <w:r w:rsidRPr="006D7F2E">
        <w:t>1.1.3.2 b)</w:t>
      </w:r>
      <w:r>
        <w:t>,</w:t>
      </w:r>
      <w:r w:rsidRPr="006D7F2E">
        <w:t xml:space="preserve"> 1.1.3.3 b) </w:t>
      </w:r>
      <w:r>
        <w:t>et</w:t>
      </w:r>
      <w:r w:rsidRPr="006D7F2E">
        <w:t xml:space="preserve"> c)</w:t>
      </w:r>
      <w:r>
        <w:tab/>
        <w:t>Supprimer et ajouter «</w:t>
      </w:r>
      <w:r w:rsidRPr="006D7F2E">
        <w:t>(</w:t>
      </w:r>
      <w:r>
        <w:t>Supprimé</w:t>
      </w:r>
      <w:r w:rsidRPr="006D7F2E">
        <w:t>)</w:t>
      </w:r>
      <w:r>
        <w:t>».</w:t>
      </w:r>
    </w:p>
    <w:p w:rsidR="005E1AB6" w:rsidRDefault="005E1AB6" w:rsidP="002D091E">
      <w:pPr>
        <w:pStyle w:val="SingleTxtG"/>
        <w:rPr>
          <w:i/>
        </w:rPr>
      </w:pPr>
      <w:r w:rsidRPr="00301384">
        <w:rPr>
          <w:i/>
        </w:rPr>
        <w:t xml:space="preserve">(Document de référence: document informel INF.39, proposition </w:t>
      </w:r>
      <w:r>
        <w:rPr>
          <w:i/>
        </w:rPr>
        <w:t>6</w:t>
      </w:r>
      <w:r w:rsidRPr="00301384">
        <w:rPr>
          <w:i/>
        </w:rPr>
        <w:t>)</w:t>
      </w:r>
    </w:p>
    <w:p w:rsidR="004478B6" w:rsidRDefault="004478B6" w:rsidP="002D091E">
      <w:pPr>
        <w:pStyle w:val="SingleTxtG"/>
        <w:rPr>
          <w:lang w:val="fr-FR"/>
        </w:rPr>
      </w:pPr>
      <w:r>
        <w:t>1.1.3.3</w:t>
      </w:r>
      <w:r>
        <w:tab/>
      </w:r>
      <w:r>
        <w:tab/>
        <w:t xml:space="preserve">Dans le titre, remplacer «carburants» par «combustibles*». </w:t>
      </w:r>
      <w:r w:rsidRPr="00B05FED">
        <w:rPr>
          <w:lang w:val="fr-FR"/>
        </w:rPr>
        <w:t xml:space="preserve">Le texte de </w:t>
      </w:r>
      <w:r>
        <w:rPr>
          <w:lang w:val="fr-FR"/>
        </w:rPr>
        <w:t>la</w:t>
      </w:r>
      <w:r w:rsidRPr="00B05FED">
        <w:rPr>
          <w:lang w:val="fr-FR"/>
        </w:rPr>
        <w:t xml:space="preserve"> note de bas de page </w:t>
      </w:r>
      <w:r>
        <w:rPr>
          <w:lang w:val="fr-FR"/>
        </w:rPr>
        <w:t xml:space="preserve">* </w:t>
      </w:r>
      <w:r w:rsidRPr="00B05FED">
        <w:rPr>
          <w:lang w:val="fr-FR"/>
        </w:rPr>
        <w:t>se lit comme suit:</w:t>
      </w:r>
      <w:r>
        <w:rPr>
          <w:lang w:val="fr-FR"/>
        </w:rPr>
        <w:t xml:space="preserve"> «*</w:t>
      </w:r>
      <w:r>
        <w:rPr>
          <w:lang w:val="fr-FR"/>
        </w:rPr>
        <w:tab/>
      </w:r>
      <w:r>
        <w:t>L</w:t>
      </w:r>
      <w:r>
        <w:rPr>
          <w:lang w:val="fr-FR"/>
        </w:rPr>
        <w:t xml:space="preserve">e terme </w:t>
      </w:r>
      <w:r>
        <w:rPr>
          <w:rFonts w:ascii="Arial" w:hAnsi="Arial" w:cs="Arial"/>
          <w:lang w:val="fr-FR"/>
        </w:rPr>
        <w:t>«</w:t>
      </w:r>
      <w:r>
        <w:rPr>
          <w:lang w:val="fr-FR"/>
        </w:rPr>
        <w:t>combustible</w:t>
      </w:r>
      <w:r>
        <w:rPr>
          <w:rFonts w:ascii="Arial" w:hAnsi="Arial" w:cs="Arial"/>
          <w:lang w:val="fr-FR"/>
        </w:rPr>
        <w:t>»</w:t>
      </w:r>
      <w:r>
        <w:rPr>
          <w:lang w:val="fr-FR"/>
        </w:rPr>
        <w:t xml:space="preserve"> inclut également les carburants.».</w:t>
      </w:r>
    </w:p>
    <w:p w:rsidR="004478B6" w:rsidRDefault="00456550" w:rsidP="002D091E">
      <w:pPr>
        <w:pStyle w:val="SingleTxtG"/>
      </w:pPr>
      <w:r>
        <w:t>À l’alinéa</w:t>
      </w:r>
      <w:r w:rsidR="004478B6">
        <w:t xml:space="preserve"> a), remplacer «carburant»/«carburants» par «combustible»/«combustibles».</w:t>
      </w:r>
    </w:p>
    <w:p w:rsidR="004478B6" w:rsidRDefault="004478B6" w:rsidP="002D091E">
      <w:pPr>
        <w:pStyle w:val="SingleTxtG"/>
        <w:rPr>
          <w:i/>
        </w:rPr>
      </w:pPr>
      <w:r>
        <w:rPr>
          <w:i/>
        </w:rPr>
        <w:t>(Document de référence: ECE/TRANS/WP.15/2015/40</w:t>
      </w:r>
      <w:r w:rsidRPr="00943859">
        <w:rPr>
          <w:i/>
        </w:rPr>
        <w:t xml:space="preserve"> </w:t>
      </w:r>
      <w:r>
        <w:rPr>
          <w:i/>
        </w:rPr>
        <w:t>tel que modifié)</w:t>
      </w:r>
    </w:p>
    <w:p w:rsidR="005E1AB6" w:rsidRDefault="00165FD1" w:rsidP="002D091E">
      <w:pPr>
        <w:pStyle w:val="SingleTxtG"/>
      </w:pPr>
      <w:r>
        <w:t>(ADR</w:t>
      </w:r>
      <w:r w:rsidR="005E1AB6">
        <w:t>)</w:t>
      </w:r>
      <w:r w:rsidR="005E1AB6">
        <w:tab/>
      </w:r>
      <w:r w:rsidR="00456550">
        <w:t>À l’alinéa a), d</w:t>
      </w:r>
      <w:r w:rsidR="005E1AB6">
        <w:t>ans le troisième paragraphe, à la fin de la troisième phrase, ajouter: «</w:t>
      </w:r>
      <w:r w:rsidR="005E1AB6" w:rsidRPr="00426894">
        <w:t>indépendamment du fait que la remorque est remorqué ou transporté</w:t>
      </w:r>
      <w:r w:rsidR="005E1AB6">
        <w:t>e</w:t>
      </w:r>
      <w:r w:rsidR="005E1AB6" w:rsidRPr="00426894">
        <w:t xml:space="preserve"> sur une autre remorque</w:t>
      </w:r>
      <w:r w:rsidR="005E1AB6">
        <w:t>».</w:t>
      </w:r>
    </w:p>
    <w:p w:rsidR="005E1AB6" w:rsidRDefault="005E1AB6" w:rsidP="002D091E">
      <w:pPr>
        <w:pStyle w:val="SingleTxtG"/>
        <w:rPr>
          <w:i/>
        </w:rPr>
      </w:pPr>
      <w:r w:rsidRPr="00301384">
        <w:rPr>
          <w:i/>
        </w:rPr>
        <w:t xml:space="preserve">(Document de référence: document informel INF.39, proposition </w:t>
      </w:r>
      <w:r>
        <w:rPr>
          <w:i/>
        </w:rPr>
        <w:t>4</w:t>
      </w:r>
      <w:r w:rsidRPr="00301384">
        <w:rPr>
          <w:i/>
        </w:rPr>
        <w:t>)</w:t>
      </w:r>
    </w:p>
    <w:p w:rsidR="00EF2DF2" w:rsidRDefault="00EF2DF2" w:rsidP="002D091E">
      <w:pPr>
        <w:pStyle w:val="SingleTxtG"/>
        <w:tabs>
          <w:tab w:val="left" w:pos="2268"/>
        </w:tabs>
      </w:pPr>
      <w:r>
        <w:t>1.1.3.6.3</w:t>
      </w:r>
      <w:r>
        <w:tab/>
      </w:r>
      <w:r>
        <w:tab/>
        <w:t>Dans la deuxième colonne du tableau,</w:t>
      </w:r>
      <w:r w:rsidRPr="00613251">
        <w:t xml:space="preserve"> </w:t>
      </w:r>
      <w:r>
        <w:t>p</w:t>
      </w:r>
      <w:r w:rsidRPr="00836989">
        <w:t>our la catégorie de transport 2</w:t>
      </w:r>
      <w:r>
        <w:t>: Dans la première ligne, supprimer «</w:t>
      </w:r>
      <w:r>
        <w:rPr>
          <w:rFonts w:ascii="TimesNewRomanPSMT" w:hAnsi="TimesNewRomanPSMT" w:cs="TimesNewRomanPSMT"/>
          <w:lang w:val="fr-FR" w:eastAsia="fr-FR"/>
        </w:rPr>
        <w:t>et objets</w:t>
      </w:r>
      <w:r>
        <w:t xml:space="preserve">». L’amendement relatif à la troisième ligne ne s’applique pas au texte français. </w:t>
      </w:r>
      <w:r w:rsidRPr="00613251">
        <w:t xml:space="preserve">Après </w:t>
      </w:r>
      <w:r>
        <w:t>«Classe 4.1</w:t>
      </w:r>
      <w:r w:rsidRPr="00613251">
        <w:t>», ajouter:</w:t>
      </w:r>
    </w:p>
    <w:p w:rsidR="00EF2DF2" w:rsidRPr="00613251" w:rsidRDefault="00EF2DF2" w:rsidP="002D091E">
      <w:pPr>
        <w:pStyle w:val="SingleTxtG"/>
        <w:tabs>
          <w:tab w:val="left" w:pos="2268"/>
        </w:tabs>
        <w:jc w:val="left"/>
      </w:pPr>
      <w:r w:rsidRPr="00442E35">
        <w:rPr>
          <w:lang w:val="fr-FR"/>
        </w:rPr>
        <w:t>«Classe 4.3: No ONU 3292</w:t>
      </w:r>
      <w:r w:rsidRPr="00442E35">
        <w:rPr>
          <w:lang w:val="fr-FR"/>
        </w:rPr>
        <w:br/>
        <w:t>Classe 5.1: No ONU 3356».</w:t>
      </w:r>
    </w:p>
    <w:p w:rsidR="00EF2DF2" w:rsidRDefault="00EF2DF2" w:rsidP="002D091E">
      <w:pPr>
        <w:pStyle w:val="SingleTxtG"/>
        <w:tabs>
          <w:tab w:val="left" w:pos="2268"/>
        </w:tabs>
      </w:pPr>
      <w:r w:rsidRPr="00442E35">
        <w:rPr>
          <w:lang w:val="fr-FR"/>
        </w:rPr>
        <w:tab/>
      </w:r>
      <w:r w:rsidRPr="00442E35">
        <w:rPr>
          <w:lang w:val="fr-FR"/>
        </w:rPr>
        <w:tab/>
      </w:r>
      <w:r>
        <w:t>Modifier la ligne p</w:t>
      </w:r>
      <w:r w:rsidRPr="00613251">
        <w:t>our la classe 6.1</w:t>
      </w:r>
      <w:r>
        <w:t xml:space="preserve"> pour lire comme suit:</w:t>
      </w:r>
    </w:p>
    <w:p w:rsidR="00EF2DF2" w:rsidRPr="00613251" w:rsidRDefault="00EF2DF2" w:rsidP="002D091E">
      <w:pPr>
        <w:pStyle w:val="SingleTxtG"/>
        <w:tabs>
          <w:tab w:val="left" w:pos="2268"/>
        </w:tabs>
      </w:pPr>
      <w:r>
        <w:tab/>
      </w:r>
      <w:r>
        <w:tab/>
      </w:r>
      <w:r w:rsidRPr="00493706">
        <w:t>«</w:t>
      </w:r>
      <w:r w:rsidRPr="00493706">
        <w:rPr>
          <w:rFonts w:ascii="TimesNewRomanPSMT" w:hAnsi="TimesNewRomanPSMT" w:cs="TimesNewRomanPSMT"/>
          <w:lang w:val="fr-FR" w:eastAsia="fr-FR"/>
        </w:rPr>
        <w:t xml:space="preserve">Classe 6.1: </w:t>
      </w:r>
      <w:r w:rsidRPr="00493706">
        <w:t xml:space="preserve">Nos ONU 1700, 2016 et 2017 et </w:t>
      </w:r>
      <w:r w:rsidRPr="00493706">
        <w:rPr>
          <w:rFonts w:ascii="TimesNewRomanPSMT" w:hAnsi="TimesNewRomanPSMT" w:cs="TimesNewRomanPSMT"/>
          <w:lang w:val="fr-FR" w:eastAsia="fr-FR"/>
        </w:rPr>
        <w:t>matières appartenant au groupe d'emballage III</w:t>
      </w:r>
      <w:r w:rsidRPr="00493706">
        <w:t>»;</w:t>
      </w:r>
    </w:p>
    <w:p w:rsidR="00EF2DF2" w:rsidRPr="00613251" w:rsidRDefault="00EF2DF2" w:rsidP="002D091E">
      <w:pPr>
        <w:pStyle w:val="SingleTxtG"/>
        <w:tabs>
          <w:tab w:val="left" w:pos="2268"/>
        </w:tabs>
      </w:pPr>
      <w:r w:rsidRPr="00613251">
        <w:tab/>
      </w:r>
      <w:r w:rsidRPr="00613251">
        <w:tab/>
        <w:t xml:space="preserve">Pour la classe 9, remplacer </w:t>
      </w:r>
      <w:r>
        <w:t>«</w:t>
      </w:r>
      <w:r w:rsidRPr="00613251">
        <w:t xml:space="preserve">No ONU 3245» par </w:t>
      </w:r>
      <w:r>
        <w:t>«</w:t>
      </w:r>
      <w:r w:rsidRPr="00613251">
        <w:t>Nos ONU 3090, 3091, 3245, 3480 et 3481</w:t>
      </w:r>
      <w:r>
        <w:t>».</w:t>
      </w:r>
    </w:p>
    <w:p w:rsidR="00EF2DF2" w:rsidRPr="00613251" w:rsidRDefault="00EF2DF2" w:rsidP="002D091E">
      <w:pPr>
        <w:pStyle w:val="SingleTxtG"/>
        <w:tabs>
          <w:tab w:val="left" w:pos="2268"/>
        </w:tabs>
      </w:pPr>
      <w:r>
        <w:t>1.1.3.6.3</w:t>
      </w:r>
      <w:r>
        <w:tab/>
        <w:t>Dans la deuxième colonne du tableau,</w:t>
      </w:r>
      <w:r w:rsidRPr="00613251">
        <w:t xml:space="preserve"> </w:t>
      </w:r>
      <w:r>
        <w:t>p</w:t>
      </w:r>
      <w:r w:rsidRPr="00836989">
        <w:t xml:space="preserve">our la catégorie de transport </w:t>
      </w:r>
      <w:r>
        <w:t>3: Dans la première ligne, supprimer «</w:t>
      </w:r>
      <w:r>
        <w:rPr>
          <w:rFonts w:ascii="TimesNewRomanPSMT" w:hAnsi="TimesNewRomanPSMT" w:cs="TimesNewRomanPSMT"/>
          <w:lang w:val="fr-FR" w:eastAsia="fr-FR"/>
        </w:rPr>
        <w:t>et objets</w:t>
      </w:r>
      <w:r>
        <w:t xml:space="preserve">». </w:t>
      </w:r>
      <w:r w:rsidRPr="00613251">
        <w:t xml:space="preserve">Pour la classe 8, remplacer </w:t>
      </w:r>
      <w:r>
        <w:t>«</w:t>
      </w:r>
      <w:r w:rsidRPr="00613251">
        <w:t xml:space="preserve">et 3477» par </w:t>
      </w:r>
      <w:r>
        <w:t>«</w:t>
      </w:r>
      <w:r w:rsidRPr="00613251">
        <w:t>, 3477 et 3506»</w:t>
      </w:r>
      <w:r>
        <w:t>.</w:t>
      </w:r>
    </w:p>
    <w:p w:rsidR="00EF2DF2" w:rsidRPr="00613251" w:rsidRDefault="00EF2DF2" w:rsidP="002D091E">
      <w:pPr>
        <w:pStyle w:val="SingleTxtG"/>
        <w:tabs>
          <w:tab w:val="left" w:pos="2268"/>
        </w:tabs>
      </w:pPr>
      <w:r>
        <w:t>1.1.3.6.3</w:t>
      </w:r>
      <w:r>
        <w:tab/>
        <w:t>Dans la deuxième colonne du tableau,</w:t>
      </w:r>
      <w:r w:rsidRPr="00613251">
        <w:t xml:space="preserve"> </w:t>
      </w:r>
      <w:r>
        <w:t>p</w:t>
      </w:r>
      <w:r w:rsidRPr="00836989">
        <w:t xml:space="preserve">our la catégorie de transport </w:t>
      </w:r>
      <w:r>
        <w:t xml:space="preserve">4: </w:t>
      </w:r>
      <w:r w:rsidRPr="00613251">
        <w:t xml:space="preserve">Pour la classe 9, remplacer </w:t>
      </w:r>
      <w:r>
        <w:t>«</w:t>
      </w:r>
      <w:r w:rsidRPr="00613251">
        <w:t xml:space="preserve">et 3509» par </w:t>
      </w:r>
      <w:r>
        <w:t>«</w:t>
      </w:r>
      <w:r w:rsidRPr="00613251">
        <w:t>, 3508 et 3509».</w:t>
      </w:r>
    </w:p>
    <w:p w:rsidR="00EF2DF2" w:rsidRDefault="00EF2DF2" w:rsidP="002D091E">
      <w:pPr>
        <w:pStyle w:val="SingleTxtG"/>
        <w:rPr>
          <w:i/>
        </w:rPr>
      </w:pPr>
      <w:r w:rsidRPr="00D972B4">
        <w:rPr>
          <w:i/>
        </w:rPr>
        <w:t>(Document de référence: ECE/TRANS/WP.15/AC.1/2015/</w:t>
      </w:r>
      <w:r>
        <w:rPr>
          <w:i/>
        </w:rPr>
        <w:t>42 tel que modifié</w:t>
      </w:r>
      <w:r w:rsidRPr="00D972B4">
        <w:rPr>
          <w:i/>
        </w:rPr>
        <w:t>)</w:t>
      </w:r>
    </w:p>
    <w:p w:rsidR="00E4343D" w:rsidRDefault="00E4343D" w:rsidP="002D091E">
      <w:pPr>
        <w:pStyle w:val="SingleTxtG"/>
        <w:tabs>
          <w:tab w:val="left" w:pos="1985"/>
        </w:tabs>
        <w:rPr>
          <w:lang w:val="fr-FR"/>
        </w:rPr>
      </w:pPr>
      <w:r>
        <w:rPr>
          <w:lang w:val="fr-FR"/>
        </w:rPr>
        <w:t xml:space="preserve">1.1.4.2.1 </w:t>
      </w:r>
      <w:r w:rsidRPr="000A40F5">
        <w:rPr>
          <w:lang w:val="fr-FR"/>
        </w:rPr>
        <w:t>a)</w:t>
      </w:r>
      <w:r w:rsidRPr="000A40F5">
        <w:rPr>
          <w:lang w:val="fr-FR"/>
        </w:rPr>
        <w:tab/>
        <w:t xml:space="preserve">L’amendement ne s’applique </w:t>
      </w:r>
      <w:r>
        <w:rPr>
          <w:lang w:val="fr-FR"/>
        </w:rPr>
        <w:t>pas au texte français.</w:t>
      </w:r>
    </w:p>
    <w:p w:rsidR="00E4343D" w:rsidRPr="007A5D50" w:rsidRDefault="00E4343D" w:rsidP="002D091E">
      <w:pPr>
        <w:pStyle w:val="SingleTxtG"/>
        <w:tabs>
          <w:tab w:val="left" w:pos="1985"/>
        </w:tabs>
        <w:rPr>
          <w:i/>
          <w:lang w:val="fr-FR"/>
        </w:rPr>
      </w:pPr>
      <w:r w:rsidRPr="007A5D50">
        <w:rPr>
          <w:i/>
          <w:lang w:val="fr-FR"/>
        </w:rPr>
        <w:t>(Documents de référence: ECE/TRANS/WP.15/AC.1/2015/29 et document informel INF.8)</w:t>
      </w:r>
    </w:p>
    <w:p w:rsidR="00E4343D" w:rsidRDefault="00E4343D" w:rsidP="002D091E">
      <w:pPr>
        <w:pStyle w:val="SingleTxtG"/>
        <w:tabs>
          <w:tab w:val="left" w:pos="1985"/>
        </w:tabs>
        <w:rPr>
          <w:lang w:val="fr-FR"/>
        </w:rPr>
      </w:pPr>
      <w:r>
        <w:rPr>
          <w:lang w:val="fr-FR"/>
        </w:rPr>
        <w:t xml:space="preserve">1.1.4.2.1 c) </w:t>
      </w:r>
      <w:r w:rsidR="00165FD1">
        <w:rPr>
          <w:lang w:val="fr-FR"/>
        </w:rPr>
        <w:t>(</w:t>
      </w:r>
      <w:r>
        <w:rPr>
          <w:lang w:val="fr-FR"/>
        </w:rPr>
        <w:t>ADR</w:t>
      </w:r>
      <w:r w:rsidR="00165FD1">
        <w:rPr>
          <w:lang w:val="fr-FR"/>
        </w:rPr>
        <w:t>)</w:t>
      </w:r>
      <w:r>
        <w:rPr>
          <w:lang w:val="fr-FR"/>
        </w:rPr>
        <w:tab/>
        <w:t>Remplacer «</w:t>
      </w:r>
      <w:r w:rsidRPr="00CA4FFD">
        <w:rPr>
          <w:lang w:val="fr-FR"/>
        </w:rPr>
        <w:t>et un marquage conformément au chapitre 5.3 du</w:t>
      </w:r>
      <w:r>
        <w:rPr>
          <w:lang w:val="fr-FR"/>
        </w:rPr>
        <w:t xml:space="preserve"> </w:t>
      </w:r>
      <w:r w:rsidRPr="00CA4FFD">
        <w:rPr>
          <w:lang w:val="fr-FR"/>
        </w:rPr>
        <w:t>Code IMDG</w:t>
      </w:r>
      <w:r>
        <w:rPr>
          <w:lang w:val="fr-FR"/>
        </w:rPr>
        <w:t xml:space="preserve">» par «et des marques </w:t>
      </w:r>
      <w:r w:rsidRPr="00CA4FFD">
        <w:rPr>
          <w:lang w:val="fr-FR"/>
        </w:rPr>
        <w:t>conformément au chapitre 5.3 du</w:t>
      </w:r>
      <w:r>
        <w:rPr>
          <w:lang w:val="fr-FR"/>
        </w:rPr>
        <w:t xml:space="preserve"> </w:t>
      </w:r>
      <w:r w:rsidRPr="00CA4FFD">
        <w:rPr>
          <w:lang w:val="fr-FR"/>
        </w:rPr>
        <w:t>Code IMDG</w:t>
      </w:r>
      <w:r>
        <w:rPr>
          <w:lang w:val="fr-FR"/>
        </w:rPr>
        <w:t xml:space="preserve">». </w:t>
      </w:r>
    </w:p>
    <w:p w:rsidR="00E4343D" w:rsidRPr="007A5D50" w:rsidRDefault="00E4343D" w:rsidP="002D091E">
      <w:pPr>
        <w:pStyle w:val="SingleTxtG"/>
        <w:tabs>
          <w:tab w:val="left" w:pos="1985"/>
        </w:tabs>
        <w:rPr>
          <w:i/>
          <w:lang w:val="fr-FR"/>
        </w:rPr>
      </w:pPr>
      <w:r w:rsidRPr="007A5D50">
        <w:rPr>
          <w:i/>
          <w:lang w:val="fr-FR"/>
        </w:rPr>
        <w:t>(Documents de référence: ECE/TRANS/WP.15/AC.1/2015/29 et document informel INF.8)</w:t>
      </w:r>
    </w:p>
    <w:p w:rsidR="00E4343D" w:rsidRDefault="00E4343D" w:rsidP="002D091E">
      <w:pPr>
        <w:pStyle w:val="SingleTxtG"/>
        <w:tabs>
          <w:tab w:val="left" w:pos="1985"/>
        </w:tabs>
        <w:rPr>
          <w:lang w:val="fr-FR"/>
        </w:rPr>
      </w:pPr>
      <w:r>
        <w:rPr>
          <w:lang w:val="fr-FR"/>
        </w:rPr>
        <w:t xml:space="preserve">1.1.4.2.2 </w:t>
      </w:r>
      <w:r w:rsidR="00165FD1">
        <w:rPr>
          <w:lang w:val="fr-FR"/>
        </w:rPr>
        <w:t>(</w:t>
      </w:r>
      <w:r>
        <w:rPr>
          <w:lang w:val="fr-FR"/>
        </w:rPr>
        <w:t>ADR</w:t>
      </w:r>
      <w:r w:rsidR="00165FD1">
        <w:rPr>
          <w:lang w:val="fr-FR"/>
        </w:rPr>
        <w:t>)</w:t>
      </w:r>
      <w:r>
        <w:rPr>
          <w:lang w:val="fr-FR"/>
        </w:rPr>
        <w:tab/>
        <w:t>Remplacer «</w:t>
      </w:r>
      <w:r w:rsidRPr="00CA4FFD">
        <w:rPr>
          <w:lang w:val="fr-FR"/>
        </w:rPr>
        <w:t>munis d’un placardage non conforme aux dispositions du 5.3.1 de l’ADR, mais dont le</w:t>
      </w:r>
      <w:r>
        <w:rPr>
          <w:lang w:val="fr-FR"/>
        </w:rPr>
        <w:t xml:space="preserve"> </w:t>
      </w:r>
      <w:r w:rsidRPr="00CA4FFD">
        <w:rPr>
          <w:lang w:val="fr-FR"/>
        </w:rPr>
        <w:t>marquage et le placardage sont conformes au chapitre 5.3 du Code IMDG</w:t>
      </w:r>
      <w:r>
        <w:rPr>
          <w:lang w:val="fr-FR"/>
        </w:rPr>
        <w:t>» par «</w:t>
      </w:r>
      <w:r w:rsidRPr="00CA4FFD">
        <w:rPr>
          <w:lang w:val="fr-FR"/>
        </w:rPr>
        <w:t xml:space="preserve">munis </w:t>
      </w:r>
      <w:r>
        <w:rPr>
          <w:lang w:val="fr-FR"/>
        </w:rPr>
        <w:t>de plaques-étiquettes</w:t>
      </w:r>
      <w:r w:rsidRPr="00CA4FFD">
        <w:rPr>
          <w:lang w:val="fr-FR"/>
        </w:rPr>
        <w:t xml:space="preserve"> non conforme aux dispositions du 5.3.1 de l’ADR, mais dont </w:t>
      </w:r>
      <w:r>
        <w:rPr>
          <w:lang w:val="fr-FR"/>
        </w:rPr>
        <w:t>les marques et plaques étiquettes</w:t>
      </w:r>
      <w:r w:rsidRPr="00CA4FFD">
        <w:rPr>
          <w:lang w:val="fr-FR"/>
        </w:rPr>
        <w:t xml:space="preserve"> sont conformes au chapitre 5.3 du Code IMDG</w:t>
      </w:r>
      <w:r>
        <w:rPr>
          <w:lang w:val="fr-FR"/>
        </w:rPr>
        <w:t>».</w:t>
      </w:r>
    </w:p>
    <w:p w:rsidR="00E4343D" w:rsidRPr="007A5D50" w:rsidRDefault="00E4343D" w:rsidP="002D091E">
      <w:pPr>
        <w:pStyle w:val="SingleTxtG"/>
        <w:tabs>
          <w:tab w:val="left" w:pos="1985"/>
        </w:tabs>
        <w:rPr>
          <w:i/>
          <w:lang w:val="fr-FR"/>
        </w:rPr>
      </w:pPr>
      <w:r w:rsidRPr="007A5D50">
        <w:rPr>
          <w:i/>
          <w:lang w:val="fr-FR"/>
        </w:rPr>
        <w:t>(Documents de référence: ECE/TRANS/WP.15/AC.1/2015/29 et document informel INF.8)</w:t>
      </w:r>
    </w:p>
    <w:p w:rsidR="00E4343D" w:rsidRPr="00C258BA" w:rsidRDefault="00E4343D" w:rsidP="002D091E">
      <w:pPr>
        <w:pStyle w:val="SingleTxtG"/>
        <w:rPr>
          <w:lang w:val="fr-FR"/>
        </w:rPr>
      </w:pPr>
      <w:r w:rsidRPr="00C258BA">
        <w:rPr>
          <w:lang w:val="fr-FR"/>
        </w:rPr>
        <w:lastRenderedPageBreak/>
        <w:t>1.1.4.4.1 (RID)</w:t>
      </w:r>
      <w:r w:rsidRPr="00C258BA">
        <w:rPr>
          <w:lang w:val="fr-FR"/>
        </w:rPr>
        <w:tab/>
        <w:t>Après le deuxième alinéa, insérer un nouveau troisième tiret avec la teneur suivante:</w:t>
      </w:r>
    </w:p>
    <w:p w:rsidR="00E4343D" w:rsidRPr="00C258BA" w:rsidRDefault="00E4343D" w:rsidP="002D091E">
      <w:pPr>
        <w:pStyle w:val="SingleTxtG"/>
        <w:rPr>
          <w:lang w:val="fr-FR"/>
        </w:rPr>
      </w:pPr>
      <w:r w:rsidRPr="00C258BA">
        <w:rPr>
          <w:lang w:val="fr-FR"/>
        </w:rPr>
        <w:t>"–</w:t>
      </w:r>
      <w:r w:rsidRPr="00C258BA">
        <w:rPr>
          <w:lang w:val="fr-FR"/>
        </w:rPr>
        <w:tab/>
      </w:r>
      <w:r w:rsidRPr="00C258BA">
        <w:rPr>
          <w:szCs w:val="22"/>
          <w:lang w:val="fr-FR"/>
        </w:rPr>
        <w:t xml:space="preserve">les </w:t>
      </w:r>
      <w:r w:rsidRPr="00C258BA">
        <w:rPr>
          <w:szCs w:val="22"/>
          <w:lang w:val="fr-FR" w:eastAsia="de-DE"/>
        </w:rPr>
        <w:t>matières</w:t>
      </w:r>
      <w:r w:rsidRPr="00C258BA">
        <w:rPr>
          <w:szCs w:val="22"/>
          <w:lang w:val="fr-FR"/>
        </w:rPr>
        <w:t xml:space="preserve"> </w:t>
      </w:r>
      <w:r>
        <w:rPr>
          <w:szCs w:val="22"/>
          <w:lang w:val="fr-FR"/>
        </w:rPr>
        <w:t>qui polymérisent</w:t>
      </w:r>
      <w:r w:rsidRPr="00C258BA">
        <w:rPr>
          <w:szCs w:val="22"/>
          <w:lang w:val="fr-FR"/>
        </w:rPr>
        <w:t xml:space="preserve"> de la classe 4.1, nécessitant une régulation de température (Nos ONU 3533 et 3534);</w:t>
      </w:r>
      <w:r w:rsidRPr="00C258BA">
        <w:rPr>
          <w:lang w:val="fr-FR"/>
        </w:rPr>
        <w:t>".</w:t>
      </w:r>
    </w:p>
    <w:p w:rsidR="00E4343D" w:rsidRPr="002D091E" w:rsidRDefault="00E4343D" w:rsidP="002D091E">
      <w:pPr>
        <w:pStyle w:val="SingleTxtG"/>
        <w:rPr>
          <w:lang w:val="fr-FR"/>
        </w:rPr>
      </w:pPr>
      <w:r w:rsidRPr="002D091E">
        <w:rPr>
          <w:lang w:val="fr-FR"/>
        </w:rPr>
        <w:t>1.1.4.4.2</w:t>
      </w:r>
      <w:r w:rsidR="002D091E" w:rsidRPr="002D091E">
        <w:rPr>
          <w:lang w:val="fr-FR"/>
        </w:rPr>
        <w:t xml:space="preserve"> (RID)</w:t>
      </w:r>
      <w:r w:rsidRPr="002D091E">
        <w:rPr>
          <w:lang w:val="fr-FR"/>
        </w:rPr>
        <w:tab/>
        <w:t>Remplacer «marquages» par «marques» (4 fois).</w:t>
      </w:r>
    </w:p>
    <w:p w:rsidR="00E4343D" w:rsidRPr="002D091E" w:rsidRDefault="00E4343D" w:rsidP="002D091E">
      <w:pPr>
        <w:pStyle w:val="SingleTxtG"/>
        <w:tabs>
          <w:tab w:val="left" w:pos="1985"/>
        </w:tabs>
        <w:rPr>
          <w:i/>
          <w:lang w:val="fr-FR"/>
        </w:rPr>
      </w:pPr>
      <w:r w:rsidRPr="002D091E">
        <w:rPr>
          <w:i/>
          <w:lang w:val="fr-FR"/>
        </w:rPr>
        <w:t>(Documents de référence: ECE/TRANS/WP.15/AC.1/2015/29 et document informel INF.8)</w:t>
      </w:r>
    </w:p>
    <w:p w:rsidR="00E4343D" w:rsidRPr="002D091E" w:rsidRDefault="00E4343D" w:rsidP="002D091E">
      <w:pPr>
        <w:pStyle w:val="SingleTxtG"/>
        <w:rPr>
          <w:lang w:val="fr-FR"/>
        </w:rPr>
      </w:pPr>
      <w:r w:rsidRPr="002D091E">
        <w:rPr>
          <w:lang w:val="fr-FR"/>
        </w:rPr>
        <w:t>1.1.4.4.4</w:t>
      </w:r>
      <w:r w:rsidR="002D091E" w:rsidRPr="002D091E">
        <w:rPr>
          <w:lang w:val="fr-FR"/>
        </w:rPr>
        <w:t xml:space="preserve"> (RID)</w:t>
      </w:r>
      <w:r w:rsidRPr="002D091E">
        <w:rPr>
          <w:lang w:val="fr-FR"/>
        </w:rPr>
        <w:tab/>
        <w:t>Remplacer «marquages» par «marques» (2 fois).</w:t>
      </w:r>
    </w:p>
    <w:p w:rsidR="00E4343D" w:rsidRPr="002D091E" w:rsidRDefault="00E4343D" w:rsidP="002D091E">
      <w:pPr>
        <w:pStyle w:val="SingleTxtG"/>
        <w:tabs>
          <w:tab w:val="left" w:pos="1985"/>
        </w:tabs>
        <w:rPr>
          <w:i/>
          <w:lang w:val="fr-FR"/>
        </w:rPr>
      </w:pPr>
      <w:r w:rsidRPr="002D091E">
        <w:rPr>
          <w:i/>
          <w:lang w:val="fr-FR"/>
        </w:rPr>
        <w:t>(Documents de référence: ECE/TRANS/WP.15/AC.1/2015/29 et document informel INF.8)</w:t>
      </w:r>
    </w:p>
    <w:p w:rsidR="002D091E" w:rsidRDefault="00E4343D" w:rsidP="002D091E">
      <w:pPr>
        <w:pStyle w:val="SingleTxtG"/>
        <w:rPr>
          <w:lang w:val="fr-FR"/>
        </w:rPr>
      </w:pPr>
      <w:r w:rsidRPr="002D091E">
        <w:rPr>
          <w:lang w:val="fr-FR"/>
        </w:rPr>
        <w:t>1.1.4.6</w:t>
      </w:r>
      <w:r w:rsidRPr="002D091E">
        <w:rPr>
          <w:lang w:val="fr-FR"/>
        </w:rPr>
        <w:tab/>
      </w:r>
      <w:r w:rsidRPr="002D091E">
        <w:rPr>
          <w:lang w:val="fr-FR"/>
        </w:rPr>
        <w:tab/>
      </w:r>
      <w:r w:rsidR="006233B0" w:rsidRPr="002D091E">
        <w:t>L’amendement ne s’applique pas au texte français.</w:t>
      </w:r>
      <w:r w:rsidR="006233B0" w:rsidRPr="002D091E" w:rsidDel="006233B0">
        <w:rPr>
          <w:lang w:val="fr-FR"/>
        </w:rPr>
        <w:t xml:space="preserve"> </w:t>
      </w:r>
    </w:p>
    <w:p w:rsidR="00E4343D" w:rsidRPr="002D091E" w:rsidRDefault="00E4343D" w:rsidP="002D091E">
      <w:pPr>
        <w:pStyle w:val="SingleTxtG"/>
        <w:rPr>
          <w:i/>
          <w:lang w:val="fr-FR"/>
        </w:rPr>
      </w:pPr>
      <w:r w:rsidRPr="002D091E">
        <w:rPr>
          <w:i/>
          <w:lang w:val="fr-FR"/>
        </w:rPr>
        <w:t>(Documents de référence: ECE/TRANS/WP.15/AC.1/2015/29 et document informel INF.8)</w:t>
      </w:r>
    </w:p>
    <w:p w:rsidR="00BE2818" w:rsidRPr="00884179" w:rsidRDefault="00BE2818" w:rsidP="00BE2818">
      <w:pPr>
        <w:pStyle w:val="H1G"/>
        <w:rPr>
          <w:lang w:val="fr-FR"/>
        </w:rPr>
      </w:pPr>
      <w:r w:rsidRPr="00884179">
        <w:rPr>
          <w:lang w:val="fr-FR"/>
        </w:rPr>
        <w:tab/>
      </w:r>
      <w:r>
        <w:rPr>
          <w:lang w:val="fr-FR"/>
        </w:rPr>
        <w:tab/>
      </w:r>
      <w:r w:rsidRPr="00884179">
        <w:rPr>
          <w:lang w:val="fr-FR"/>
        </w:rPr>
        <w:t xml:space="preserve">Chapitre </w:t>
      </w:r>
      <w:r>
        <w:rPr>
          <w:lang w:val="fr-FR"/>
        </w:rPr>
        <w:t>1.2</w:t>
      </w:r>
    </w:p>
    <w:p w:rsidR="00BE2818" w:rsidRDefault="00165FD1" w:rsidP="00DA536C">
      <w:pPr>
        <w:pStyle w:val="SingleTxtG"/>
      </w:pPr>
      <w:r>
        <w:t>(RID/ADR</w:t>
      </w:r>
      <w:r w:rsidR="00BE2818">
        <w:t>) 1.2.1</w:t>
      </w:r>
      <w:r w:rsidR="00BE2818">
        <w:tab/>
      </w:r>
      <w:r w:rsidR="00BE2818">
        <w:tab/>
        <w:t>Modifier la définition d’engin de transport pour lire comme suit et supprimer le Nota y relatif:</w:t>
      </w:r>
    </w:p>
    <w:p w:rsidR="00BE2818" w:rsidRPr="006721EB" w:rsidRDefault="00BE2818" w:rsidP="00BE2818">
      <w:pPr>
        <w:pStyle w:val="SingleTxtG"/>
      </w:pPr>
      <w:r>
        <w:t>«</w:t>
      </w:r>
      <w:r>
        <w:rPr>
          <w:i/>
        </w:rPr>
        <w:t xml:space="preserve">Engin de transport, </w:t>
      </w:r>
      <w:r>
        <w:t>un véhicule, un wagon, un conteneur, un conteneur-citerne, une citerne mobile ou un CGEM;».</w:t>
      </w:r>
    </w:p>
    <w:p w:rsidR="00BE2818" w:rsidRDefault="00BE2818" w:rsidP="00BE2818">
      <w:pPr>
        <w:pStyle w:val="SingleTxtG"/>
        <w:rPr>
          <w:i/>
        </w:rPr>
      </w:pPr>
      <w:r>
        <w:rPr>
          <w:i/>
        </w:rPr>
        <w:t>(Référence: définition d’Engin de transport au 1.2.1 de l’ADN)</w:t>
      </w:r>
    </w:p>
    <w:p w:rsidR="000C6F40" w:rsidRDefault="000C6F40" w:rsidP="000C6F40">
      <w:pPr>
        <w:pStyle w:val="SingleTxtG"/>
      </w:pPr>
      <w:r>
        <w:t>1.2.1</w:t>
      </w:r>
      <w:r>
        <w:tab/>
        <w:t xml:space="preserve">Modifier la définition de </w:t>
      </w:r>
      <w:r w:rsidRPr="00884B69">
        <w:t>"</w:t>
      </w:r>
      <w:r>
        <w:t>Remplisseur</w:t>
      </w:r>
      <w:r w:rsidRPr="00884B69">
        <w:t>"</w:t>
      </w:r>
      <w:r>
        <w:t xml:space="preserve"> pour lire comme suit:</w:t>
      </w:r>
    </w:p>
    <w:p w:rsidR="000C6F40" w:rsidRDefault="000C6F40" w:rsidP="000C6F40">
      <w:pPr>
        <w:pStyle w:val="SingleTxtG"/>
      </w:pPr>
      <w:r>
        <w:t>«</w:t>
      </w:r>
      <w:r w:rsidRPr="00884B69">
        <w:rPr>
          <w:i/>
        </w:rPr>
        <w:t xml:space="preserve">"Remplisseur", </w:t>
      </w:r>
      <w:r>
        <w:t>l'entreprise qui remplit de marchandises dangereuses une citerne (wagon-citerne/véhicule-citerne, wagon avec citernes amovibles / citerne démontable, citerne mobile, conteneur-citerne), un wagon-batterie/véhicule-batterie, un CGEM ou un wagon/véhicule, grand conteneur ou petit conteneur pour vrac;».</w:t>
      </w:r>
    </w:p>
    <w:p w:rsidR="000C6F40" w:rsidRDefault="000C6F40" w:rsidP="000C6F40">
      <w:pPr>
        <w:pStyle w:val="SingleTxtG"/>
      </w:pPr>
      <w:r>
        <w:t>1.2.1</w:t>
      </w:r>
      <w:r>
        <w:tab/>
        <w:t xml:space="preserve">Dans la définition de </w:t>
      </w:r>
      <w:r w:rsidRPr="00884B69">
        <w:t>"</w:t>
      </w:r>
      <w:r w:rsidRPr="00A576AD">
        <w:t>Citerne à déchets opérant sous vide</w:t>
      </w:r>
      <w:r w:rsidRPr="00884B69">
        <w:t>"</w:t>
      </w:r>
      <w:r>
        <w:t>, remplacer «le chargement» par «le remplissage».</w:t>
      </w:r>
    </w:p>
    <w:p w:rsidR="00CA3EDE" w:rsidRDefault="00CA3EDE" w:rsidP="00CA3EDE">
      <w:pPr>
        <w:pStyle w:val="SingleTxtG"/>
      </w:pPr>
      <w:r>
        <w:t>(ADR/ADN) 1.2.1</w:t>
      </w:r>
      <w:r>
        <w:tab/>
        <w:t>Dans la définition de «Agrément unilatéral», à la fin, remplacer «</w:t>
      </w:r>
      <w:r>
        <w:rPr>
          <w:rFonts w:ascii="TimesNewRomanPSMT" w:hAnsi="TimesNewRomanPSMT" w:cs="TimesNewRomanPSMT"/>
          <w:lang w:val="fr-FR" w:eastAsia="fr-FR"/>
        </w:rPr>
        <w:t>de la première Partie contractante à l'ADR/à l’ADN touchée par l'envoi</w:t>
      </w:r>
      <w:r>
        <w:t>» par «d’un pays Partie contractante à l’ADR/à l’ADN».</w:t>
      </w:r>
    </w:p>
    <w:p w:rsidR="00CA3EDE" w:rsidRDefault="00CA3EDE" w:rsidP="00CA3EDE">
      <w:pPr>
        <w:pStyle w:val="SingleTxtG"/>
      </w:pPr>
      <w:r>
        <w:t>(RID)</w:t>
      </w:r>
      <w:r>
        <w:tab/>
        <w:t>1.2.1</w:t>
      </w:r>
      <w:r>
        <w:tab/>
        <w:t>Dans la définition de «Agrément unilatéral», à la fin, remplacer «du premier Etat partie au RID touché par l’envoi» par «d’un Etat partie au RID».</w:t>
      </w:r>
    </w:p>
    <w:p w:rsidR="00CA3EDE" w:rsidRDefault="00CA3EDE" w:rsidP="00CA3EDE">
      <w:pPr>
        <w:pStyle w:val="SingleTxtG"/>
        <w:rPr>
          <w:i/>
        </w:rPr>
      </w:pPr>
      <w:r>
        <w:rPr>
          <w:i/>
        </w:rPr>
        <w:t>(Document de référence: document informel INF.45)</w:t>
      </w:r>
    </w:p>
    <w:p w:rsidR="000C6F40" w:rsidRDefault="00CF2FC5" w:rsidP="000C6F40">
      <w:pPr>
        <w:pStyle w:val="SingleTxtG"/>
      </w:pPr>
      <w:r>
        <w:t>1.2.1</w:t>
      </w:r>
      <w:r>
        <w:tab/>
      </w:r>
      <w:r w:rsidR="000C6F40" w:rsidRPr="00D131C2">
        <w:t>Ajouter les nouvelles définitions suivantes</w:t>
      </w:r>
      <w:r w:rsidR="005B09DE">
        <w:t xml:space="preserve"> dans l’ordre alphabétique</w:t>
      </w:r>
      <w:r w:rsidR="000C6F40" w:rsidRPr="00D131C2">
        <w:t>:</w:t>
      </w:r>
    </w:p>
    <w:p w:rsidR="000C6F40" w:rsidRPr="00A60733" w:rsidRDefault="000C6F40" w:rsidP="000C6F40">
      <w:pPr>
        <w:pStyle w:val="SingleTxtG"/>
        <w:rPr>
          <w:i/>
        </w:rPr>
      </w:pPr>
      <w:r w:rsidRPr="00884B69">
        <w:t>«</w:t>
      </w:r>
      <w:r w:rsidRPr="00884B69">
        <w:rPr>
          <w:i/>
        </w:rPr>
        <w:t>"</w:t>
      </w:r>
      <w:r w:rsidRPr="00A60733">
        <w:rPr>
          <w:i/>
        </w:rPr>
        <w:t>Chargement</w:t>
      </w:r>
      <w:r w:rsidRPr="00884B69">
        <w:rPr>
          <w:i/>
        </w:rPr>
        <w:t>"</w:t>
      </w:r>
      <w:r w:rsidRPr="00A60733">
        <w:rPr>
          <w:i/>
        </w:rPr>
        <w:t>,</w:t>
      </w:r>
      <w:r w:rsidRPr="00884B69">
        <w:t xml:space="preserve"> toutes les actions effectuées par le chargeur conformément à la définition de chargeur;».</w:t>
      </w:r>
    </w:p>
    <w:p w:rsidR="000C6F40" w:rsidRPr="00A60733" w:rsidRDefault="000C6F40" w:rsidP="002D091E">
      <w:pPr>
        <w:pStyle w:val="SingleTxtG"/>
        <w:rPr>
          <w:i/>
        </w:rPr>
      </w:pPr>
      <w:r w:rsidRPr="00884B69">
        <w:t>«</w:t>
      </w:r>
      <w:r w:rsidRPr="00884B69">
        <w:rPr>
          <w:i/>
        </w:rPr>
        <w:t>"</w:t>
      </w:r>
      <w:r w:rsidRPr="00A60733">
        <w:rPr>
          <w:i/>
        </w:rPr>
        <w:t>Déchargement</w:t>
      </w:r>
      <w:r w:rsidRPr="00884B69">
        <w:rPr>
          <w:i/>
        </w:rPr>
        <w:t>"</w:t>
      </w:r>
      <w:r w:rsidRPr="00A60733">
        <w:rPr>
          <w:i/>
        </w:rPr>
        <w:t xml:space="preserve">, </w:t>
      </w:r>
      <w:r w:rsidRPr="00884B69">
        <w:t xml:space="preserve">toutes </w:t>
      </w:r>
      <w:r>
        <w:t>les actions effectuées par le déchargeur</w:t>
      </w:r>
      <w:r w:rsidRPr="00884B69">
        <w:t xml:space="preserve"> conformément à la définition de déchargeur</w:t>
      </w:r>
      <w:r>
        <w:t>;</w:t>
      </w:r>
      <w:r w:rsidRPr="00884B69">
        <w:t>».</w:t>
      </w:r>
    </w:p>
    <w:p w:rsidR="000C6F40" w:rsidRDefault="000C6F40" w:rsidP="000C6F40">
      <w:pPr>
        <w:pStyle w:val="SingleTxtG"/>
        <w:rPr>
          <w:i/>
        </w:rPr>
      </w:pPr>
      <w:r w:rsidRPr="00D972B4">
        <w:rPr>
          <w:i/>
        </w:rPr>
        <w:t>(Document de référence: ECE/TRANS/WP.15/AC.1/2015/</w:t>
      </w:r>
      <w:r>
        <w:rPr>
          <w:i/>
        </w:rPr>
        <w:t>37 tel que modifié</w:t>
      </w:r>
      <w:r w:rsidRPr="00D972B4">
        <w:rPr>
          <w:i/>
        </w:rPr>
        <w:t>)</w:t>
      </w:r>
    </w:p>
    <w:p w:rsidR="009613D5" w:rsidRPr="00936165" w:rsidRDefault="009613D5" w:rsidP="009613D5">
      <w:pPr>
        <w:pStyle w:val="H1G"/>
        <w:tabs>
          <w:tab w:val="left" w:pos="1985"/>
        </w:tabs>
        <w:rPr>
          <w:lang w:val="fr-FR"/>
        </w:rPr>
      </w:pPr>
      <w:r>
        <w:rPr>
          <w:lang w:val="fr-FR"/>
        </w:rPr>
        <w:tab/>
      </w:r>
      <w:r>
        <w:rPr>
          <w:lang w:val="fr-FR"/>
        </w:rPr>
        <w:tab/>
      </w:r>
      <w:r w:rsidRPr="00936165">
        <w:rPr>
          <w:lang w:val="fr-FR"/>
        </w:rPr>
        <w:t>Chapitre 1.3</w:t>
      </w:r>
    </w:p>
    <w:p w:rsidR="009613D5" w:rsidRPr="00866AE4" w:rsidRDefault="009613D5" w:rsidP="009613D5">
      <w:pPr>
        <w:pStyle w:val="SingleTxtG"/>
        <w:rPr>
          <w:lang w:val="fr-FR"/>
        </w:rPr>
      </w:pPr>
      <w:r w:rsidRPr="002D091E">
        <w:rPr>
          <w:lang w:val="fr-FR"/>
        </w:rPr>
        <w:t>1.3.2.2</w:t>
      </w:r>
      <w:r w:rsidRPr="00866AE4">
        <w:rPr>
          <w:lang w:val="fr-FR"/>
        </w:rPr>
        <w:t xml:space="preserve"> a)</w:t>
      </w:r>
      <w:r w:rsidRPr="00866AE4">
        <w:rPr>
          <w:lang w:val="fr-FR"/>
        </w:rPr>
        <w:tab/>
      </w:r>
      <w:r w:rsidR="00426B7A">
        <w:t>L’amendement ne s’applique pas au texte français.</w:t>
      </w:r>
    </w:p>
    <w:p w:rsidR="009613D5" w:rsidRPr="007A5D50" w:rsidRDefault="009613D5" w:rsidP="009613D5">
      <w:pPr>
        <w:pStyle w:val="SingleTxtG"/>
        <w:tabs>
          <w:tab w:val="left" w:pos="1985"/>
        </w:tabs>
        <w:rPr>
          <w:i/>
          <w:lang w:val="fr-FR"/>
        </w:rPr>
      </w:pPr>
      <w:r w:rsidRPr="007A5D50">
        <w:rPr>
          <w:i/>
          <w:lang w:val="fr-FR"/>
        </w:rPr>
        <w:t>(Documents de référence: document informel INF.8)</w:t>
      </w:r>
    </w:p>
    <w:p w:rsidR="009A64D5" w:rsidRDefault="009A64D5" w:rsidP="009A64D5">
      <w:pPr>
        <w:pStyle w:val="H1G"/>
      </w:pPr>
      <w:r>
        <w:lastRenderedPageBreak/>
        <w:tab/>
      </w:r>
      <w:r>
        <w:tab/>
        <w:t>Chapitre 1.4</w:t>
      </w:r>
    </w:p>
    <w:p w:rsidR="008B7055" w:rsidRDefault="008B7055" w:rsidP="002D091E">
      <w:pPr>
        <w:pStyle w:val="SingleTxt"/>
        <w:tabs>
          <w:tab w:val="clear" w:pos="1267"/>
        </w:tabs>
        <w:ind w:left="1134"/>
      </w:pPr>
      <w:r>
        <w:t>1.4.2.1.1 c)</w:t>
      </w:r>
      <w:r w:rsidR="00165FD1" w:rsidRPr="00165FD1">
        <w:t xml:space="preserve"> </w:t>
      </w:r>
      <w:r w:rsidR="00165FD1">
        <w:t>(RID/ADR)</w:t>
      </w:r>
      <w:r>
        <w:tab/>
        <w:t>L’amendement ne s’applique pas au texte français.</w:t>
      </w:r>
    </w:p>
    <w:p w:rsidR="008B7055" w:rsidRDefault="008B7055" w:rsidP="002D091E">
      <w:pPr>
        <w:pStyle w:val="SingleTxt"/>
        <w:ind w:left="1134"/>
      </w:pPr>
      <w:r>
        <w:t>1.4.2.1.1 e)</w:t>
      </w:r>
      <w:r w:rsidR="00165FD1" w:rsidRPr="00165FD1">
        <w:t xml:space="preserve"> </w:t>
      </w:r>
      <w:r w:rsidR="00165FD1">
        <w:t>(RID/ADR)</w:t>
      </w:r>
      <w:r>
        <w:tab/>
        <w:t>Remplacer «grands conteneurs et petits conteneurs pour vrac vides» par «conteneurs pour vrac vides». Remplacer «soient marqués et étiquetés de manière conforme» par «portent les plaques-étiquettes, marques et étiquettes conformément au chapitre 5.3».</w:t>
      </w:r>
    </w:p>
    <w:p w:rsidR="008B7055" w:rsidRDefault="008B7055" w:rsidP="002D091E">
      <w:pPr>
        <w:pStyle w:val="SingleTxtG"/>
        <w:rPr>
          <w:i/>
        </w:rPr>
      </w:pPr>
      <w:r w:rsidRPr="00D972B4">
        <w:rPr>
          <w:i/>
        </w:rPr>
        <w:t xml:space="preserve">(Document de référence: </w:t>
      </w:r>
      <w:r>
        <w:rPr>
          <w:i/>
        </w:rPr>
        <w:t>document informel INF.48</w:t>
      </w:r>
      <w:r w:rsidRPr="00D972B4">
        <w:rPr>
          <w:i/>
        </w:rPr>
        <w:t>)</w:t>
      </w:r>
    </w:p>
    <w:p w:rsidR="008B7055" w:rsidRDefault="008B7055" w:rsidP="002D091E">
      <w:pPr>
        <w:pStyle w:val="SingleTxtG"/>
      </w:pPr>
      <w:r>
        <w:t>1.4.2.2.1 c)</w:t>
      </w:r>
      <w:r>
        <w:tab/>
        <w:t>Dans le texte français, remplacer «</w:t>
      </w:r>
      <w:r w:rsidRPr="006F3683">
        <w:t>de manquement de dispositifs d'équipement</w:t>
      </w:r>
      <w:r>
        <w:t>» par «qu’il ne manque pas de dispositifs d’équipements».</w:t>
      </w:r>
    </w:p>
    <w:p w:rsidR="008B7055" w:rsidRDefault="008B7055" w:rsidP="002D091E">
      <w:pPr>
        <w:pStyle w:val="SingleTxt"/>
        <w:ind w:left="1134"/>
      </w:pPr>
      <w:r>
        <w:t>1.4.2.2.1 f)</w:t>
      </w:r>
      <w:r>
        <w:tab/>
      </w:r>
      <w:r w:rsidR="00165FD1">
        <w:t>(RID)</w:t>
      </w:r>
      <w:r w:rsidR="00165FD1">
        <w:tab/>
      </w:r>
      <w:r>
        <w:t>Remplacer «signalisations» par «marques». Ajouter «au chapitre 5.3» après «prescrites pour les wagons».</w:t>
      </w:r>
    </w:p>
    <w:p w:rsidR="008B7055" w:rsidRDefault="008B7055" w:rsidP="002D091E">
      <w:pPr>
        <w:pStyle w:val="SingleTxt"/>
        <w:ind w:left="1134"/>
      </w:pPr>
      <w:r>
        <w:t>1.4.2.2.1 f)</w:t>
      </w:r>
      <w:r w:rsidR="00165FD1" w:rsidRPr="00165FD1">
        <w:t xml:space="preserve"> </w:t>
      </w:r>
      <w:r w:rsidR="00165FD1">
        <w:t>(ADR)</w:t>
      </w:r>
      <w:r>
        <w:tab/>
        <w:t>Remplacer «et les signalisations» par «, marques et les panneaux orange». Ajouter «au chapitre 5.3» après «prescrites pour les véhicules».</w:t>
      </w:r>
    </w:p>
    <w:p w:rsidR="008B7055" w:rsidRDefault="008B7055" w:rsidP="002D091E">
      <w:pPr>
        <w:pStyle w:val="SingleTxtG"/>
        <w:rPr>
          <w:i/>
        </w:rPr>
      </w:pPr>
      <w:r w:rsidRPr="00D972B4">
        <w:rPr>
          <w:i/>
        </w:rPr>
        <w:t xml:space="preserve">(Document de référence: </w:t>
      </w:r>
      <w:r>
        <w:rPr>
          <w:i/>
        </w:rPr>
        <w:t>document informel INF.48</w:t>
      </w:r>
      <w:r w:rsidRPr="00D972B4">
        <w:rPr>
          <w:i/>
        </w:rPr>
        <w:t>)</w:t>
      </w:r>
    </w:p>
    <w:p w:rsidR="008B7055" w:rsidRDefault="008B7055" w:rsidP="002D091E">
      <w:pPr>
        <w:pStyle w:val="SingleTxtG"/>
      </w:pPr>
      <w:r w:rsidRPr="00D972B4">
        <w:t>1.4.</w:t>
      </w:r>
      <w:r>
        <w:t>3.1.1 c)</w:t>
      </w:r>
      <w:r>
        <w:tab/>
        <w:t>Supprimer «, lorsqu’il charge des marchandises dangereuses dans un wagon/véhicule, un grand conteneur ou un petit conteneur,».</w:t>
      </w:r>
    </w:p>
    <w:p w:rsidR="008B7055" w:rsidRPr="00D972B4" w:rsidRDefault="008B7055" w:rsidP="002D091E">
      <w:pPr>
        <w:pStyle w:val="SingleTxtG"/>
        <w:rPr>
          <w:i/>
        </w:rPr>
      </w:pPr>
      <w:r w:rsidRPr="00D972B4">
        <w:rPr>
          <w:i/>
        </w:rPr>
        <w:t>(Document de référence: ECE/TRANS/WP.15/AC.1/2015/</w:t>
      </w:r>
      <w:r>
        <w:rPr>
          <w:i/>
        </w:rPr>
        <w:t>37</w:t>
      </w:r>
      <w:r w:rsidRPr="00D972B4">
        <w:rPr>
          <w:i/>
        </w:rPr>
        <w:t>)</w:t>
      </w:r>
    </w:p>
    <w:p w:rsidR="008B7055" w:rsidRDefault="008B7055" w:rsidP="002D091E">
      <w:pPr>
        <w:pStyle w:val="SingleTxt"/>
        <w:ind w:left="1134"/>
      </w:pPr>
      <w:r>
        <w:t>1.4.3.1.1 d)</w:t>
      </w:r>
      <w:r>
        <w:tab/>
      </w:r>
      <w:r w:rsidR="00165FD1">
        <w:t>(RID)</w:t>
      </w:r>
      <w:r w:rsidR="00165FD1">
        <w:tab/>
      </w:r>
      <w:r>
        <w:t>Après «placardage» ajouter «, au marquage». Ajouter «conformément au chapitre 5.3» à la fin.</w:t>
      </w:r>
    </w:p>
    <w:p w:rsidR="008B7055" w:rsidRDefault="008B7055" w:rsidP="002D091E">
      <w:pPr>
        <w:pStyle w:val="SingleTxtG"/>
        <w:rPr>
          <w:rFonts w:ascii="TimesNewRomanPSMT" w:hAnsi="TimesNewRomanPSMT" w:cs="TimesNewRomanPSMT"/>
          <w:lang w:eastAsia="fr-FR"/>
        </w:rPr>
      </w:pPr>
      <w:r>
        <w:t>1.4.3.1.1 d)</w:t>
      </w:r>
      <w:r w:rsidR="00165FD1" w:rsidRPr="00165FD1">
        <w:rPr>
          <w:lang w:val="fr-CA"/>
        </w:rPr>
        <w:t xml:space="preserve"> </w:t>
      </w:r>
      <w:r w:rsidR="00165FD1">
        <w:rPr>
          <w:lang w:val="fr-CA"/>
        </w:rPr>
        <w:t>(ADR)</w:t>
      </w:r>
      <w:r>
        <w:tab/>
        <w:t>Remplacer «</w:t>
      </w:r>
      <w:r w:rsidRPr="00B960C5">
        <w:rPr>
          <w:rFonts w:ascii="TimesNewRomanPSMT" w:hAnsi="TimesNewRomanPSMT" w:cs="TimesNewRomanPSMT"/>
          <w:lang w:eastAsia="fr-FR"/>
        </w:rPr>
        <w:t>aux signalisations de danger</w:t>
      </w:r>
      <w:r>
        <w:rPr>
          <w:rFonts w:ascii="TimesNewRomanPSMT" w:hAnsi="TimesNewRomanPSMT" w:cs="TimesNewRomanPSMT"/>
          <w:lang w:eastAsia="fr-FR"/>
        </w:rPr>
        <w:t xml:space="preserve">» par «au placardage, au </w:t>
      </w:r>
      <w:r>
        <w:t>marquage et à la signalisation orange</w:t>
      </w:r>
      <w:r>
        <w:rPr>
          <w:rFonts w:ascii="TimesNewRomanPSMT" w:hAnsi="TimesNewRomanPSMT" w:cs="TimesNewRomanPSMT"/>
          <w:lang w:eastAsia="fr-FR"/>
        </w:rPr>
        <w:t>».</w:t>
      </w:r>
    </w:p>
    <w:p w:rsidR="008B7055" w:rsidRDefault="008B7055" w:rsidP="002D091E">
      <w:pPr>
        <w:pStyle w:val="SingleTxtG"/>
        <w:rPr>
          <w:i/>
        </w:rPr>
      </w:pPr>
      <w:r w:rsidRPr="00D972B4">
        <w:rPr>
          <w:i/>
        </w:rPr>
        <w:t xml:space="preserve">(Document de référence: </w:t>
      </w:r>
      <w:r>
        <w:rPr>
          <w:i/>
        </w:rPr>
        <w:t>document informel INF.48</w:t>
      </w:r>
      <w:r w:rsidRPr="00D972B4">
        <w:rPr>
          <w:i/>
        </w:rPr>
        <w:t>)</w:t>
      </w:r>
    </w:p>
    <w:p w:rsidR="008B7055" w:rsidRDefault="008B7055" w:rsidP="002D091E">
      <w:pPr>
        <w:pStyle w:val="SingleTxtG"/>
      </w:pPr>
      <w:r>
        <w:t>1.4.3.3 h)</w:t>
      </w:r>
      <w:r w:rsidR="00165FD1" w:rsidRPr="00165FD1">
        <w:t xml:space="preserve"> </w:t>
      </w:r>
      <w:r w:rsidR="00165FD1">
        <w:t>(RID)</w:t>
      </w:r>
      <w:r>
        <w:tab/>
        <w:t>Modifier pour lire comme suit: «</w:t>
      </w:r>
      <w:r w:rsidRPr="00141C27">
        <w:rPr>
          <w:lang w:val="fr-FR"/>
        </w:rPr>
        <w:t xml:space="preserve">doit, lorsqu’il prépare les marchandises dangereuses aux fins de transport, veiller à ce que </w:t>
      </w:r>
      <w:r>
        <w:t>les plaques-étiquettes, marques, panneaux orange et étiquettes</w:t>
      </w:r>
      <w:r w:rsidRPr="00141C27">
        <w:rPr>
          <w:lang w:val="fr-FR"/>
        </w:rPr>
        <w:t xml:space="preserve"> ainsi que les étiquettes de manœuvre soient apposées conformément </w:t>
      </w:r>
      <w:r>
        <w:rPr>
          <w:lang w:val="fr-FR"/>
        </w:rPr>
        <w:t>au chapitre 5.3</w:t>
      </w:r>
      <w:r w:rsidRPr="00141C27">
        <w:rPr>
          <w:lang w:val="fr-FR"/>
        </w:rPr>
        <w:t xml:space="preserve">, sur les citernes, sur les wagons et sur les </w:t>
      </w:r>
      <w:r>
        <w:rPr>
          <w:lang w:val="fr-FR"/>
        </w:rPr>
        <w:t>conteneurs</w:t>
      </w:r>
      <w:r w:rsidRPr="00141C27">
        <w:rPr>
          <w:lang w:val="fr-FR"/>
        </w:rPr>
        <w:t>;</w:t>
      </w:r>
      <w:r>
        <w:t>».</w:t>
      </w:r>
    </w:p>
    <w:p w:rsidR="008B7055" w:rsidRDefault="008B7055" w:rsidP="002D091E">
      <w:pPr>
        <w:pStyle w:val="SingleTxtG"/>
        <w:rPr>
          <w:lang w:val="fr-CA"/>
        </w:rPr>
      </w:pPr>
      <w:r>
        <w:t>1.4.3.3 h)</w:t>
      </w:r>
      <w:r w:rsidR="00165FD1" w:rsidRPr="00165FD1">
        <w:t xml:space="preserve"> </w:t>
      </w:r>
      <w:r w:rsidR="00165FD1">
        <w:t>(ADR)</w:t>
      </w:r>
      <w:r>
        <w:tab/>
        <w:t>Modifier pour lire comme suit: «h)</w:t>
      </w:r>
      <w:r>
        <w:tab/>
      </w:r>
      <w:r w:rsidRPr="00761587">
        <w:rPr>
          <w:lang w:val="fr-CA"/>
        </w:rPr>
        <w:t xml:space="preserve">Il doit, lorsqu'il prépare les marchandises dangereuses aux fins de transport, veiller à ce que </w:t>
      </w:r>
      <w:r>
        <w:t>les plaques-étiquettes, marques, panneaux orange et étiquettes</w:t>
      </w:r>
      <w:r w:rsidRPr="00761587">
        <w:rPr>
          <w:lang w:val="fr-CA"/>
        </w:rPr>
        <w:t xml:space="preserve"> soient apposées conformément </w:t>
      </w:r>
      <w:r>
        <w:rPr>
          <w:lang w:val="fr-CA"/>
        </w:rPr>
        <w:t>au chapitre 5.3</w:t>
      </w:r>
      <w:r w:rsidRPr="00761587">
        <w:rPr>
          <w:lang w:val="fr-CA"/>
        </w:rPr>
        <w:t xml:space="preserve"> sur les citernes, sur les véhicules et sur les</w:t>
      </w:r>
      <w:r>
        <w:rPr>
          <w:lang w:val="fr-CA"/>
        </w:rPr>
        <w:t xml:space="preserve"> </w:t>
      </w:r>
      <w:r w:rsidRPr="00761587">
        <w:rPr>
          <w:lang w:val="fr-CA"/>
        </w:rPr>
        <w:t>conteneurs pour vrac;</w:t>
      </w:r>
      <w:r>
        <w:rPr>
          <w:lang w:val="fr-CA"/>
        </w:rPr>
        <w:t>».</w:t>
      </w:r>
    </w:p>
    <w:p w:rsidR="008B7055" w:rsidRDefault="008B7055" w:rsidP="002D091E">
      <w:pPr>
        <w:pStyle w:val="SingleTxtG"/>
        <w:rPr>
          <w:i/>
        </w:rPr>
      </w:pPr>
      <w:r w:rsidRPr="00D972B4">
        <w:rPr>
          <w:i/>
        </w:rPr>
        <w:t xml:space="preserve">(Document de référence: </w:t>
      </w:r>
      <w:r>
        <w:rPr>
          <w:i/>
        </w:rPr>
        <w:t>document informel INF.48</w:t>
      </w:r>
      <w:r w:rsidRPr="00D972B4">
        <w:rPr>
          <w:i/>
        </w:rPr>
        <w:t>)</w:t>
      </w:r>
    </w:p>
    <w:p w:rsidR="008B7055" w:rsidRPr="00D972B4" w:rsidRDefault="008B7055" w:rsidP="002D091E">
      <w:pPr>
        <w:pStyle w:val="SingleTxtG"/>
      </w:pPr>
      <w:r>
        <w:t>1.4.3.7</w:t>
      </w:r>
      <w:r>
        <w:tab/>
      </w:r>
      <w:r>
        <w:tab/>
        <w:t>Supprimer le Nota après le titre.</w:t>
      </w:r>
    </w:p>
    <w:p w:rsidR="008B7055" w:rsidRPr="00D972B4" w:rsidRDefault="008B7055" w:rsidP="002D091E">
      <w:pPr>
        <w:pStyle w:val="SingleTxtG"/>
        <w:rPr>
          <w:i/>
        </w:rPr>
      </w:pPr>
      <w:r w:rsidRPr="00D972B4">
        <w:rPr>
          <w:i/>
        </w:rPr>
        <w:t>(Document de référence: ECE/TRANS/WP.15/AC.1/2015/</w:t>
      </w:r>
      <w:r>
        <w:rPr>
          <w:i/>
        </w:rPr>
        <w:t>37</w:t>
      </w:r>
      <w:r w:rsidRPr="00D972B4">
        <w:rPr>
          <w:i/>
        </w:rPr>
        <w:t>)</w:t>
      </w:r>
    </w:p>
    <w:p w:rsidR="008B7055" w:rsidRPr="00D972B4" w:rsidRDefault="008B7055" w:rsidP="002D091E">
      <w:pPr>
        <w:pStyle w:val="SingleTxtG"/>
      </w:pPr>
      <w:r>
        <w:t>1.4.3.7.1 c)</w:t>
      </w:r>
      <w:r>
        <w:tab/>
        <w:t>Après «au déchargement» ajouter «et à la manutention».</w:t>
      </w:r>
    </w:p>
    <w:p w:rsidR="008B7055" w:rsidRPr="00D972B4" w:rsidRDefault="008B7055" w:rsidP="002D091E">
      <w:pPr>
        <w:pStyle w:val="SingleTxtG"/>
        <w:rPr>
          <w:i/>
        </w:rPr>
      </w:pPr>
      <w:r w:rsidRPr="00D972B4">
        <w:rPr>
          <w:i/>
        </w:rPr>
        <w:t>(Document de référence: ECE/TRANS/WP.15/AC.1/2015/</w:t>
      </w:r>
      <w:r>
        <w:rPr>
          <w:i/>
        </w:rPr>
        <w:t>37</w:t>
      </w:r>
      <w:r w:rsidRPr="00D972B4">
        <w:rPr>
          <w:i/>
        </w:rPr>
        <w:t>)</w:t>
      </w:r>
    </w:p>
    <w:p w:rsidR="008B7055" w:rsidRDefault="008B7055" w:rsidP="002D091E">
      <w:pPr>
        <w:pStyle w:val="SingleTxtG"/>
        <w:rPr>
          <w:lang w:val="fr-CA"/>
        </w:rPr>
      </w:pPr>
      <w:r>
        <w:rPr>
          <w:lang w:val="fr-CA"/>
        </w:rPr>
        <w:t>1.4.3.7.1 f)</w:t>
      </w:r>
      <w:r w:rsidR="00165FD1" w:rsidRPr="00165FD1">
        <w:rPr>
          <w:lang w:val="fr-CA"/>
        </w:rPr>
        <w:t xml:space="preserve"> </w:t>
      </w:r>
      <w:r w:rsidR="00165FD1">
        <w:rPr>
          <w:lang w:val="fr-CA"/>
        </w:rPr>
        <w:t>(RID)</w:t>
      </w:r>
      <w:r>
        <w:rPr>
          <w:lang w:val="fr-CA"/>
        </w:rPr>
        <w:tab/>
        <w:t>Remplacer «les plaques-étiquettes et la signalisation orange» par «les plaques-étiquettes, les marques et les panneaux orange qui avaient été apposés conformément au chapitre 5.3».</w:t>
      </w:r>
    </w:p>
    <w:p w:rsidR="008B7055" w:rsidRDefault="008B7055" w:rsidP="002D091E">
      <w:pPr>
        <w:pStyle w:val="SingleTxtG"/>
        <w:rPr>
          <w:lang w:val="fr-CA"/>
        </w:rPr>
      </w:pPr>
      <w:r>
        <w:rPr>
          <w:lang w:val="fr-CA"/>
        </w:rPr>
        <w:t>1.4.3.7.1 f)</w:t>
      </w:r>
      <w:r w:rsidR="00165FD1" w:rsidRPr="00165FD1">
        <w:rPr>
          <w:lang w:val="fr-CA"/>
        </w:rPr>
        <w:t xml:space="preserve"> </w:t>
      </w:r>
      <w:r w:rsidR="00165FD1">
        <w:rPr>
          <w:lang w:val="fr-CA"/>
        </w:rPr>
        <w:t>(ADR)</w:t>
      </w:r>
      <w:r>
        <w:rPr>
          <w:lang w:val="fr-CA"/>
        </w:rPr>
        <w:tab/>
        <w:t>Remplacer «</w:t>
      </w:r>
      <w:r w:rsidRPr="004D5687">
        <w:rPr>
          <w:rFonts w:ascii="TimesNewRomanPSMT" w:hAnsi="TimesNewRomanPSMT" w:cs="TimesNewRomanPSMT"/>
          <w:lang w:eastAsia="fr-FR"/>
        </w:rPr>
        <w:t>les signalisations de danger prescrites</w:t>
      </w:r>
      <w:r>
        <w:rPr>
          <w:lang w:val="fr-CA"/>
        </w:rPr>
        <w:t>» par «les plaques-étiquettes, les marques et la signalisation orange qui avaient été apposées conformément au chapitre 5.3».</w:t>
      </w:r>
    </w:p>
    <w:p w:rsidR="008B7055" w:rsidRDefault="008B7055" w:rsidP="002D091E">
      <w:pPr>
        <w:pStyle w:val="SingleTxtG"/>
        <w:rPr>
          <w:i/>
        </w:rPr>
      </w:pPr>
      <w:r w:rsidRPr="00D972B4">
        <w:rPr>
          <w:i/>
        </w:rPr>
        <w:lastRenderedPageBreak/>
        <w:t xml:space="preserve">(Document de référence: </w:t>
      </w:r>
      <w:r>
        <w:rPr>
          <w:i/>
        </w:rPr>
        <w:t>document informel INF.48</w:t>
      </w:r>
      <w:r w:rsidRPr="00D972B4">
        <w:rPr>
          <w:i/>
        </w:rPr>
        <w:t>)</w:t>
      </w:r>
    </w:p>
    <w:p w:rsidR="00C3243D" w:rsidRDefault="00C3243D" w:rsidP="00C3243D">
      <w:pPr>
        <w:pStyle w:val="H1G"/>
      </w:pPr>
      <w:r>
        <w:tab/>
      </w:r>
      <w:r>
        <w:tab/>
        <w:t>Chapitre 1.6</w:t>
      </w:r>
    </w:p>
    <w:p w:rsidR="00C3243D" w:rsidRDefault="00C3243D" w:rsidP="00C3243D">
      <w:pPr>
        <w:pStyle w:val="SingleTxtG"/>
      </w:pPr>
      <w:r w:rsidRPr="001E5637">
        <w:t>1.6.1.1</w:t>
      </w:r>
      <w:r>
        <w:tab/>
      </w:r>
      <w:r>
        <w:tab/>
        <w:t>Remplacer «30 juin 2015</w:t>
      </w:r>
      <w:r w:rsidRPr="000C6915">
        <w:t xml:space="preserve">» </w:t>
      </w:r>
      <w:r>
        <w:t>par «</w:t>
      </w:r>
      <w:r w:rsidRPr="000C6915">
        <w:t xml:space="preserve">30 juin </w:t>
      </w:r>
      <w:r>
        <w:t>2017</w:t>
      </w:r>
      <w:r w:rsidRPr="000C6915">
        <w:t>».</w:t>
      </w:r>
      <w:r>
        <w:t xml:space="preserve"> Remplacer</w:t>
      </w:r>
      <w:r w:rsidRPr="000C6915">
        <w:t xml:space="preserve"> «</w:t>
      </w:r>
      <w:r>
        <w:t>31 décembre 2014» par «31 décembre 2016</w:t>
      </w:r>
      <w:r w:rsidRPr="000C6915">
        <w:t>».</w:t>
      </w:r>
    </w:p>
    <w:p w:rsidR="00C3243D" w:rsidRPr="000C6915" w:rsidRDefault="00165FD1" w:rsidP="00C3243D">
      <w:pPr>
        <w:pStyle w:val="SingleTxtG"/>
      </w:pPr>
      <w:r>
        <w:tab/>
      </w:r>
      <w:r>
        <w:tab/>
      </w:r>
      <w:r w:rsidR="00C3243D">
        <w:t>(RID</w:t>
      </w:r>
      <w:r w:rsidR="00C3243D" w:rsidRPr="000C6915">
        <w:t xml:space="preserve">) Dans la note de bas de page 1, </w:t>
      </w:r>
      <w:r w:rsidR="00C3243D">
        <w:t>remplacer «</w:t>
      </w:r>
      <w:r w:rsidR="00C3243D" w:rsidRPr="000C6915">
        <w:t>1</w:t>
      </w:r>
      <w:r w:rsidR="00C3243D" w:rsidRPr="001E5637">
        <w:t>er</w:t>
      </w:r>
      <w:r w:rsidR="00C3243D">
        <w:t> janvier 2013» par «</w:t>
      </w:r>
      <w:r w:rsidR="00C3243D" w:rsidRPr="000C6915">
        <w:t>1</w:t>
      </w:r>
      <w:r w:rsidR="00C3243D" w:rsidRPr="001E5637">
        <w:t>er</w:t>
      </w:r>
      <w:r w:rsidR="00C3243D">
        <w:t> janvier 2015</w:t>
      </w:r>
      <w:r w:rsidR="00C3243D" w:rsidRPr="000C6915">
        <w:t>».</w:t>
      </w:r>
    </w:p>
    <w:p w:rsidR="009613D5" w:rsidRPr="00301384" w:rsidRDefault="009613D5" w:rsidP="009613D5">
      <w:pPr>
        <w:pStyle w:val="SingleTxtG"/>
        <w:rPr>
          <w:i/>
        </w:rPr>
      </w:pPr>
      <w:r w:rsidRPr="00301384">
        <w:rPr>
          <w:i/>
        </w:rPr>
        <w:t xml:space="preserve">(Document de référence: </w:t>
      </w:r>
      <w:r>
        <w:rPr>
          <w:i/>
        </w:rPr>
        <w:t>ECE/TRANS/WP.15/AC.1/2015/30</w:t>
      </w:r>
      <w:r w:rsidRPr="00301384">
        <w:rPr>
          <w:i/>
        </w:rPr>
        <w:t>)</w:t>
      </w:r>
    </w:p>
    <w:p w:rsidR="009613D5" w:rsidRDefault="009613D5" w:rsidP="009613D5">
      <w:pPr>
        <w:pStyle w:val="SingleTxtG"/>
        <w:tabs>
          <w:tab w:val="left" w:pos="1985"/>
        </w:tabs>
        <w:rPr>
          <w:lang w:val="fr-FR"/>
        </w:rPr>
      </w:pPr>
      <w:r>
        <w:rPr>
          <w:lang w:val="fr-FR"/>
        </w:rPr>
        <w:t>1.6.1.15</w:t>
      </w:r>
      <w:r>
        <w:rPr>
          <w:lang w:val="fr-FR"/>
        </w:rPr>
        <w:tab/>
        <w:t>Modifier la deuxième phrase pour lire comme suit: «</w:t>
      </w:r>
      <w:r w:rsidRPr="00D26201">
        <w:rPr>
          <w:lang w:val="fr-FR"/>
        </w:rPr>
        <w:t xml:space="preserve">Ces GRV ne portant pas </w:t>
      </w:r>
      <w:r>
        <w:rPr>
          <w:lang w:val="fr-FR"/>
        </w:rPr>
        <w:t>la marque</w:t>
      </w:r>
      <w:r w:rsidRPr="00D26201">
        <w:rPr>
          <w:lang w:val="fr-FR"/>
        </w:rPr>
        <w:t xml:space="preserve"> conformément au 6.5.2.2.2 pourront encore être utilisés après le 31 décembre 2010 mais </w:t>
      </w:r>
      <w:r>
        <w:rPr>
          <w:lang w:val="fr-FR"/>
        </w:rPr>
        <w:t>la marque</w:t>
      </w:r>
      <w:r w:rsidRPr="00D26201">
        <w:rPr>
          <w:lang w:val="fr-FR"/>
        </w:rPr>
        <w:t xml:space="preserve"> conformément au 6.5.2.2.2 devra y être apposé</w:t>
      </w:r>
      <w:r>
        <w:rPr>
          <w:lang w:val="fr-FR"/>
        </w:rPr>
        <w:t>e</w:t>
      </w:r>
      <w:r w:rsidRPr="00D26201">
        <w:rPr>
          <w:lang w:val="fr-FR"/>
        </w:rPr>
        <w:t xml:space="preserve"> s'ils sont reconstruits ou réparés après cette</w:t>
      </w:r>
      <w:r>
        <w:rPr>
          <w:lang w:val="fr-FR"/>
        </w:rPr>
        <w:t xml:space="preserve"> </w:t>
      </w:r>
      <w:r w:rsidRPr="00D26201">
        <w:rPr>
          <w:lang w:val="fr-FR"/>
        </w:rPr>
        <w:t>date.</w:t>
      </w:r>
      <w:r>
        <w:rPr>
          <w:lang w:val="fr-FR"/>
        </w:rPr>
        <w:t>».</w:t>
      </w:r>
    </w:p>
    <w:p w:rsidR="009613D5" w:rsidRPr="007A5D50" w:rsidRDefault="009613D5" w:rsidP="009613D5">
      <w:pPr>
        <w:pStyle w:val="SingleTxtG"/>
        <w:tabs>
          <w:tab w:val="left" w:pos="1985"/>
        </w:tabs>
        <w:rPr>
          <w:i/>
          <w:lang w:val="fr-FR"/>
        </w:rPr>
      </w:pPr>
      <w:r w:rsidRPr="007A5D50">
        <w:rPr>
          <w:i/>
          <w:lang w:val="fr-FR"/>
        </w:rPr>
        <w:t>(Documents de référence: ECE/TRANS/WP.15/AC.1/2015/29 et document informel INF.8)</w:t>
      </w:r>
    </w:p>
    <w:p w:rsidR="009613D5" w:rsidRDefault="009613D5" w:rsidP="002D091E">
      <w:pPr>
        <w:pStyle w:val="SingleTxtG"/>
        <w:tabs>
          <w:tab w:val="left" w:pos="1985"/>
        </w:tabs>
        <w:rPr>
          <w:i/>
        </w:rPr>
      </w:pPr>
      <w:r w:rsidRPr="003F740E">
        <w:t>1.6.1.20</w:t>
      </w:r>
      <w:r>
        <w:t xml:space="preserve">, </w:t>
      </w:r>
      <w:r w:rsidRPr="003F740E">
        <w:t>1.6.1.28</w:t>
      </w:r>
      <w:r>
        <w:t>, 1.6.1.30, 1.6.1.31, 1.6.1.32</w:t>
      </w:r>
      <w:r w:rsidRPr="003F740E">
        <w:tab/>
      </w:r>
      <w:r>
        <w:tab/>
        <w:t>Supprimer et ajouter «</w:t>
      </w:r>
      <w:r w:rsidRPr="006D7F2E">
        <w:t>(</w:t>
      </w:r>
      <w:r>
        <w:t>Supprimé</w:t>
      </w:r>
      <w:r w:rsidRPr="006D7F2E">
        <w:t>)</w:t>
      </w:r>
      <w:r>
        <w:t>».</w:t>
      </w:r>
      <w:r w:rsidRPr="00301384">
        <w:rPr>
          <w:i/>
        </w:rPr>
        <w:t xml:space="preserve"> </w:t>
      </w:r>
    </w:p>
    <w:p w:rsidR="009613D5" w:rsidRPr="00301384" w:rsidRDefault="009613D5" w:rsidP="009613D5">
      <w:pPr>
        <w:pStyle w:val="SingleTxtG"/>
        <w:rPr>
          <w:i/>
        </w:rPr>
      </w:pPr>
      <w:r w:rsidRPr="00301384">
        <w:rPr>
          <w:i/>
        </w:rPr>
        <w:t xml:space="preserve">(Document de référence: </w:t>
      </w:r>
      <w:r>
        <w:rPr>
          <w:i/>
        </w:rPr>
        <w:t>ECE/TRANS/WP.15/AC.1/2015/30</w:t>
      </w:r>
      <w:r w:rsidRPr="00301384">
        <w:rPr>
          <w:i/>
        </w:rPr>
        <w:t>)</w:t>
      </w:r>
    </w:p>
    <w:p w:rsidR="009613D5" w:rsidRDefault="009613D5" w:rsidP="009613D5">
      <w:pPr>
        <w:pStyle w:val="SingleTxtG"/>
        <w:tabs>
          <w:tab w:val="left" w:pos="1985"/>
        </w:tabs>
        <w:rPr>
          <w:lang w:val="fr-FR"/>
        </w:rPr>
      </w:pPr>
      <w:r w:rsidRPr="008B00F3">
        <w:rPr>
          <w:lang w:val="fr-FR"/>
        </w:rPr>
        <w:t>1.6.1.26</w:t>
      </w:r>
      <w:r>
        <w:rPr>
          <w:lang w:val="fr-FR"/>
        </w:rPr>
        <w:tab/>
        <w:t>Modifier la troisième phrase pour lire comme suit: «</w:t>
      </w:r>
      <w:r w:rsidRPr="008B00F3">
        <w:rPr>
          <w:lang w:val="fr-FR"/>
        </w:rPr>
        <w:t xml:space="preserve">Ces grands emballages ne portant pas </w:t>
      </w:r>
      <w:r>
        <w:rPr>
          <w:lang w:val="fr-FR"/>
        </w:rPr>
        <w:t xml:space="preserve">la marque </w:t>
      </w:r>
      <w:r w:rsidRPr="008B00F3">
        <w:rPr>
          <w:lang w:val="fr-FR"/>
        </w:rPr>
        <w:t xml:space="preserve">conformément au 6.6.3.3 pourront encore être utilisés après le 31 décembre 2014 mais </w:t>
      </w:r>
      <w:r>
        <w:rPr>
          <w:lang w:val="fr-FR"/>
        </w:rPr>
        <w:t xml:space="preserve">la marque </w:t>
      </w:r>
      <w:r w:rsidRPr="008B00F3">
        <w:rPr>
          <w:lang w:val="fr-FR"/>
        </w:rPr>
        <w:t>conformément au 6.6.3.3 devra y être apposé</w:t>
      </w:r>
      <w:r>
        <w:rPr>
          <w:lang w:val="fr-FR"/>
        </w:rPr>
        <w:t>e</w:t>
      </w:r>
      <w:r w:rsidRPr="008B00F3">
        <w:rPr>
          <w:lang w:val="fr-FR"/>
        </w:rPr>
        <w:t xml:space="preserve"> s'ils sont reconstruits après cette date.</w:t>
      </w:r>
      <w:r>
        <w:rPr>
          <w:lang w:val="fr-FR"/>
        </w:rPr>
        <w:t>».</w:t>
      </w:r>
    </w:p>
    <w:p w:rsidR="009613D5" w:rsidRPr="007A5D50" w:rsidRDefault="009613D5" w:rsidP="009613D5">
      <w:pPr>
        <w:pStyle w:val="SingleTxtG"/>
        <w:tabs>
          <w:tab w:val="left" w:pos="1985"/>
        </w:tabs>
        <w:rPr>
          <w:i/>
          <w:lang w:val="fr-FR"/>
        </w:rPr>
      </w:pPr>
      <w:r w:rsidRPr="007A5D50">
        <w:rPr>
          <w:i/>
          <w:lang w:val="fr-FR"/>
        </w:rPr>
        <w:t>(Documents de référence: ECE/TRANS/WP.15/AC.1/2015/29 et document informel INF.8)</w:t>
      </w:r>
    </w:p>
    <w:p w:rsidR="009613D5" w:rsidRPr="000A40F5" w:rsidRDefault="009613D5" w:rsidP="009613D5">
      <w:pPr>
        <w:pStyle w:val="SingleTxtG"/>
        <w:tabs>
          <w:tab w:val="left" w:pos="1985"/>
        </w:tabs>
        <w:rPr>
          <w:lang w:val="fr-FR"/>
        </w:rPr>
      </w:pPr>
      <w:r w:rsidRPr="000A40F5">
        <w:rPr>
          <w:lang w:val="fr-FR"/>
        </w:rPr>
        <w:t>1.6.2.3</w:t>
      </w:r>
      <w:r>
        <w:rPr>
          <w:lang w:val="fr-FR"/>
        </w:rPr>
        <w:t xml:space="preserve"> (</w:t>
      </w:r>
      <w:r w:rsidR="00CD6ACC">
        <w:rPr>
          <w:lang w:val="fr-FR"/>
        </w:rPr>
        <w:t>RID/</w:t>
      </w:r>
      <w:r>
        <w:rPr>
          <w:lang w:val="fr-FR"/>
        </w:rPr>
        <w:t>ADR)</w:t>
      </w:r>
      <w:r w:rsidRPr="000A40F5">
        <w:rPr>
          <w:lang w:val="fr-FR"/>
        </w:rPr>
        <w:tab/>
      </w:r>
      <w:r>
        <w:rPr>
          <w:lang w:val="fr-FR"/>
        </w:rPr>
        <w:t>Remplacer «</w:t>
      </w:r>
      <w:r>
        <w:rPr>
          <w:lang w:val="fr-FR" w:eastAsia="fr-FR"/>
        </w:rPr>
        <w:t>le marquage conforme</w:t>
      </w:r>
      <w:r>
        <w:rPr>
          <w:lang w:val="fr-FR"/>
        </w:rPr>
        <w:t>» par «</w:t>
      </w:r>
      <w:r>
        <w:rPr>
          <w:lang w:val="fr-FR" w:eastAsia="fr-FR"/>
        </w:rPr>
        <w:t>les marques conformes</w:t>
      </w:r>
      <w:r>
        <w:rPr>
          <w:lang w:val="fr-FR"/>
        </w:rPr>
        <w:t>».</w:t>
      </w:r>
    </w:p>
    <w:p w:rsidR="009613D5" w:rsidRDefault="009613D5" w:rsidP="009613D5">
      <w:pPr>
        <w:pStyle w:val="SingleTxtG"/>
        <w:tabs>
          <w:tab w:val="left" w:pos="1985"/>
        </w:tabs>
        <w:rPr>
          <w:i/>
          <w:lang w:val="fr-FR"/>
        </w:rPr>
      </w:pPr>
      <w:r w:rsidRPr="007A5D50">
        <w:rPr>
          <w:i/>
          <w:lang w:val="fr-FR"/>
        </w:rPr>
        <w:t>(Documents de référence: ECE/TRANS/WP.15/AC.1/2015/29 et document informel INF.8)</w:t>
      </w:r>
    </w:p>
    <w:p w:rsidR="00D44543" w:rsidRPr="00D44543" w:rsidRDefault="00D44543" w:rsidP="00D44543">
      <w:pPr>
        <w:pStyle w:val="SingleTxtG"/>
        <w:tabs>
          <w:tab w:val="left" w:pos="1985"/>
        </w:tabs>
        <w:rPr>
          <w:lang w:val="fr-FR"/>
        </w:rPr>
      </w:pPr>
      <w:r w:rsidRPr="00D44543">
        <w:rPr>
          <w:lang w:val="fr-FR"/>
        </w:rPr>
        <w:t>1.6.3.32</w:t>
      </w:r>
      <w:r>
        <w:rPr>
          <w:lang w:val="fr-FR"/>
        </w:rPr>
        <w:t xml:space="preserve"> </w:t>
      </w:r>
      <w:r w:rsidRPr="00165FD1">
        <w:rPr>
          <w:lang w:val="fr-FR"/>
        </w:rPr>
        <w:t>(RID)</w:t>
      </w:r>
      <w:r>
        <w:rPr>
          <w:lang w:val="fr-FR"/>
        </w:rPr>
        <w:t xml:space="preserve"> </w:t>
      </w:r>
      <w:r w:rsidRPr="00D44543">
        <w:rPr>
          <w:lang w:val="fr-FR"/>
        </w:rPr>
        <w:tab/>
        <w:t>À la fin, su</w:t>
      </w:r>
      <w:r>
        <w:rPr>
          <w:lang w:val="fr-FR"/>
        </w:rPr>
        <w:t>pprimer</w:t>
      </w:r>
      <w:r w:rsidRPr="00D44543">
        <w:rPr>
          <w:lang w:val="fr-FR"/>
        </w:rPr>
        <w:t>:</w:t>
      </w:r>
      <w:r>
        <w:rPr>
          <w:lang w:val="fr-FR"/>
        </w:rPr>
        <w:t xml:space="preserve"> «</w:t>
      </w:r>
      <w:r w:rsidRPr="00D44543">
        <w:rPr>
          <w:lang w:val="fr-FR"/>
        </w:rPr>
        <w:t>a</w:t>
      </w:r>
      <w:r>
        <w:rPr>
          <w:lang w:val="fr-FR"/>
        </w:rPr>
        <w:t>u plus tard le 31 décembre 2014</w:t>
      </w:r>
      <w:r w:rsidRPr="00D44543">
        <w:rPr>
          <w:lang w:val="fr-FR"/>
        </w:rPr>
        <w:t>».</w:t>
      </w:r>
    </w:p>
    <w:p w:rsidR="00D44543" w:rsidRPr="00301384" w:rsidRDefault="00D44543" w:rsidP="00D44543">
      <w:pPr>
        <w:pStyle w:val="SingleTxtG"/>
        <w:rPr>
          <w:i/>
        </w:rPr>
      </w:pPr>
      <w:r w:rsidRPr="00301384">
        <w:rPr>
          <w:i/>
        </w:rPr>
        <w:t xml:space="preserve">(Document de référence: </w:t>
      </w:r>
      <w:r>
        <w:rPr>
          <w:i/>
        </w:rPr>
        <w:t>ECE/TRANS/WP.15/AC.1/2015/30</w:t>
      </w:r>
      <w:r w:rsidRPr="00301384">
        <w:rPr>
          <w:i/>
        </w:rPr>
        <w:t>)</w:t>
      </w:r>
    </w:p>
    <w:p w:rsidR="00D44543" w:rsidRPr="00301384" w:rsidRDefault="00D44543" w:rsidP="00D44543">
      <w:pPr>
        <w:pStyle w:val="SingleTxtG"/>
        <w:rPr>
          <w:i/>
        </w:rPr>
      </w:pPr>
      <w:r w:rsidRPr="00D44543">
        <w:rPr>
          <w:lang w:val="fr-FR"/>
        </w:rPr>
        <w:t>1.6.3.40</w:t>
      </w:r>
      <w:r>
        <w:rPr>
          <w:lang w:val="fr-FR"/>
        </w:rPr>
        <w:t>, 1.6.4.19</w:t>
      </w:r>
      <w:r w:rsidR="00A25BF6">
        <w:rPr>
          <w:lang w:val="fr-FR"/>
        </w:rPr>
        <w:t>,</w:t>
      </w:r>
      <w:r>
        <w:rPr>
          <w:lang w:val="fr-FR"/>
        </w:rPr>
        <w:t xml:space="preserve"> 1.6.4.36</w:t>
      </w:r>
      <w:r w:rsidR="00A25BF6">
        <w:rPr>
          <w:lang w:val="fr-FR"/>
        </w:rPr>
        <w:t xml:space="preserve"> et 1.6.4.41</w:t>
      </w:r>
      <w:r w:rsidRPr="00D44543">
        <w:rPr>
          <w:lang w:val="fr-FR"/>
        </w:rPr>
        <w:tab/>
      </w:r>
      <w:r>
        <w:t xml:space="preserve">Supprimer et ajouter </w:t>
      </w:r>
      <w:r w:rsidRPr="00D44543">
        <w:t xml:space="preserve">«(Supprimé)». </w:t>
      </w:r>
      <w:r w:rsidRPr="00301384">
        <w:rPr>
          <w:i/>
        </w:rPr>
        <w:t xml:space="preserve">(Document de référence: </w:t>
      </w:r>
      <w:r>
        <w:rPr>
          <w:i/>
        </w:rPr>
        <w:t>ECE/TRANS/WP.15/AC.1/2015/30</w:t>
      </w:r>
      <w:r w:rsidRPr="00301384">
        <w:rPr>
          <w:i/>
        </w:rPr>
        <w:t>)</w:t>
      </w:r>
    </w:p>
    <w:p w:rsidR="00D44543" w:rsidRPr="00D44543" w:rsidRDefault="00D44543" w:rsidP="00D44543">
      <w:pPr>
        <w:pStyle w:val="SingleTxtG"/>
        <w:tabs>
          <w:tab w:val="left" w:pos="1985"/>
        </w:tabs>
        <w:rPr>
          <w:lang w:val="fr-FR"/>
        </w:rPr>
      </w:pPr>
      <w:r w:rsidRPr="00D44543">
        <w:rPr>
          <w:lang w:val="fr-FR"/>
        </w:rPr>
        <w:t>1.6.4.37</w:t>
      </w:r>
      <w:r w:rsidRPr="00D44543">
        <w:rPr>
          <w:lang w:val="fr-FR"/>
        </w:rPr>
        <w:tab/>
        <w:t xml:space="preserve">Supprimer la deuxième phrase. </w:t>
      </w:r>
    </w:p>
    <w:p w:rsidR="00D44543" w:rsidRPr="00301384" w:rsidRDefault="00D44543" w:rsidP="00D44543">
      <w:pPr>
        <w:pStyle w:val="SingleTxtG"/>
        <w:rPr>
          <w:i/>
        </w:rPr>
      </w:pPr>
      <w:r w:rsidRPr="00301384">
        <w:rPr>
          <w:i/>
        </w:rPr>
        <w:t xml:space="preserve">(Document de référence: </w:t>
      </w:r>
      <w:r>
        <w:rPr>
          <w:i/>
        </w:rPr>
        <w:t>ECE/TRANS/WP.15/AC.1/2015/30</w:t>
      </w:r>
      <w:r w:rsidRPr="00301384">
        <w:rPr>
          <w:i/>
        </w:rPr>
        <w:t>)</w:t>
      </w:r>
    </w:p>
    <w:p w:rsidR="0008539B" w:rsidRDefault="0008539B" w:rsidP="0008539B">
      <w:pPr>
        <w:pStyle w:val="H1G"/>
      </w:pPr>
      <w:r>
        <w:tab/>
      </w:r>
      <w:r>
        <w:tab/>
        <w:t>Chapitre 1.8</w:t>
      </w:r>
    </w:p>
    <w:p w:rsidR="00514102" w:rsidRPr="00182A9B" w:rsidRDefault="00514102" w:rsidP="00514102">
      <w:pPr>
        <w:pStyle w:val="SingleTxtG"/>
        <w:rPr>
          <w:lang w:val="fr-FR"/>
        </w:rPr>
      </w:pPr>
      <w:r>
        <w:rPr>
          <w:lang w:val="fr-FR"/>
        </w:rPr>
        <w:t>1.8.3.10</w:t>
      </w:r>
      <w:r>
        <w:rPr>
          <w:lang w:val="fr-FR"/>
        </w:rPr>
        <w:tab/>
        <w:t>Dans le deuxième paragraphe, au deuxième tiret, à la fin, ajouter «</w:t>
      </w:r>
      <w:r w:rsidRPr="00182A9B">
        <w:rPr>
          <w:lang w:val="fr-FR"/>
        </w:rPr>
        <w:t>, y compris, si nécessaire, de l’infrastructure et de l’organisation des examens électroniques conformément au paragraphe 1.8.3.12.5, si ceux-ci doivent être effectués</w:t>
      </w:r>
      <w:r>
        <w:rPr>
          <w:lang w:val="fr-FR"/>
        </w:rPr>
        <w:t>».</w:t>
      </w:r>
    </w:p>
    <w:p w:rsidR="00514102" w:rsidRPr="00AC6A2C" w:rsidRDefault="00514102" w:rsidP="00514102">
      <w:pPr>
        <w:pStyle w:val="SingleTxtG"/>
        <w:rPr>
          <w:i/>
          <w:lang w:val="fr-FR"/>
        </w:rPr>
      </w:pPr>
      <w:r w:rsidRPr="00AC6A2C">
        <w:rPr>
          <w:i/>
          <w:lang w:val="fr-FR"/>
        </w:rPr>
        <w:t>(Documents de référence: ECE/TRANS/WP.15/AC.1/2015/26/Rev.1)</w:t>
      </w:r>
    </w:p>
    <w:p w:rsidR="0005304D" w:rsidRPr="00866AE4" w:rsidRDefault="0005304D" w:rsidP="0005304D">
      <w:pPr>
        <w:pStyle w:val="SingleTxtG"/>
        <w:rPr>
          <w:lang w:val="fr-FR"/>
        </w:rPr>
      </w:pPr>
      <w:r w:rsidRPr="00EA658D">
        <w:rPr>
          <w:lang w:val="fr-FR"/>
        </w:rPr>
        <w:t>1.8.3.11 b)</w:t>
      </w:r>
      <w:r w:rsidRPr="00866AE4">
        <w:rPr>
          <w:lang w:val="fr-FR"/>
        </w:rPr>
        <w:tab/>
      </w:r>
      <w:r w:rsidR="00426B7A">
        <w:t>L’amendement ne s’applique pas au texte français.</w:t>
      </w:r>
    </w:p>
    <w:p w:rsidR="0005304D" w:rsidRPr="007A5D50" w:rsidRDefault="0005304D" w:rsidP="0005304D">
      <w:pPr>
        <w:pStyle w:val="SingleTxtG"/>
        <w:tabs>
          <w:tab w:val="left" w:pos="1985"/>
        </w:tabs>
        <w:rPr>
          <w:i/>
          <w:lang w:val="fr-FR"/>
        </w:rPr>
      </w:pPr>
      <w:r w:rsidRPr="007A5D50">
        <w:rPr>
          <w:i/>
          <w:lang w:val="fr-FR"/>
        </w:rPr>
        <w:t>(Documents de référence: ECE/TRANS/WP.15/AC.1/2015/29 et document informel INF.8)</w:t>
      </w:r>
    </w:p>
    <w:p w:rsidR="000E5974" w:rsidRDefault="000E5974" w:rsidP="000E5974">
      <w:pPr>
        <w:pStyle w:val="SingleTxtG"/>
        <w:rPr>
          <w:lang w:val="fr-FR"/>
        </w:rPr>
      </w:pPr>
      <w:r>
        <w:t>1.8.3.12.2</w:t>
      </w:r>
      <w:r>
        <w:rPr>
          <w:lang w:val="fr-FR"/>
        </w:rPr>
        <w:t xml:space="preserve"> </w:t>
      </w:r>
      <w:r>
        <w:rPr>
          <w:lang w:val="fr-FR"/>
        </w:rPr>
        <w:tab/>
        <w:t>Modifier pour lire comme suit:</w:t>
      </w:r>
    </w:p>
    <w:p w:rsidR="000E5974" w:rsidRDefault="000E5974" w:rsidP="000E5974">
      <w:pPr>
        <w:pStyle w:val="SingleTxtG"/>
      </w:pPr>
      <w:r w:rsidRPr="005173BD">
        <w:t>«1.8.3.12</w:t>
      </w:r>
      <w:r>
        <w:t>.2</w:t>
      </w:r>
      <w:r w:rsidRPr="005173BD">
        <w:tab/>
        <w:t>L’autorité compétente ou un organisme examinateur désigné par elle doit surveiller</w:t>
      </w:r>
      <w:r w:rsidRPr="005173BD" w:rsidDel="00F442E4">
        <w:t xml:space="preserve"> </w:t>
      </w:r>
      <w:r w:rsidRPr="005173BD">
        <w:t xml:space="preserve">tous les examens. Toute possibilité de manipulation ou de fraude doit être exclue </w:t>
      </w:r>
      <w:r w:rsidRPr="005173BD">
        <w:lastRenderedPageBreak/>
        <w:t>autant que possible. L’authentification du candidat doit être assurée. L’utilisation pour l’épreuve écrite de documents autres que des règlements internationaux ou nationaux est interdite. Tous les documents d’examen doivent être enregistrés</w:t>
      </w:r>
      <w:r w:rsidRPr="005173BD" w:rsidDel="00F442E4">
        <w:t xml:space="preserve"> </w:t>
      </w:r>
      <w:r w:rsidRPr="005173BD">
        <w:t>et conservés sous forme imprimée ou dans un fichier électronique.».</w:t>
      </w:r>
    </w:p>
    <w:p w:rsidR="000E5974" w:rsidRPr="00AC6A2C" w:rsidRDefault="000E5974" w:rsidP="000E5974">
      <w:pPr>
        <w:pStyle w:val="SingleTxtG"/>
        <w:rPr>
          <w:i/>
          <w:lang w:val="fr-FR"/>
        </w:rPr>
      </w:pPr>
      <w:r w:rsidRPr="00AC6A2C">
        <w:rPr>
          <w:i/>
          <w:lang w:val="fr-FR"/>
        </w:rPr>
        <w:t>(Documents de référence: ECE/TRANS/WP.15/AC.1/2015/26/Rev.1 tel que modifié)</w:t>
      </w:r>
    </w:p>
    <w:p w:rsidR="0005304D" w:rsidRDefault="0005304D" w:rsidP="00AA36B6">
      <w:pPr>
        <w:pStyle w:val="SingleTxtG"/>
        <w:tabs>
          <w:tab w:val="left" w:pos="1701"/>
        </w:tabs>
        <w:rPr>
          <w:lang w:val="fr-FR"/>
        </w:rPr>
      </w:pPr>
      <w:r w:rsidRPr="000A40F5">
        <w:rPr>
          <w:lang w:val="fr-FR"/>
        </w:rPr>
        <w:t>1.8.3.12</w:t>
      </w:r>
      <w:r>
        <w:rPr>
          <w:lang w:val="fr-FR"/>
        </w:rPr>
        <w:t xml:space="preserve">.4 </w:t>
      </w:r>
      <w:r w:rsidRPr="000A40F5">
        <w:rPr>
          <w:lang w:val="fr-FR"/>
        </w:rPr>
        <w:t>a)</w:t>
      </w:r>
      <w:r w:rsidRPr="000A40F5">
        <w:rPr>
          <w:lang w:val="fr-FR"/>
        </w:rPr>
        <w:tab/>
      </w:r>
      <w:r>
        <w:rPr>
          <w:lang w:val="fr-FR"/>
        </w:rPr>
        <w:t>Modifier le quatrième tiret pour lire comme suit</w:t>
      </w:r>
      <w:r w:rsidRPr="000A40F5">
        <w:rPr>
          <w:lang w:val="fr-FR"/>
        </w:rPr>
        <w:t xml:space="preserve">: </w:t>
      </w:r>
      <w:r>
        <w:rPr>
          <w:lang w:val="fr-FR"/>
        </w:rPr>
        <w:br/>
        <w:t>«-</w:t>
      </w:r>
      <w:r>
        <w:rPr>
          <w:lang w:val="fr-FR"/>
        </w:rPr>
        <w:tab/>
      </w:r>
      <w:r>
        <w:rPr>
          <w:rFonts w:ascii="TimesNewRomanPSMT" w:hAnsi="TimesNewRomanPSMT" w:cs="TimesNewRomanPSMT"/>
          <w:lang w:val="fr-FR" w:eastAsia="fr-FR"/>
        </w:rPr>
        <w:t>les marques, plaques-étiquettes et étiquettes de danger;</w:t>
      </w:r>
      <w:r>
        <w:rPr>
          <w:lang w:val="fr-FR"/>
        </w:rPr>
        <w:t>».</w:t>
      </w:r>
    </w:p>
    <w:p w:rsidR="0005304D" w:rsidRPr="007A5D50" w:rsidRDefault="0005304D" w:rsidP="0005304D">
      <w:pPr>
        <w:pStyle w:val="SingleTxtG"/>
        <w:tabs>
          <w:tab w:val="left" w:pos="1985"/>
        </w:tabs>
        <w:rPr>
          <w:i/>
          <w:lang w:val="fr-FR"/>
        </w:rPr>
      </w:pPr>
      <w:r w:rsidRPr="007A5D50">
        <w:rPr>
          <w:i/>
          <w:lang w:val="fr-FR"/>
        </w:rPr>
        <w:t>(Documents de référence: ECE/TRANS/WP.15/AC.1/2015/29 et document informel INF.8)</w:t>
      </w:r>
    </w:p>
    <w:p w:rsidR="00B725D7" w:rsidRDefault="00B725D7" w:rsidP="00B725D7">
      <w:pPr>
        <w:pStyle w:val="SingleTxtG"/>
      </w:pPr>
      <w:r>
        <w:t>Ajouter un nouveau 1.8.3.12.5 pour lire comme suit:</w:t>
      </w:r>
    </w:p>
    <w:p w:rsidR="00B725D7" w:rsidRPr="005173BD" w:rsidRDefault="00B725D7" w:rsidP="00B725D7">
      <w:pPr>
        <w:pStyle w:val="SingleTxtG"/>
      </w:pPr>
      <w:r>
        <w:t>«</w:t>
      </w:r>
      <w:r w:rsidRPr="005173BD">
        <w:t>1.8.3.12.5</w:t>
      </w:r>
      <w:r w:rsidRPr="005173BD">
        <w:tab/>
      </w:r>
      <w:r>
        <w:t>Les examens écrits peuvent être effectués, en tout ou partie, sous forme d’examens électroniques, les réponses étant enregistrées et évaluées à l’aide de techniques électroniques de traitement des données, pour autant que les conditions suivantes soient remplies</w:t>
      </w:r>
      <w:r w:rsidRPr="005173BD">
        <w:t>:</w:t>
      </w:r>
    </w:p>
    <w:p w:rsidR="00B725D7" w:rsidRDefault="00B725D7" w:rsidP="00B725D7">
      <w:pPr>
        <w:pStyle w:val="SingleTxtG"/>
      </w:pPr>
      <w:r w:rsidRPr="005173BD">
        <w:t>a)</w:t>
      </w:r>
      <w:r w:rsidRPr="005173BD">
        <w:tab/>
      </w:r>
      <w:r>
        <w:t xml:space="preserve">Le matériel informatique et le logiciel doivent être vérifiés et </w:t>
      </w:r>
      <w:r w:rsidRPr="005173BD">
        <w:t>acceptés</w:t>
      </w:r>
      <w:r>
        <w:t xml:space="preserve"> par l’autorité compétente </w:t>
      </w:r>
      <w:r w:rsidRPr="005173BD">
        <w:t>ou par un organisme examinateur désigné par elle</w:t>
      </w:r>
      <w:r>
        <w:t>;</w:t>
      </w:r>
    </w:p>
    <w:p w:rsidR="00B725D7" w:rsidRPr="005173BD" w:rsidRDefault="00B725D7" w:rsidP="00B725D7">
      <w:pPr>
        <w:pStyle w:val="SingleTxtG"/>
      </w:pPr>
      <w:r w:rsidRPr="005173BD">
        <w:t>b)</w:t>
      </w:r>
      <w:r>
        <w:tab/>
        <w:t xml:space="preserve">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w:t>
      </w:r>
      <w:r w:rsidRPr="005173BD">
        <w:t xml:space="preserve">(comme par exemple une fonction de recherche </w:t>
      </w:r>
      <w:r w:rsidRPr="002D091E">
        <w:t>électronique); l’équipement fourni conformément au 1.8.3.12.3 ne doit pas permettre aux candidats de communiquer avec tout autre appareil pendant l’examen</w:t>
      </w:r>
      <w:r w:rsidRPr="00AC6A2C">
        <w:t>;</w:t>
      </w:r>
    </w:p>
    <w:p w:rsidR="00B725D7" w:rsidRDefault="00B725D7" w:rsidP="00B725D7">
      <w:pPr>
        <w:pStyle w:val="SingleTxtG"/>
      </w:pPr>
      <w:r w:rsidRPr="005173BD">
        <w:t>c)</w:t>
      </w:r>
      <w:r w:rsidRPr="005173BD">
        <w:tab/>
      </w:r>
      <w:r>
        <w:t>Les contributions finales de chaque candidat doivent être enregistrées. La détermination des résultats doit être transparente.».</w:t>
      </w:r>
    </w:p>
    <w:p w:rsidR="00B725D7" w:rsidRPr="00AC6A2C" w:rsidRDefault="00B725D7" w:rsidP="00B725D7">
      <w:pPr>
        <w:pStyle w:val="SingleTxtG"/>
        <w:rPr>
          <w:i/>
          <w:lang w:val="fr-FR"/>
        </w:rPr>
      </w:pPr>
      <w:r w:rsidRPr="00AC6A2C">
        <w:rPr>
          <w:i/>
          <w:lang w:val="fr-FR"/>
        </w:rPr>
        <w:t xml:space="preserve"> (Documents de référence: ECE/TRANS/WP.15/AC.1/2015/26/Rev.1 tel que modifié)</w:t>
      </w:r>
    </w:p>
    <w:p w:rsidR="0005304D" w:rsidRDefault="0005304D" w:rsidP="00B725D7">
      <w:pPr>
        <w:pStyle w:val="SingleTxtG"/>
      </w:pPr>
      <w:r>
        <w:t>1.8.3.18</w:t>
      </w:r>
      <w:r w:rsidR="00C01657">
        <w:t xml:space="preserve"> (ADR/ADN)</w:t>
      </w:r>
      <w:r>
        <w:tab/>
        <w:t>Supprimer les deux dernières lignes du modèle de certificat.</w:t>
      </w:r>
    </w:p>
    <w:p w:rsidR="0005304D" w:rsidRDefault="0005304D" w:rsidP="0005304D">
      <w:pPr>
        <w:pStyle w:val="SingleTxtG"/>
      </w:pPr>
      <w:r>
        <w:t>1.8.3.18</w:t>
      </w:r>
      <w:r w:rsidR="00C01657">
        <w:t xml:space="preserve"> (RID)</w:t>
      </w:r>
      <w:r>
        <w:tab/>
        <w:t>Supprimer les quatre dernières lignes du modèle de certificat.</w:t>
      </w:r>
    </w:p>
    <w:p w:rsidR="0005304D" w:rsidRDefault="0005304D" w:rsidP="0005304D">
      <w:pPr>
        <w:pStyle w:val="SingleTxtG"/>
        <w:rPr>
          <w:i/>
        </w:rPr>
      </w:pPr>
      <w:r>
        <w:rPr>
          <w:i/>
        </w:rPr>
        <w:t>(Document de référence: ECE/TRANS/WP.15/2015/46</w:t>
      </w:r>
      <w:r w:rsidRPr="00943859">
        <w:rPr>
          <w:i/>
        </w:rPr>
        <w:t xml:space="preserve"> </w:t>
      </w:r>
      <w:r>
        <w:rPr>
          <w:i/>
        </w:rPr>
        <w:t>tel que modifié)</w:t>
      </w:r>
    </w:p>
    <w:p w:rsidR="0005304D" w:rsidRDefault="0005304D" w:rsidP="0005304D">
      <w:pPr>
        <w:pStyle w:val="SingleTxtG"/>
        <w:tabs>
          <w:tab w:val="left" w:pos="1985"/>
        </w:tabs>
        <w:rPr>
          <w:lang w:val="fr-FR"/>
        </w:rPr>
      </w:pPr>
      <w:r>
        <w:rPr>
          <w:lang w:val="fr-FR"/>
        </w:rPr>
        <w:t>1.8.8.4.1 e)</w:t>
      </w:r>
      <w:r>
        <w:rPr>
          <w:lang w:val="fr-FR"/>
        </w:rPr>
        <w:tab/>
        <w:t>Modifier pour lire comme suit:</w:t>
      </w:r>
    </w:p>
    <w:p w:rsidR="0005304D" w:rsidRPr="00A636E9" w:rsidRDefault="0005304D" w:rsidP="0005304D">
      <w:pPr>
        <w:pStyle w:val="SingleTxtG"/>
        <w:tabs>
          <w:tab w:val="left" w:pos="1985"/>
        </w:tabs>
        <w:rPr>
          <w:rFonts w:ascii="TimesNewRomanPSMT" w:hAnsi="TimesNewRomanPSMT" w:cs="TimesNewRomanPSMT"/>
          <w:lang w:val="fr-FR" w:eastAsia="fr-FR"/>
        </w:rPr>
      </w:pPr>
      <w:r>
        <w:rPr>
          <w:lang w:val="fr-FR"/>
        </w:rPr>
        <w:t>«e)</w:t>
      </w:r>
      <w:r>
        <w:rPr>
          <w:lang w:val="fr-FR"/>
        </w:rPr>
        <w:tab/>
      </w:r>
      <w:r>
        <w:rPr>
          <w:rFonts w:ascii="TimesNewRomanPSMT" w:hAnsi="TimesNewRomanPSMT" w:cs="TimesNewRomanPSMT"/>
          <w:lang w:val="fr-FR" w:eastAsia="fr-FR"/>
        </w:rPr>
        <w:t>apposer une marque durable et bien lisible sur la cartouche à gaz indiquant le type de celle-ci, le nom du demandeur et la date de fabrication ou le numéro de lot; si, faute de place, la marque complète ne peut pas être apposée sur le corps de la cartouche à gaz, une étiquette durable portant cette information doit être apposée sur la cartouche à gaz ou placée avec la cartouche à gaz dans un emballage intérieur.».</w:t>
      </w:r>
    </w:p>
    <w:p w:rsidR="0005304D" w:rsidRPr="007A5D50" w:rsidRDefault="0005304D" w:rsidP="0005304D">
      <w:pPr>
        <w:pStyle w:val="SingleTxtG"/>
        <w:tabs>
          <w:tab w:val="left" w:pos="1985"/>
        </w:tabs>
        <w:rPr>
          <w:i/>
          <w:lang w:val="fr-FR"/>
        </w:rPr>
      </w:pPr>
      <w:r w:rsidRPr="007A5D50">
        <w:rPr>
          <w:i/>
          <w:lang w:val="fr-FR"/>
        </w:rPr>
        <w:t>(Documents de référence: ECE/TRANS/WP.15/AC.1/2015/29 et document informel INF.8)</w:t>
      </w:r>
    </w:p>
    <w:p w:rsidR="0005304D" w:rsidRPr="009769EA" w:rsidRDefault="0005304D" w:rsidP="0005304D">
      <w:pPr>
        <w:pStyle w:val="SingleTxtG"/>
      </w:pPr>
      <w:r w:rsidRPr="009769EA">
        <w:t>1.8.8.4.3 d)</w:t>
      </w:r>
      <w:r w:rsidRPr="009769EA">
        <w:tab/>
        <w:t xml:space="preserve">Modifier pour lire comme suit: </w:t>
      </w:r>
    </w:p>
    <w:p w:rsidR="0005304D" w:rsidRPr="009769EA" w:rsidRDefault="0005304D" w:rsidP="0005304D">
      <w:pPr>
        <w:pStyle w:val="SingleTxtG"/>
      </w:pPr>
      <w:r w:rsidRPr="009769EA">
        <w:t>«d)</w:t>
      </w:r>
      <w:r w:rsidRPr="009769EA">
        <w:tab/>
      </w:r>
      <w:r w:rsidRPr="009769EA">
        <w:rPr>
          <w:rFonts w:ascii="TimesNewRomanPSMT" w:hAnsi="TimesNewRomanPSMT" w:cs="TimesNewRomanPSMT"/>
          <w:lang w:val="fr-FR" w:eastAsia="fr-FR"/>
        </w:rPr>
        <w:t>les données à inclure pour le marquage prescrit au 1.8.8.4.1 e).</w:t>
      </w:r>
      <w:r w:rsidRPr="009769EA">
        <w:t>». </w:t>
      </w:r>
    </w:p>
    <w:p w:rsidR="0005304D" w:rsidRPr="007A5D50" w:rsidRDefault="0005304D" w:rsidP="0005304D">
      <w:pPr>
        <w:pStyle w:val="SingleTxtG"/>
        <w:tabs>
          <w:tab w:val="left" w:pos="1985"/>
        </w:tabs>
        <w:rPr>
          <w:i/>
          <w:lang w:val="fr-FR"/>
        </w:rPr>
      </w:pPr>
      <w:r w:rsidRPr="007A5D50">
        <w:rPr>
          <w:i/>
          <w:lang w:val="fr-FR"/>
        </w:rPr>
        <w:t>(Documents de référence: ECE/TRANS/WP.15/AC.1/2015/29 et document informel INF.8)</w:t>
      </w:r>
    </w:p>
    <w:p w:rsidR="00C3243D" w:rsidRDefault="00C3243D" w:rsidP="00C3243D">
      <w:pPr>
        <w:pStyle w:val="H1G"/>
      </w:pPr>
      <w:r>
        <w:tab/>
      </w:r>
      <w:r>
        <w:tab/>
        <w:t>Chapitre 2.2</w:t>
      </w:r>
    </w:p>
    <w:p w:rsidR="00F709EB" w:rsidRDefault="00F709EB" w:rsidP="00F709EB">
      <w:pPr>
        <w:pStyle w:val="SingleTxtG"/>
        <w:rPr>
          <w:lang w:val="fr-FR"/>
        </w:rPr>
      </w:pPr>
      <w:r w:rsidRPr="0038215F">
        <w:rPr>
          <w:iCs/>
        </w:rPr>
        <w:t>2.2.9.1.2, 2.2.9.1.5</w:t>
      </w:r>
      <w:r w:rsidRPr="0038215F">
        <w:rPr>
          <w:iCs/>
        </w:rPr>
        <w:tab/>
      </w:r>
      <w:r>
        <w:rPr>
          <w:iCs/>
        </w:rPr>
        <w:t>D</w:t>
      </w:r>
      <w:r w:rsidRPr="00884179">
        <w:rPr>
          <w:lang w:val="fr-FR"/>
        </w:rPr>
        <w:t>ans le texte anglais, remplacer «</w:t>
      </w:r>
      <w:r w:rsidRPr="00B37E5E">
        <w:rPr>
          <w:bCs/>
          <w:iCs/>
          <w:lang w:val="fr-FR"/>
        </w:rPr>
        <w:t>apparatus</w:t>
      </w:r>
      <w:r w:rsidRPr="00884179">
        <w:rPr>
          <w:lang w:val="fr-FR"/>
        </w:rPr>
        <w:t>» par «</w:t>
      </w:r>
      <w:r w:rsidRPr="00B37E5E">
        <w:rPr>
          <w:bCs/>
          <w:iCs/>
          <w:lang w:val="fr-FR"/>
        </w:rPr>
        <w:t>articles</w:t>
      </w:r>
      <w:r w:rsidRPr="00884179">
        <w:rPr>
          <w:lang w:val="fr-FR"/>
        </w:rPr>
        <w:t>».</w:t>
      </w:r>
    </w:p>
    <w:p w:rsidR="00C3243D" w:rsidRPr="006D7F2E" w:rsidRDefault="00C3243D" w:rsidP="002D091E">
      <w:pPr>
        <w:pStyle w:val="SingleTxtG"/>
      </w:pPr>
      <w:r w:rsidRPr="006D7F2E">
        <w:t>2.2.9.1.7</w:t>
      </w:r>
      <w:r>
        <w:tab/>
        <w:t>Supprimer le dernier NOTA.</w:t>
      </w:r>
    </w:p>
    <w:p w:rsidR="00C3243D" w:rsidRDefault="00C3243D" w:rsidP="00C3243D">
      <w:pPr>
        <w:pStyle w:val="SingleTxtG"/>
        <w:rPr>
          <w:i/>
        </w:rPr>
      </w:pPr>
      <w:r w:rsidRPr="00301384">
        <w:rPr>
          <w:i/>
        </w:rPr>
        <w:t xml:space="preserve">(Document de référence: document informel INF.39, proposition </w:t>
      </w:r>
      <w:r>
        <w:rPr>
          <w:i/>
        </w:rPr>
        <w:t>6</w:t>
      </w:r>
      <w:r w:rsidRPr="00301384">
        <w:rPr>
          <w:i/>
        </w:rPr>
        <w:t>)</w:t>
      </w:r>
    </w:p>
    <w:p w:rsidR="00C3243D" w:rsidRPr="002B2E12" w:rsidRDefault="00C3243D" w:rsidP="00C3243D">
      <w:pPr>
        <w:pStyle w:val="SingleTxtG"/>
      </w:pPr>
      <w:r w:rsidRPr="002B2E12">
        <w:lastRenderedPageBreak/>
        <w:t>2.2.9.3</w:t>
      </w:r>
      <w:r w:rsidRPr="002B2E12">
        <w:tab/>
      </w:r>
      <w:r w:rsidRPr="002B2E12">
        <w:tab/>
        <w:t xml:space="preserve">Pour M11, </w:t>
      </w:r>
      <w:r>
        <w:t>insérer</w:t>
      </w:r>
      <w:r w:rsidRPr="002B2E12">
        <w:t xml:space="preserve"> les nouvelles rubriques suivantes:</w:t>
      </w:r>
    </w:p>
    <w:p w:rsidR="00C3243D" w:rsidRPr="002B2E12" w:rsidRDefault="00C3243D" w:rsidP="00C3243D">
      <w:pPr>
        <w:pStyle w:val="SingleTxtG"/>
      </w:pPr>
      <w:r w:rsidRPr="002B2E12">
        <w:t>«</w:t>
      </w:r>
      <w:r>
        <w:t xml:space="preserve">3166 </w:t>
      </w:r>
      <w:r w:rsidRPr="002B2E12">
        <w:t xml:space="preserve">VÉHICULE À PROPULSION PAR GAZ INFLAMMABLE ou </w:t>
      </w:r>
      <w:r>
        <w:t xml:space="preserve">3166 </w:t>
      </w:r>
      <w:r w:rsidRPr="002B2E12">
        <w:t xml:space="preserve">VÉHICULE À PROPULSION PAR LIQUIDE INFLAMMABLE ou </w:t>
      </w:r>
      <w:r>
        <w:t xml:space="preserve">3166 </w:t>
      </w:r>
      <w:r w:rsidRPr="002B2E12">
        <w:t xml:space="preserve">VÉHICULE À PROPULSION PAR PILE À COMBUSTIBLE CONTENANT DU GAZ INFLAMMABLE ou </w:t>
      </w:r>
      <w:r>
        <w:t xml:space="preserve">3166 </w:t>
      </w:r>
      <w:r w:rsidRPr="002B2E12">
        <w:t>VÉHICULE À PROPULSION PAR PILE À COMBUSTIBLE CONTENANT DU LIQUIDE INFLAMMABLE»</w:t>
      </w:r>
    </w:p>
    <w:p w:rsidR="00C3243D" w:rsidRPr="002B2E12" w:rsidRDefault="00C3243D" w:rsidP="002D091E">
      <w:pPr>
        <w:pStyle w:val="SingleTxtG"/>
      </w:pPr>
      <w:r w:rsidRPr="002B2E12">
        <w:t>«</w:t>
      </w:r>
      <w:r>
        <w:t xml:space="preserve">3171 </w:t>
      </w:r>
      <w:r w:rsidRPr="002B2E12">
        <w:t xml:space="preserve">APPAREIL MÛ PAR ACCUMULATEURS </w:t>
      </w:r>
      <w:r>
        <w:t>ou</w:t>
      </w:r>
      <w:r w:rsidRPr="002B2E12">
        <w:t xml:space="preserve"> </w:t>
      </w:r>
      <w:r>
        <w:t xml:space="preserve">3171 </w:t>
      </w:r>
      <w:r w:rsidRPr="002B2E12">
        <w:t>VÉHICULE MÛ PAR ACCUMULATEURS»</w:t>
      </w:r>
    </w:p>
    <w:p w:rsidR="00C3243D" w:rsidRPr="00301384" w:rsidRDefault="00C3243D" w:rsidP="00C3243D">
      <w:pPr>
        <w:pStyle w:val="SingleTxtG"/>
        <w:rPr>
          <w:i/>
        </w:rPr>
      </w:pPr>
      <w:r w:rsidRPr="002B2E12">
        <w:rPr>
          <w:i/>
        </w:rPr>
        <w:t>(Document de référence: document informel INF.39, proposition 1, amendement de conséquence)</w:t>
      </w:r>
    </w:p>
    <w:p w:rsidR="00C3243D" w:rsidRDefault="00C3243D" w:rsidP="00C3243D">
      <w:pPr>
        <w:pStyle w:val="H1G"/>
      </w:pPr>
      <w:r>
        <w:tab/>
      </w:r>
      <w:r>
        <w:tab/>
        <w:t>Chapitre 3.2</w:t>
      </w:r>
    </w:p>
    <w:p w:rsidR="00C3243D" w:rsidRDefault="00C3243D" w:rsidP="002D091E">
      <w:pPr>
        <w:pStyle w:val="SingleTxtG"/>
        <w:tabs>
          <w:tab w:val="left" w:pos="1985"/>
        </w:tabs>
      </w:pPr>
      <w:r w:rsidRPr="004F05CD">
        <w:t>3.2.1</w:t>
      </w:r>
      <w:r w:rsidRPr="004F05CD">
        <w:tab/>
        <w:t>Dans la description de la colonne (17), modifier la troisième phrase après le titre pour lire comme suit: «Si aucune disposition spéciale identifiée pas le code "VC" ou une référence à un paragraphe spécifique, autorisant explicitement ce mode de transport, n’est indiquée dans cette colonne, et si aucune disposition spéciale identifiée pas le code "BK" ou une référence à un paragraphe spécifique, autorisant explicitement ce mode de transport, n’est indiquée dans la colonne (10), le transport en vrac n’est pas permis.».</w:t>
      </w:r>
    </w:p>
    <w:p w:rsidR="00C3243D" w:rsidRPr="00301384" w:rsidRDefault="00C3243D" w:rsidP="00C3243D">
      <w:pPr>
        <w:pStyle w:val="SingleTxtG"/>
        <w:rPr>
          <w:i/>
        </w:rPr>
      </w:pPr>
      <w:r w:rsidRPr="00301384">
        <w:rPr>
          <w:i/>
        </w:rPr>
        <w:t>(Document de référence: document informel INF.</w:t>
      </w:r>
      <w:r>
        <w:rPr>
          <w:i/>
        </w:rPr>
        <w:t>40</w:t>
      </w:r>
      <w:r w:rsidRPr="00301384">
        <w:rPr>
          <w:i/>
        </w:rPr>
        <w:t>)</w:t>
      </w:r>
    </w:p>
    <w:p w:rsidR="002D091E" w:rsidRDefault="0005304D" w:rsidP="0005304D">
      <w:pPr>
        <w:pStyle w:val="SingleTxtG"/>
        <w:tabs>
          <w:tab w:val="left" w:pos="1985"/>
        </w:tabs>
        <w:rPr>
          <w:lang w:val="fr-FR"/>
        </w:rPr>
      </w:pPr>
      <w:r>
        <w:rPr>
          <w:lang w:val="fr-FR"/>
        </w:rPr>
        <w:t>3.2.1</w:t>
      </w:r>
      <w:r>
        <w:rPr>
          <w:lang w:val="fr-FR"/>
        </w:rPr>
        <w:tab/>
        <w:t>D</w:t>
      </w:r>
      <w:r w:rsidRPr="00D332CC">
        <w:rPr>
          <w:lang w:val="fr-FR"/>
        </w:rPr>
        <w:t>ans la description de la colonne (20), remplacer «de la signalisation ora</w:t>
      </w:r>
      <w:r>
        <w:rPr>
          <w:lang w:val="fr-FR"/>
        </w:rPr>
        <w:t>nge» par «des panneaux orange».</w:t>
      </w:r>
    </w:p>
    <w:p w:rsidR="0005304D" w:rsidRPr="007A5D50" w:rsidRDefault="0005304D" w:rsidP="0005304D">
      <w:pPr>
        <w:pStyle w:val="SingleTxtG"/>
        <w:tabs>
          <w:tab w:val="left" w:pos="1985"/>
        </w:tabs>
        <w:rPr>
          <w:i/>
          <w:lang w:val="fr-FR"/>
        </w:rPr>
      </w:pPr>
      <w:r w:rsidRPr="007A5D50">
        <w:rPr>
          <w:i/>
          <w:lang w:val="fr-FR"/>
        </w:rPr>
        <w:t>(Documents de référence: ECE/TRANS/WP.15/AC.1/2015/29 et document informel INF.8)</w:t>
      </w:r>
    </w:p>
    <w:p w:rsidR="00D44543" w:rsidRDefault="00D44543" w:rsidP="00D44543">
      <w:pPr>
        <w:pStyle w:val="H1G"/>
      </w:pPr>
      <w:r>
        <w:tab/>
      </w:r>
      <w:r>
        <w:tab/>
        <w:t>Chapitre 3.2, tableau A</w:t>
      </w:r>
    </w:p>
    <w:p w:rsidR="00A60918" w:rsidRDefault="00A60918" w:rsidP="00A60918">
      <w:pPr>
        <w:pStyle w:val="SingleTxtG"/>
        <w:tabs>
          <w:tab w:val="left" w:pos="1985"/>
        </w:tabs>
        <w:rPr>
          <w:lang w:val="fr-FR"/>
        </w:rPr>
      </w:pPr>
      <w:r w:rsidRPr="00A60918">
        <w:rPr>
          <w:lang w:val="fr-FR"/>
        </w:rPr>
        <w:t>Dans</w:t>
      </w:r>
      <w:r>
        <w:rPr>
          <w:lang w:val="fr-FR"/>
        </w:rPr>
        <w:t xml:space="preserve"> la colonne (11), supprimer «TP35</w:t>
      </w:r>
      <w:r w:rsidRPr="00A60918">
        <w:rPr>
          <w:lang w:val="fr-FR"/>
        </w:rPr>
        <w:t>» chaque fois que cette mention apparaît.</w:t>
      </w:r>
      <w:r>
        <w:rPr>
          <w:lang w:val="fr-FR"/>
        </w:rPr>
        <w:t xml:space="preserve"> </w:t>
      </w:r>
      <w:r w:rsidRPr="00A60918">
        <w:rPr>
          <w:lang w:val="fr-FR"/>
        </w:rPr>
        <w:t xml:space="preserve">Les numéros suivants sont affectés: </w:t>
      </w:r>
      <w:r>
        <w:rPr>
          <w:lang w:val="fr-FR"/>
        </w:rPr>
        <w:t xml:space="preserve">Nos </w:t>
      </w:r>
      <w:r w:rsidRPr="00A60918">
        <w:rPr>
          <w:lang w:val="fr-FR"/>
        </w:rPr>
        <w:t>ONU 1092, 1098, 1143, 1163, 1238, 1239, 1244, 1595, 1695, 1752, 1809, 2334, 2337, 2646 et 3023.</w:t>
      </w:r>
    </w:p>
    <w:p w:rsidR="00941A27" w:rsidRPr="00301384" w:rsidRDefault="00941A27" w:rsidP="00941A27">
      <w:pPr>
        <w:pStyle w:val="SingleTxtG"/>
        <w:rPr>
          <w:i/>
        </w:rPr>
      </w:pPr>
      <w:r w:rsidRPr="00301384">
        <w:rPr>
          <w:i/>
        </w:rPr>
        <w:t xml:space="preserve">(Document de référence: </w:t>
      </w:r>
      <w:r>
        <w:rPr>
          <w:i/>
        </w:rPr>
        <w:t>ECE/TRANS/WP.15/AC.1/2015/30</w:t>
      </w:r>
      <w:r w:rsidRPr="00301384">
        <w:rPr>
          <w:i/>
        </w:rPr>
        <w:t>)</w:t>
      </w:r>
    </w:p>
    <w:p w:rsidR="00D44543" w:rsidRPr="00D44543" w:rsidRDefault="00D44543" w:rsidP="00D44543">
      <w:pPr>
        <w:pStyle w:val="SingleTxtG"/>
        <w:tabs>
          <w:tab w:val="left" w:pos="1985"/>
        </w:tabs>
        <w:rPr>
          <w:lang w:val="fr-FR"/>
        </w:rPr>
      </w:pPr>
      <w:r w:rsidRPr="00D44543">
        <w:rPr>
          <w:lang w:val="fr-FR"/>
        </w:rPr>
        <w:t>Da</w:t>
      </w:r>
      <w:r w:rsidR="00A60918">
        <w:rPr>
          <w:lang w:val="fr-FR"/>
        </w:rPr>
        <w:t>ns la colonne (11), supprimer «TP37</w:t>
      </w:r>
      <w:r w:rsidRPr="00D44543">
        <w:rPr>
          <w:lang w:val="fr-FR"/>
        </w:rPr>
        <w:t>» chaque fois que cette mention apparaît.</w:t>
      </w:r>
      <w:r>
        <w:rPr>
          <w:lang w:val="fr-FR"/>
        </w:rPr>
        <w:t xml:space="preserve"> </w:t>
      </w:r>
      <w:r w:rsidRPr="00D44543">
        <w:rPr>
          <w:lang w:val="fr-FR"/>
        </w:rPr>
        <w:t xml:space="preserve">Les numéros suivants sont affectés : </w:t>
      </w:r>
      <w:r w:rsidR="0006786D">
        <w:rPr>
          <w:lang w:val="fr-FR"/>
        </w:rPr>
        <w:t xml:space="preserve">Nos </w:t>
      </w:r>
      <w:r w:rsidRPr="00D44543">
        <w:rPr>
          <w:lang w:val="fr-FR"/>
        </w:rPr>
        <w:t>ONU 1135, 1182, 1251, 1541, 1580, 1605, 1670, 1810, 1838, 1892, 2232, 2382, 2474, 2477, 2481, 2482, 2483, 2484, 2485, 2486, 2487, 2488, 2521, 2605, 2606, 2644, 2668, 3079 et 3246.</w:t>
      </w:r>
    </w:p>
    <w:p w:rsidR="00D44543" w:rsidRPr="00301384" w:rsidRDefault="00D44543" w:rsidP="00D44543">
      <w:pPr>
        <w:pStyle w:val="SingleTxtG"/>
        <w:rPr>
          <w:i/>
        </w:rPr>
      </w:pPr>
      <w:r w:rsidRPr="00301384">
        <w:rPr>
          <w:i/>
        </w:rPr>
        <w:t xml:space="preserve">(Document de référence: </w:t>
      </w:r>
      <w:r>
        <w:rPr>
          <w:i/>
        </w:rPr>
        <w:t>ECE/TRANS/WP.15/AC.1/2015/30</w:t>
      </w:r>
      <w:r w:rsidRPr="00301384">
        <w:rPr>
          <w:i/>
        </w:rPr>
        <w:t>)</w:t>
      </w:r>
    </w:p>
    <w:p w:rsidR="00B0230D" w:rsidRDefault="00B0230D" w:rsidP="00253123">
      <w:pPr>
        <w:pStyle w:val="SingleTxtG"/>
        <w:tabs>
          <w:tab w:val="left" w:pos="1985"/>
        </w:tabs>
      </w:pPr>
      <w:r>
        <w:t>Pour les Nos ONU 2212 et 3314, ajouter «CW/CV36» en colonne (18).</w:t>
      </w:r>
    </w:p>
    <w:p w:rsidR="00B0230D" w:rsidRPr="00D972B4" w:rsidRDefault="00B0230D" w:rsidP="00B0230D">
      <w:pPr>
        <w:pStyle w:val="SingleTxtG"/>
        <w:rPr>
          <w:i/>
        </w:rPr>
      </w:pPr>
      <w:r w:rsidRPr="00D972B4">
        <w:rPr>
          <w:i/>
        </w:rPr>
        <w:t>(Document de référence: ECE/TRANS/WP.15/AC.1/2015/</w:t>
      </w:r>
      <w:r>
        <w:rPr>
          <w:i/>
        </w:rPr>
        <w:t>52, tel que modifié</w:t>
      </w:r>
      <w:r w:rsidRPr="00D972B4">
        <w:rPr>
          <w:i/>
        </w:rPr>
        <w:t>)</w:t>
      </w:r>
    </w:p>
    <w:p w:rsidR="00C3243D" w:rsidRDefault="00C3243D" w:rsidP="00253123">
      <w:pPr>
        <w:pStyle w:val="SingleTxtG"/>
        <w:tabs>
          <w:tab w:val="left" w:pos="1985"/>
        </w:tabs>
      </w:pPr>
      <w:r>
        <w:t>Modifier les lignes pour les Nos ONU 3166 et 3171 pour lire comme suit:</w:t>
      </w:r>
    </w:p>
    <w:p w:rsidR="00C3243D" w:rsidRPr="00301384" w:rsidRDefault="00C3243D" w:rsidP="00C3243D">
      <w:pPr>
        <w:pStyle w:val="SingleTxtG"/>
        <w:rPr>
          <w:i/>
        </w:rPr>
      </w:pPr>
      <w:r w:rsidRPr="00301384">
        <w:rPr>
          <w:i/>
        </w:rPr>
        <w:t>(Document de référence: document informel INF.39, proposition 1)</w:t>
      </w:r>
    </w:p>
    <w:tbl>
      <w:tblPr>
        <w:tblW w:w="7371" w:type="dxa"/>
        <w:tblInd w:w="1152" w:type="dxa"/>
        <w:tblCellMar>
          <w:top w:w="28" w:type="dxa"/>
          <w:left w:w="18" w:type="dxa"/>
          <w:bottom w:w="28" w:type="dxa"/>
          <w:right w:w="28" w:type="dxa"/>
        </w:tblCellMar>
        <w:tblLook w:val="0000" w:firstRow="0" w:lastRow="0" w:firstColumn="0" w:lastColumn="0" w:noHBand="0" w:noVBand="0"/>
      </w:tblPr>
      <w:tblGrid>
        <w:gridCol w:w="479"/>
        <w:gridCol w:w="4884"/>
        <w:gridCol w:w="304"/>
        <w:gridCol w:w="462"/>
        <w:gridCol w:w="233"/>
        <w:gridCol w:w="233"/>
        <w:gridCol w:w="399"/>
        <w:gridCol w:w="377"/>
      </w:tblGrid>
      <w:tr w:rsidR="00253123" w:rsidRPr="00281031" w:rsidTr="00253123">
        <w:trPr>
          <w:cantSplit/>
          <w:tblHeader/>
        </w:trPr>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(1)</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(2)</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(3a)</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(3b)</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(4)</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(5)</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jc w:val="center"/>
              <w:rPr>
                <w:bCs/>
                <w:sz w:val="16"/>
                <w:szCs w:val="16"/>
              </w:rPr>
            </w:pPr>
            <w:r w:rsidRPr="00281031">
              <w:rPr>
                <w:bCs/>
                <w:sz w:val="16"/>
                <w:szCs w:val="16"/>
              </w:rPr>
              <w:t>(6)</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253123" w:rsidRPr="00281031" w:rsidRDefault="00253123" w:rsidP="00253123">
            <w:pPr>
              <w:spacing w:line="240" w:lineRule="auto"/>
              <w:jc w:val="center"/>
              <w:rPr>
                <w:bCs/>
                <w:sz w:val="16"/>
                <w:szCs w:val="16"/>
              </w:rPr>
            </w:pPr>
            <w:r w:rsidRPr="00281031">
              <w:rPr>
                <w:bCs/>
                <w:sz w:val="16"/>
                <w:szCs w:val="16"/>
              </w:rPr>
              <w:t>(</w:t>
            </w:r>
            <w:r>
              <w:rPr>
                <w:bCs/>
                <w:sz w:val="16"/>
                <w:szCs w:val="16"/>
              </w:rPr>
              <w:t>7a</w:t>
            </w:r>
            <w:r w:rsidRPr="00281031">
              <w:rPr>
                <w:bCs/>
                <w:sz w:val="16"/>
                <w:szCs w:val="16"/>
              </w:rPr>
              <w:t>)</w:t>
            </w:r>
            <w:r>
              <w:rPr>
                <w:bCs/>
                <w:sz w:val="16"/>
                <w:szCs w:val="16"/>
              </w:rPr>
              <w:t xml:space="preserve"> – (20)</w:t>
            </w:r>
          </w:p>
        </w:tc>
      </w:tr>
      <w:tr w:rsidR="00253123" w:rsidRPr="00281031" w:rsidTr="00253123">
        <w:trPr>
          <w:cantSplit/>
        </w:trPr>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rPr>
                <w:sz w:val="16"/>
                <w:szCs w:val="16"/>
              </w:rPr>
            </w:pPr>
            <w:r w:rsidRPr="00281031">
              <w:rPr>
                <w:sz w:val="16"/>
                <w:szCs w:val="16"/>
              </w:rPr>
              <w:lastRenderedPageBreak/>
              <w:t>3166</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pStyle w:val="SingleTxtG"/>
              <w:spacing w:after="0" w:line="240" w:lineRule="auto"/>
              <w:ind w:left="0" w:right="113"/>
              <w:rPr>
                <w:sz w:val="16"/>
                <w:szCs w:val="16"/>
              </w:rPr>
            </w:pPr>
            <w:r w:rsidRPr="002770B7">
              <w:rPr>
                <w:sz w:val="16"/>
                <w:szCs w:val="16"/>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r w:rsidRPr="00281031">
              <w:rPr>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r w:rsidRPr="00281031">
              <w:rPr>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r w:rsidRPr="00281031">
              <w:rPr>
                <w:sz w:val="16"/>
                <w:szCs w:val="16"/>
              </w:rPr>
              <w:t>312</w:t>
            </w:r>
          </w:p>
          <w:p w:rsidR="00253123" w:rsidRPr="00281031" w:rsidRDefault="00253123" w:rsidP="00781E65">
            <w:pPr>
              <w:spacing w:line="240" w:lineRule="auto"/>
              <w:ind w:right="113"/>
              <w:jc w:val="center"/>
              <w:rPr>
                <w:sz w:val="16"/>
                <w:szCs w:val="16"/>
              </w:rPr>
            </w:pPr>
            <w:r w:rsidRPr="00281031">
              <w:rPr>
                <w:sz w:val="16"/>
                <w:szCs w:val="16"/>
              </w:rPr>
              <w:t>385</w:t>
            </w:r>
          </w:p>
          <w:p w:rsidR="00253123" w:rsidRPr="00281031" w:rsidRDefault="00253123" w:rsidP="00781E65">
            <w:pPr>
              <w:spacing w:line="240" w:lineRule="auto"/>
              <w:ind w:right="113"/>
              <w:jc w:val="center"/>
              <w:rPr>
                <w:sz w:val="16"/>
                <w:szCs w:val="16"/>
              </w:rPr>
            </w:pPr>
            <w:r>
              <w:rPr>
                <w:sz w:val="16"/>
                <w:szCs w:val="16"/>
              </w:rPr>
              <w:t>666</w:t>
            </w:r>
          </w:p>
          <w:p w:rsidR="00253123" w:rsidRPr="00281031" w:rsidRDefault="00253123" w:rsidP="00781E65">
            <w:pPr>
              <w:spacing w:line="240" w:lineRule="auto"/>
              <w:ind w:right="113"/>
              <w:jc w:val="center"/>
              <w:rPr>
                <w:sz w:val="16"/>
                <w:szCs w:val="16"/>
              </w:rPr>
            </w:pPr>
            <w:r>
              <w:rPr>
                <w:sz w:val="16"/>
                <w:szCs w:val="16"/>
              </w:rPr>
              <w:t>667</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253123" w:rsidRPr="00281031" w:rsidRDefault="00253123" w:rsidP="00781E65">
            <w:pPr>
              <w:spacing w:line="240" w:lineRule="auto"/>
              <w:jc w:val="center"/>
              <w:rPr>
                <w:sz w:val="16"/>
                <w:szCs w:val="16"/>
                <w:lang w:eastAsia="nb-NO"/>
              </w:rPr>
            </w:pPr>
          </w:p>
        </w:tc>
      </w:tr>
      <w:tr w:rsidR="00253123" w:rsidRPr="00281031" w:rsidTr="00253123">
        <w:trPr>
          <w:cantSplit/>
        </w:trPr>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rPr>
                <w:sz w:val="16"/>
                <w:szCs w:val="16"/>
              </w:rPr>
            </w:pPr>
            <w:r w:rsidRPr="00281031">
              <w:rPr>
                <w:sz w:val="16"/>
                <w:szCs w:val="16"/>
              </w:rPr>
              <w:t>3171</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rPr>
                <w:sz w:val="16"/>
                <w:szCs w:val="16"/>
              </w:rPr>
            </w:pPr>
            <w:r w:rsidRPr="002770B7">
              <w:rPr>
                <w:sz w:val="16"/>
                <w:szCs w:val="16"/>
              </w:rPr>
              <w:t xml:space="preserve">APPAREIL MÛ PAR ACCUMULATEURS </w:t>
            </w:r>
            <w:r>
              <w:rPr>
                <w:sz w:val="16"/>
                <w:szCs w:val="16"/>
              </w:rPr>
              <w:t>ou</w:t>
            </w:r>
            <w:r w:rsidRPr="002770B7">
              <w:rPr>
                <w:sz w:val="16"/>
                <w:szCs w:val="16"/>
              </w:rPr>
              <w:t xml:space="preserve"> VÉHICULE MÛ PAR ACCUMULATEURS</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r w:rsidRPr="00281031">
              <w:rPr>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r w:rsidRPr="00281031">
              <w:rPr>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253123" w:rsidRPr="00281031" w:rsidRDefault="00253123" w:rsidP="00781E65">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253123" w:rsidRDefault="00253123" w:rsidP="00781E65">
            <w:pPr>
              <w:spacing w:line="240" w:lineRule="auto"/>
              <w:ind w:right="113"/>
              <w:jc w:val="center"/>
              <w:rPr>
                <w:sz w:val="16"/>
                <w:szCs w:val="16"/>
              </w:rPr>
            </w:pPr>
            <w:r w:rsidRPr="00281031">
              <w:rPr>
                <w:sz w:val="16"/>
                <w:szCs w:val="16"/>
              </w:rPr>
              <w:t>240</w:t>
            </w:r>
          </w:p>
          <w:p w:rsidR="00253123" w:rsidRPr="00281031" w:rsidRDefault="00253123" w:rsidP="00781E65">
            <w:pPr>
              <w:spacing w:line="240" w:lineRule="auto"/>
              <w:ind w:right="113"/>
              <w:jc w:val="center"/>
              <w:rPr>
                <w:sz w:val="16"/>
                <w:szCs w:val="16"/>
              </w:rPr>
            </w:pPr>
            <w:r>
              <w:rPr>
                <w:sz w:val="16"/>
                <w:szCs w:val="16"/>
              </w:rPr>
              <w:t>666</w:t>
            </w:r>
          </w:p>
          <w:p w:rsidR="00253123" w:rsidRPr="00281031" w:rsidRDefault="00253123" w:rsidP="00781E65">
            <w:pPr>
              <w:spacing w:line="240" w:lineRule="auto"/>
              <w:ind w:right="113"/>
              <w:jc w:val="center"/>
              <w:rPr>
                <w:sz w:val="16"/>
                <w:szCs w:val="16"/>
              </w:rPr>
            </w:pPr>
            <w:r>
              <w:rPr>
                <w:sz w:val="16"/>
                <w:szCs w:val="16"/>
              </w:rPr>
              <w:t>667</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rsidR="00253123" w:rsidRPr="00281031" w:rsidRDefault="00253123" w:rsidP="00781E65">
            <w:pPr>
              <w:spacing w:line="240" w:lineRule="auto"/>
              <w:jc w:val="center"/>
              <w:rPr>
                <w:sz w:val="16"/>
                <w:szCs w:val="16"/>
                <w:lang w:eastAsia="nb-NO"/>
              </w:rPr>
            </w:pPr>
          </w:p>
        </w:tc>
      </w:tr>
    </w:tbl>
    <w:p w:rsidR="008717DC" w:rsidRPr="00301384" w:rsidRDefault="008717DC" w:rsidP="008717DC">
      <w:pPr>
        <w:pStyle w:val="SingleTxtG"/>
        <w:rPr>
          <w:i/>
        </w:rPr>
      </w:pPr>
      <w:r w:rsidRPr="00301384">
        <w:rPr>
          <w:i/>
        </w:rPr>
        <w:t>(Document de référence: document informel INF.39, proposition 1)</w:t>
      </w:r>
    </w:p>
    <w:p w:rsidR="00102A02" w:rsidRDefault="00102A02" w:rsidP="00102A02">
      <w:pPr>
        <w:pStyle w:val="SingleTxtG"/>
        <w:spacing w:before="120"/>
        <w:rPr>
          <w:i/>
        </w:rPr>
      </w:pPr>
      <w:r>
        <w:t>Pour les Nos ONU 3257 et 3258</w:t>
      </w:r>
      <w:r>
        <w:tab/>
        <w:t>Ajouter «</w:t>
      </w:r>
      <w:r w:rsidR="00ED23F0">
        <w:t>668</w:t>
      </w:r>
      <w:r>
        <w:t>» en colonne (6).</w:t>
      </w:r>
    </w:p>
    <w:p w:rsidR="00102A02" w:rsidRDefault="00102A02" w:rsidP="00102A02">
      <w:pPr>
        <w:pStyle w:val="SingleTxtG"/>
        <w:rPr>
          <w:i/>
        </w:rPr>
      </w:pPr>
      <w:r>
        <w:rPr>
          <w:i/>
        </w:rPr>
        <w:t>(Document de référence: ECE/TRANS/WP.15/2015/53 tel que modifié)</w:t>
      </w:r>
    </w:p>
    <w:p w:rsidR="00C3243D" w:rsidRPr="002B2E12" w:rsidRDefault="00C3243D" w:rsidP="00C3243D">
      <w:pPr>
        <w:pStyle w:val="H1G"/>
      </w:pPr>
      <w:r>
        <w:tab/>
      </w:r>
      <w:r>
        <w:tab/>
      </w:r>
      <w:r w:rsidRPr="002B2E12">
        <w:t>Chapitre 3.2, 3.2.2, liste alphabétique</w:t>
      </w:r>
    </w:p>
    <w:p w:rsidR="00C3243D" w:rsidRPr="006F2FFF" w:rsidRDefault="00C3243D" w:rsidP="00C3243D">
      <w:pPr>
        <w:pStyle w:val="SingleTxtG"/>
      </w:pPr>
      <w:r w:rsidRPr="006F2FFF">
        <w:t>Supprimer les rubriques existantes pour: Appareil mû par accumulateurs, Moteur à combustion interne, Moteur pile à combustible contenant du gaz inflammable, Moteur pile à combustible contenant du liquide inflammable, Véhicule à propulsion par gaz inflammable, Véhicule à propulsion par liquide inflammable, Véhicule à propulsion par pile à combustible contenant du gaz inflammable, Véhicule à propulsion par pile à combustible contenant du liquide inflammable, Véhicule mû par accumulateurs</w:t>
      </w:r>
    </w:p>
    <w:p w:rsidR="00C3243D" w:rsidRPr="002B2E12" w:rsidRDefault="00C3243D" w:rsidP="00C3243D">
      <w:pPr>
        <w:pStyle w:val="SingleTxtG"/>
        <w:rPr>
          <w:i/>
        </w:rPr>
      </w:pPr>
      <w:r w:rsidRPr="002B2E12">
        <w:rPr>
          <w:i/>
        </w:rPr>
        <w:t>(Document de référence: document informel INF.39, proposition 1, amendement de conséquence)</w:t>
      </w:r>
    </w:p>
    <w:p w:rsidR="00C3243D" w:rsidRPr="002B2E12" w:rsidRDefault="00C3243D" w:rsidP="00C3243D">
      <w:pPr>
        <w:pStyle w:val="SingleTxtG"/>
      </w:pPr>
      <w:r w:rsidRPr="002B2E12">
        <w:t>Ajouter les nouvelles rubriques suivantes dans l’ordre alphabétique:</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3"/>
        <w:gridCol w:w="626"/>
        <w:gridCol w:w="526"/>
      </w:tblGrid>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VÉHICULE À PROPULSION PAR GAZ INFLAMMABLE</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3166</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VÉHICULE À PROPULSION PAR LIQUIDE INFLAMMABLE</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3166</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VÉHICULE À PROPULSION PAR PILE À COMBUSTIBLE CONTENANT DU GAZ INFLAMMABLE</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3166</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VÉHICULE À PROPULSION PAR PILE À COMBUSTIBLE CONTENANT DU LIQUIDE INFLAMMABLE</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3166</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APPAREIL MÛ PAR ACCUMULATEURS</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3171</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r w:rsidR="00C3243D" w:rsidRPr="002B2E12" w:rsidTr="001B509D">
        <w:tc>
          <w:tcPr>
            <w:tcW w:w="6663" w:type="dxa"/>
          </w:tcPr>
          <w:p w:rsidR="00C3243D" w:rsidRPr="001B509D" w:rsidRDefault="00C3243D" w:rsidP="001B509D">
            <w:pPr>
              <w:pStyle w:val="SingleTxtG"/>
              <w:ind w:left="0" w:right="142"/>
              <w:rPr>
                <w:sz w:val="18"/>
                <w:szCs w:val="18"/>
                <w:lang w:val="fr-FR"/>
              </w:rPr>
            </w:pPr>
            <w:r w:rsidRPr="001B509D">
              <w:rPr>
                <w:sz w:val="18"/>
                <w:szCs w:val="18"/>
                <w:lang w:val="fr-FR"/>
              </w:rPr>
              <w:t>VÉHICULE MÛ PAR ACCUMULATEURS</w:t>
            </w:r>
          </w:p>
        </w:tc>
        <w:tc>
          <w:tcPr>
            <w:tcW w:w="56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3171</w:t>
            </w:r>
          </w:p>
        </w:tc>
        <w:tc>
          <w:tcPr>
            <w:tcW w:w="477" w:type="dxa"/>
          </w:tcPr>
          <w:p w:rsidR="00C3243D" w:rsidRPr="001B509D" w:rsidRDefault="00C3243D" w:rsidP="001B509D">
            <w:pPr>
              <w:suppressAutoHyphens w:val="0"/>
              <w:autoSpaceDE w:val="0"/>
              <w:autoSpaceDN w:val="0"/>
              <w:adjustRightInd w:val="0"/>
              <w:spacing w:line="240" w:lineRule="auto"/>
              <w:jc w:val="center"/>
              <w:rPr>
                <w:sz w:val="18"/>
                <w:szCs w:val="18"/>
                <w:lang w:val="fr-FR" w:eastAsia="fr-FR"/>
              </w:rPr>
            </w:pPr>
            <w:r w:rsidRPr="001B509D">
              <w:rPr>
                <w:sz w:val="18"/>
                <w:szCs w:val="18"/>
                <w:lang w:val="fr-FR" w:eastAsia="fr-FR"/>
              </w:rPr>
              <w:t>9</w:t>
            </w:r>
          </w:p>
        </w:tc>
      </w:tr>
    </w:tbl>
    <w:p w:rsidR="00C3243D" w:rsidRDefault="00C3243D" w:rsidP="00C3243D">
      <w:pPr>
        <w:pStyle w:val="SingleTxtG"/>
        <w:rPr>
          <w:i/>
        </w:rPr>
      </w:pPr>
      <w:r w:rsidRPr="002B2E12">
        <w:rPr>
          <w:i/>
        </w:rPr>
        <w:t>(Document de référence: document informel INF.39, proposition 1, amendement de conséquence)</w:t>
      </w:r>
    </w:p>
    <w:p w:rsidR="003D468A" w:rsidRPr="00884179" w:rsidRDefault="003D468A" w:rsidP="003D468A">
      <w:pPr>
        <w:pStyle w:val="SingleTxtG"/>
        <w:rPr>
          <w:iCs/>
          <w:lang w:val="fr-FR"/>
        </w:rPr>
      </w:pPr>
      <w:r>
        <w:rPr>
          <w:iCs/>
          <w:lang w:val="fr-FR"/>
        </w:rPr>
        <w:t>Modifier la rubrique pour «</w:t>
      </w:r>
      <w:r w:rsidRPr="00E8402C">
        <w:rPr>
          <w:iCs/>
          <w:lang w:val="fr-FR"/>
        </w:rPr>
        <w:t>HEXAFLUORURE D’URANIUM, MATIÈRES RADIOACTIVES, moins de 0,1 kg par colis, non fissiles ou fissi</w:t>
      </w:r>
      <w:r>
        <w:rPr>
          <w:iCs/>
          <w:lang w:val="fr-FR"/>
        </w:rPr>
        <w:t>les exceptées, EN COLIS EXCEPTÉ» pour lire comme suit: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3"/>
        <w:gridCol w:w="630"/>
        <w:gridCol w:w="472"/>
      </w:tblGrid>
      <w:tr w:rsidR="003D468A" w:rsidRPr="00EC60E6" w:rsidTr="003D468A">
        <w:tc>
          <w:tcPr>
            <w:tcW w:w="6668" w:type="dxa"/>
            <w:shd w:val="clear" w:color="auto" w:fill="auto"/>
          </w:tcPr>
          <w:p w:rsidR="003D468A" w:rsidRPr="00EC60E6" w:rsidRDefault="003D468A" w:rsidP="00685BEB">
            <w:pPr>
              <w:pStyle w:val="SingleTxtG"/>
              <w:ind w:left="0" w:right="142"/>
              <w:rPr>
                <w:sz w:val="18"/>
                <w:szCs w:val="18"/>
                <w:lang w:val="fr-FR"/>
              </w:rPr>
            </w:pPr>
            <w:r w:rsidRPr="00E8402C">
              <w:rPr>
                <w:sz w:val="18"/>
                <w:szCs w:val="18"/>
                <w:lang w:val="fr-FR"/>
              </w:rPr>
              <w:t>HEXAFLUORURE D’URANIUM, MATIÈRES RADIOACTIVES, moins de 0,1 kg par colis, non fissiles ou fissiles exceptées, EN COLIS EXCEPTÉ</w:t>
            </w:r>
            <w:r w:rsidRPr="00E8402C">
              <w:rPr>
                <w:sz w:val="18"/>
                <w:szCs w:val="18"/>
                <w:lang w:val="fr-FR"/>
              </w:rPr>
              <w:tab/>
            </w:r>
          </w:p>
        </w:tc>
        <w:tc>
          <w:tcPr>
            <w:tcW w:w="567" w:type="dxa"/>
            <w:shd w:val="clear" w:color="auto" w:fill="auto"/>
          </w:tcPr>
          <w:p w:rsidR="003D468A" w:rsidRPr="00EC60E6" w:rsidRDefault="003D468A" w:rsidP="003D468A">
            <w:pPr>
              <w:pStyle w:val="SingleTxtG"/>
              <w:tabs>
                <w:tab w:val="left" w:pos="0"/>
              </w:tabs>
              <w:ind w:left="0" w:right="141"/>
              <w:rPr>
                <w:sz w:val="18"/>
                <w:szCs w:val="18"/>
                <w:lang w:val="fr-FR"/>
              </w:rPr>
            </w:pPr>
            <w:r>
              <w:rPr>
                <w:sz w:val="18"/>
                <w:szCs w:val="18"/>
                <w:lang w:val="fr-FR"/>
              </w:rPr>
              <w:t>3507</w:t>
            </w:r>
          </w:p>
        </w:tc>
        <w:tc>
          <w:tcPr>
            <w:tcW w:w="425" w:type="dxa"/>
          </w:tcPr>
          <w:p w:rsidR="003D468A" w:rsidRPr="00EC60E6" w:rsidRDefault="003D468A" w:rsidP="003D468A">
            <w:pPr>
              <w:pStyle w:val="SingleTxtG"/>
              <w:tabs>
                <w:tab w:val="left" w:pos="0"/>
              </w:tabs>
              <w:ind w:left="0" w:right="141"/>
              <w:rPr>
                <w:sz w:val="18"/>
                <w:szCs w:val="18"/>
                <w:lang w:val="fr-FR"/>
              </w:rPr>
            </w:pPr>
            <w:r>
              <w:rPr>
                <w:sz w:val="18"/>
                <w:szCs w:val="18"/>
                <w:lang w:val="fr-FR"/>
              </w:rPr>
              <w:t>6.1</w:t>
            </w:r>
          </w:p>
        </w:tc>
      </w:tr>
    </w:tbl>
    <w:p w:rsidR="004C73C2" w:rsidRPr="00D345C7" w:rsidRDefault="004C73C2" w:rsidP="004C73C2">
      <w:pPr>
        <w:pStyle w:val="H1G"/>
        <w:rPr>
          <w:lang w:val="fr-FR"/>
        </w:rPr>
      </w:pPr>
      <w:r w:rsidRPr="00D345C7">
        <w:rPr>
          <w:lang w:val="fr-FR"/>
        </w:rPr>
        <w:lastRenderedPageBreak/>
        <w:tab/>
      </w:r>
      <w:r w:rsidRPr="00D345C7">
        <w:rPr>
          <w:lang w:val="fr-FR"/>
        </w:rPr>
        <w:tab/>
        <w:t>Chapitre 3.3</w:t>
      </w:r>
    </w:p>
    <w:p w:rsidR="00445786" w:rsidRDefault="00445786" w:rsidP="00445786">
      <w:pPr>
        <w:pStyle w:val="SingleTxtG"/>
        <w:tabs>
          <w:tab w:val="left" w:pos="2268"/>
          <w:tab w:val="left" w:pos="2410"/>
        </w:tabs>
      </w:pPr>
      <w:r>
        <w:t xml:space="preserve">DS </w:t>
      </w:r>
      <w:r w:rsidRPr="002634A5">
        <w:t>172 b)</w:t>
      </w:r>
      <w:r w:rsidRPr="002634A5">
        <w:tab/>
      </w:r>
      <w:r w:rsidRPr="00D81C15">
        <w:t>Remplacer «</w:t>
      </w:r>
      <w:r>
        <w:t xml:space="preserve">wagons ou grand conteneurs / </w:t>
      </w:r>
      <w:r w:rsidRPr="00D81C15">
        <w:rPr>
          <w:rFonts w:ascii="TimesNewRomanPSMT" w:hAnsi="TimesNewRomanPSMT" w:cs="TimesNewRomanPSMT"/>
          <w:lang w:val="fr-FR" w:eastAsia="fr-FR"/>
        </w:rPr>
        <w:t>véhicules ou conteneurs</w:t>
      </w:r>
      <w:r w:rsidRPr="00D81C15">
        <w:t>» par «engins de transport».</w:t>
      </w:r>
    </w:p>
    <w:p w:rsidR="00445786" w:rsidRDefault="00445786" w:rsidP="00445786">
      <w:pPr>
        <w:pStyle w:val="SingleTxtG"/>
        <w:tabs>
          <w:tab w:val="left" w:pos="2268"/>
          <w:tab w:val="left" w:pos="2410"/>
        </w:tabs>
      </w:pPr>
      <w:r>
        <w:t xml:space="preserve">DS </w:t>
      </w:r>
      <w:r w:rsidRPr="002634A5">
        <w:t>216</w:t>
      </w:r>
      <w:r w:rsidRPr="002634A5">
        <w:tab/>
      </w:r>
      <w:r w:rsidRPr="00D81C15">
        <w:t xml:space="preserve">Remplacer </w:t>
      </w:r>
      <w:r>
        <w:t>«de l'emballage, du wagon/véhicule ou du conteneur» par «de l’emballage ou de l’engin de transport».</w:t>
      </w:r>
    </w:p>
    <w:p w:rsidR="00445786" w:rsidRDefault="00445786" w:rsidP="00445786">
      <w:pPr>
        <w:pStyle w:val="SingleTxtG"/>
        <w:tabs>
          <w:tab w:val="left" w:pos="2268"/>
          <w:tab w:val="left" w:pos="2410"/>
        </w:tabs>
      </w:pPr>
      <w:r>
        <w:t>DS 217</w:t>
      </w:r>
      <w:r>
        <w:tab/>
      </w:r>
      <w:r w:rsidRPr="00D81C15">
        <w:t xml:space="preserve">Remplacer </w:t>
      </w:r>
      <w:r>
        <w:t>«de l'emballage, du wagon/véhicule ou du conteneur» par «de l’emballage ou de l’engin de transport».</w:t>
      </w:r>
    </w:p>
    <w:p w:rsidR="00445786" w:rsidRDefault="00445786" w:rsidP="00445786">
      <w:pPr>
        <w:pStyle w:val="SingleTxtG"/>
        <w:tabs>
          <w:tab w:val="left" w:pos="2268"/>
          <w:tab w:val="left" w:pos="2410"/>
        </w:tabs>
      </w:pPr>
      <w:r>
        <w:t>DS 218</w:t>
      </w:r>
      <w:r>
        <w:tab/>
      </w:r>
      <w:r w:rsidRPr="00D81C15">
        <w:t xml:space="preserve">Remplacer </w:t>
      </w:r>
      <w:r>
        <w:t>«de l'emballage, du wagon/véhicule ou du conteneur» par «de l’emballage ou de l’engin de transport».</w:t>
      </w:r>
    </w:p>
    <w:p w:rsidR="00957EF0" w:rsidRPr="007A5D50" w:rsidRDefault="00957EF0" w:rsidP="00957EF0">
      <w:pPr>
        <w:pStyle w:val="SingleTxtG"/>
        <w:tabs>
          <w:tab w:val="left" w:pos="1985"/>
        </w:tabs>
        <w:rPr>
          <w:i/>
          <w:lang w:val="fr-FR"/>
        </w:rPr>
      </w:pPr>
      <w:r w:rsidRPr="007A5D50">
        <w:rPr>
          <w:i/>
          <w:lang w:val="fr-FR"/>
        </w:rPr>
        <w:t>(Documents de référence: ECE/TRANS/WP.15/AC.1/2015/29)</w:t>
      </w:r>
    </w:p>
    <w:p w:rsidR="00957EF0" w:rsidRDefault="00957EF0" w:rsidP="00957EF0">
      <w:pPr>
        <w:pStyle w:val="SingleTxtG"/>
      </w:pPr>
      <w:r>
        <w:t>DS 240</w:t>
      </w:r>
      <w:r>
        <w:tab/>
        <w:t>Modifier pour lire comme suit:</w:t>
      </w:r>
    </w:p>
    <w:p w:rsidR="00957EF0" w:rsidRDefault="00957EF0" w:rsidP="00957EF0">
      <w:pPr>
        <w:pStyle w:val="SingleTxtG"/>
      </w:pPr>
      <w:r w:rsidRPr="00F24056">
        <w:t>«</w:t>
      </w:r>
      <w:r>
        <w:t>240</w:t>
      </w:r>
      <w:r>
        <w:tab/>
        <w:t xml:space="preserve">Cette rubrique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 </w:t>
      </w:r>
      <w:r w:rsidRPr="00F24056">
        <w:t xml:space="preserve">À moins qu’il n’en soit prévu autrement dans la disposition spéciale </w:t>
      </w:r>
      <w:r w:rsidR="00ED23F0">
        <w:t>667</w:t>
      </w:r>
      <w:r w:rsidRPr="00F24056">
        <w:t>, les piles au lithium doivent satisfaire aux prescriptions du 2.2.9.1.7.</w:t>
      </w:r>
    </w:p>
    <w:p w:rsidR="00957EF0" w:rsidRDefault="00957EF0" w:rsidP="00957EF0">
      <w:pPr>
        <w:pStyle w:val="SingleTxtG"/>
      </w:pPr>
      <w:r>
        <w:tab/>
        <w:t xml:space="preserve">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w:t>
      </w:r>
      <w:r w:rsidR="00B55EA9" w:rsidRPr="00B55EA9">
        <w:t>(cycles à pédales avec moteur électrique)</w:t>
      </w:r>
      <w:r w:rsidR="00B55EA9">
        <w:t xml:space="preserve"> </w:t>
      </w:r>
      <w:r>
        <w:t>et autre véhicules de ce type (par exemple véhicules auto-équilibrés ou véhicules non équipés de position assise), fauteuils roulants, tondeuses à gazon autoportées, engins de chantier et agricoles autopropulsés, bateaux et aéronefs à propulsion électrique. Sont inclus les véhicules transportés dans un emballage. Dans ce cas, certaines parties du véhicule peuvent en être détachées pour tenir dans l’emballage.</w:t>
      </w:r>
    </w:p>
    <w:p w:rsidR="00957EF0" w:rsidRDefault="00957EF0" w:rsidP="00957EF0">
      <w:pPr>
        <w:pStyle w:val="SingleTxtG"/>
      </w:pPr>
      <w:r>
        <w:tab/>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957EF0" w:rsidRDefault="00957EF0" w:rsidP="00957EF0">
      <w:pPr>
        <w:pStyle w:val="SingleTxtG"/>
      </w:pPr>
      <w:r>
        <w:tab/>
        <w:t>Les véhicules électriques hybrides mus à la fois par un moteur à combustion interne et par des accumulateurs à électrolyte liquide ou au sodium, ou des batteries au lithium métal ou au lithium ionique, et qui sont transportés pourvus de ces accumulateurs ou batteries, doivent être expédiés sous les rubriques ONU 3166 VÉHICULE À PROPULSION PAR GAZ INFLAMMABLE ou ONU 3166 VÉHICULE À PROPULSION PAR LIQUIDE INFLAMMABLE, selon qu’il convient. Les véhicules qui contiennent une pile à combustible doivent être expédiés sous les rubriques ONU 3166 VÉHICULE À PROPULSION PAR PILE À COMBUSTIBLE CONTENANT DU GAZ INFLAMMABLE ou ONU 3166 VÉHICULE À PROPULSION PAR PILE À COMBUSTIBLE CONTENANT DU LIQUIDE INFLAMMABLE, selon qu’il convient.</w:t>
      </w:r>
    </w:p>
    <w:p w:rsidR="00957EF0" w:rsidRPr="00F24056" w:rsidRDefault="00957EF0" w:rsidP="00957EF0">
      <w:pPr>
        <w:pStyle w:val="SingleTxtG"/>
      </w:pPr>
      <w:r>
        <w:tab/>
        <w:t xml:space="preserve">Les véhicules peuvent contenir d’autres marchandises dangereuses autres que des batteries (par exemple extincteurs, accumulateurs à gaz comprimés ou dispositifs de sécurité) nécessaires à leur fonctionnement ou à leur utilisation en toute sécurité sans être </w:t>
      </w:r>
      <w:r>
        <w:lastRenderedPageBreak/>
        <w:t xml:space="preserve">soumis à d’autres prescriptions en relation avec ces autres marchandises dangereuses, à moins qu’il n’en soit spécifié autrement dans </w:t>
      </w:r>
      <w:r w:rsidRPr="00F24056">
        <w:t>le RID/l’ADR/l’ADN</w:t>
      </w:r>
      <w:r>
        <w:t>.</w:t>
      </w:r>
      <w:r w:rsidRPr="00F24056">
        <w:t>».</w:t>
      </w:r>
    </w:p>
    <w:p w:rsidR="00957EF0" w:rsidRDefault="00957EF0" w:rsidP="00957EF0">
      <w:pPr>
        <w:pStyle w:val="SingleTxtG"/>
        <w:rPr>
          <w:i/>
        </w:rPr>
      </w:pPr>
      <w:r w:rsidRPr="00B0649E">
        <w:rPr>
          <w:i/>
        </w:rPr>
        <w:t>(Document de référence: document informel INF.39, proposition 2 et ST/SG/AC.10/1/Rev.19, chapitre 3.3, disposition spéciale 240)</w:t>
      </w:r>
    </w:p>
    <w:p w:rsidR="00AC1DFF" w:rsidRDefault="00AC1DFF" w:rsidP="00AC1DFF">
      <w:pPr>
        <w:pStyle w:val="SingleTxtG"/>
        <w:tabs>
          <w:tab w:val="left" w:pos="1985"/>
          <w:tab w:val="left" w:pos="2268"/>
        </w:tabs>
        <w:rPr>
          <w:lang w:val="fr-FR"/>
        </w:rPr>
      </w:pPr>
      <w:r>
        <w:rPr>
          <w:lang w:val="fr-FR"/>
        </w:rPr>
        <w:t>DS 295</w:t>
      </w:r>
      <w:r>
        <w:rPr>
          <w:lang w:val="fr-FR"/>
        </w:rPr>
        <w:tab/>
        <w:t>Remplacer «le marquage et l’étiquette appropriés» par «la marque et l’étiquette appropriées».</w:t>
      </w:r>
    </w:p>
    <w:p w:rsidR="00AC1DFF" w:rsidRPr="007A5D50" w:rsidRDefault="00AC1DFF" w:rsidP="00AC1DFF">
      <w:pPr>
        <w:pStyle w:val="SingleTxtG"/>
        <w:tabs>
          <w:tab w:val="left" w:pos="1985"/>
        </w:tabs>
        <w:rPr>
          <w:i/>
          <w:lang w:val="fr-FR"/>
        </w:rPr>
      </w:pPr>
      <w:r w:rsidRPr="007A5D50">
        <w:rPr>
          <w:i/>
          <w:lang w:val="fr-FR"/>
        </w:rPr>
        <w:t>(Documents de référence: ECE/TRANS/WP.15/AC.1/2015/29 et document informel INF.8)</w:t>
      </w:r>
    </w:p>
    <w:p w:rsidR="00B0649E" w:rsidRDefault="00B0649E" w:rsidP="00B0649E">
      <w:pPr>
        <w:pStyle w:val="SingleTxtG"/>
      </w:pPr>
      <w:r>
        <w:t>DS 312</w:t>
      </w:r>
      <w:r>
        <w:tab/>
        <w:t>Modifier pour lire comme suit:</w:t>
      </w:r>
    </w:p>
    <w:p w:rsidR="00B0649E" w:rsidRDefault="00B0649E" w:rsidP="00B0649E">
      <w:pPr>
        <w:pStyle w:val="SingleTxtG"/>
      </w:pPr>
      <w:r>
        <w:t xml:space="preserve"> «312</w:t>
      </w:r>
      <w:r>
        <w:tab/>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B0649E" w:rsidRDefault="00B0649E" w:rsidP="00B0649E">
      <w:pPr>
        <w:pStyle w:val="SingleTxtG"/>
      </w:pPr>
      <w:r>
        <w:tab/>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B0649E" w:rsidRDefault="00B0649E" w:rsidP="00B0649E">
      <w:pPr>
        <w:pStyle w:val="SingleTxtG"/>
      </w:pPr>
      <w:r>
        <w:tab/>
      </w:r>
      <w:r w:rsidRPr="00D90F5C">
        <w:t xml:space="preserve">À moins qu’il n’en soit prévu autrement dans la disposition spéciale </w:t>
      </w:r>
      <w:r w:rsidR="00ED23F0">
        <w:t>667</w:t>
      </w:r>
      <w:r w:rsidRPr="00D90F5C">
        <w:t>, les piles au lithium doivent satisfaire aux prescriptions du 2.2.9.1.7.</w:t>
      </w:r>
      <w:r>
        <w:t>».</w:t>
      </w:r>
    </w:p>
    <w:p w:rsidR="00B0649E" w:rsidRDefault="00B0649E" w:rsidP="00B0649E">
      <w:pPr>
        <w:pStyle w:val="SingleTxtG"/>
        <w:rPr>
          <w:i/>
        </w:rPr>
      </w:pPr>
      <w:r w:rsidRPr="00B0649E">
        <w:rPr>
          <w:i/>
        </w:rPr>
        <w:t>(Document de référence: document informel INF.39, proposition 2 et ST/SG/AC.10/1/Rev.19, chapitre 3.3, disposition spéciale 312)</w:t>
      </w:r>
    </w:p>
    <w:p w:rsidR="00445786" w:rsidRDefault="00445786" w:rsidP="00445786">
      <w:pPr>
        <w:pStyle w:val="SingleTxtG"/>
        <w:tabs>
          <w:tab w:val="left" w:pos="2268"/>
          <w:tab w:val="left" w:pos="2410"/>
        </w:tabs>
      </w:pPr>
      <w:r>
        <w:t xml:space="preserve">DS </w:t>
      </w:r>
      <w:r w:rsidRPr="003C0009">
        <w:t>335</w:t>
      </w:r>
      <w:r w:rsidRPr="003C0009">
        <w:tab/>
      </w:r>
      <w:r>
        <w:t>Remplacer «</w:t>
      </w:r>
      <w:r>
        <w:rPr>
          <w:rFonts w:ascii="TimesNewRomanPSMT" w:hAnsi="TimesNewRomanPSMT" w:cs="TimesNewRomanPSMT"/>
          <w:lang w:val="fr-FR" w:eastAsia="fr-FR"/>
        </w:rPr>
        <w:t>ou du wagon/véhicule ou conteneur</w:t>
      </w:r>
      <w:r>
        <w:t>» par «ou de l’engin de transport» (deux fois) et remplacer «Chaque wagon/véhicule ou conteneur» par «Chaque engin de transport».</w:t>
      </w:r>
    </w:p>
    <w:p w:rsidR="00445786" w:rsidRDefault="00445786" w:rsidP="00445786">
      <w:pPr>
        <w:pStyle w:val="SingleTxtG"/>
        <w:rPr>
          <w:i/>
        </w:rPr>
      </w:pPr>
      <w:r>
        <w:rPr>
          <w:i/>
        </w:rPr>
        <w:t>(Référence: ECE/TRANS/WP.15/AC.1/2015/29)</w:t>
      </w:r>
    </w:p>
    <w:p w:rsidR="00AC1DFF" w:rsidRDefault="00AC1DFF" w:rsidP="00AC1DFF">
      <w:pPr>
        <w:pStyle w:val="SingleTxtG"/>
        <w:tabs>
          <w:tab w:val="left" w:pos="1985"/>
          <w:tab w:val="left" w:pos="2268"/>
        </w:tabs>
        <w:rPr>
          <w:lang w:val="fr-FR"/>
        </w:rPr>
      </w:pPr>
      <w:r>
        <w:rPr>
          <w:lang w:val="fr-FR"/>
        </w:rPr>
        <w:t>DS 339</w:t>
      </w:r>
      <w:r>
        <w:rPr>
          <w:lang w:val="fr-FR"/>
        </w:rPr>
        <w:tab/>
        <w:t>Sous «</w:t>
      </w:r>
      <w:r>
        <w:rPr>
          <w:b/>
          <w:bCs/>
          <w:lang w:val="fr-FR" w:eastAsia="fr-FR"/>
        </w:rPr>
        <w:t>Épreuve d’étanchéité en production</w:t>
      </w:r>
      <w:r>
        <w:rPr>
          <w:lang w:val="fr-FR"/>
        </w:rPr>
        <w:t>», dans le deuxième paragraphe, remplacer «un marquage permanent» par «une marque permanente».</w:t>
      </w:r>
    </w:p>
    <w:p w:rsidR="00AC1DFF" w:rsidRPr="007A5D50" w:rsidRDefault="00AC1DFF" w:rsidP="00AC1DFF">
      <w:pPr>
        <w:pStyle w:val="SingleTxtG"/>
        <w:tabs>
          <w:tab w:val="left" w:pos="1985"/>
        </w:tabs>
        <w:rPr>
          <w:i/>
          <w:lang w:val="fr-FR"/>
        </w:rPr>
      </w:pPr>
      <w:r w:rsidRPr="007A5D50">
        <w:rPr>
          <w:i/>
          <w:lang w:val="fr-FR"/>
        </w:rPr>
        <w:t>(Documents de référence: ECE/TRANS/WP.15/AC.1/2015/29)</w:t>
      </w:r>
    </w:p>
    <w:p w:rsidR="00C3243D" w:rsidRDefault="00C3243D" w:rsidP="00253123">
      <w:pPr>
        <w:pStyle w:val="SingleTxtG"/>
        <w:tabs>
          <w:tab w:val="left" w:pos="2268"/>
          <w:tab w:val="left" w:pos="2410"/>
        </w:tabs>
        <w:rPr>
          <w:lang w:val="fr-FR"/>
        </w:rPr>
      </w:pPr>
      <w:r>
        <w:rPr>
          <w:lang w:val="fr-FR"/>
        </w:rPr>
        <w:t>DS356</w:t>
      </w:r>
      <w:r>
        <w:rPr>
          <w:lang w:val="fr-FR"/>
        </w:rPr>
        <w:tab/>
      </w:r>
      <w:r>
        <w:rPr>
          <w:lang w:val="fr-FR"/>
        </w:rPr>
        <w:tab/>
        <w:t>Au début, supprimer «</w:t>
      </w:r>
      <w:r w:rsidRPr="0075099C">
        <w:rPr>
          <w:lang w:val="fr-FR"/>
        </w:rPr>
        <w:t>montés sur des véhicules, des wagons, des</w:t>
      </w:r>
      <w:r>
        <w:rPr>
          <w:lang w:val="fr-FR"/>
        </w:rPr>
        <w:t xml:space="preserve"> </w:t>
      </w:r>
      <w:r w:rsidRPr="0075099C">
        <w:rPr>
          <w:lang w:val="fr-FR"/>
        </w:rPr>
        <w:t>bateaux ou des aéronefs ou sur des sous-ensembles ou</w:t>
      </w:r>
      <w:r>
        <w:rPr>
          <w:lang w:val="fr-FR"/>
        </w:rPr>
        <w:t xml:space="preserve">». </w:t>
      </w:r>
    </w:p>
    <w:p w:rsidR="00C3243D" w:rsidRDefault="00C3243D" w:rsidP="00C3243D">
      <w:pPr>
        <w:pStyle w:val="SingleTxtG"/>
        <w:rPr>
          <w:i/>
        </w:rPr>
      </w:pPr>
      <w:r w:rsidRPr="00301384">
        <w:rPr>
          <w:i/>
        </w:rPr>
        <w:t xml:space="preserve">(Document de référence: document informel INF.39, proposition </w:t>
      </w:r>
      <w:r>
        <w:rPr>
          <w:i/>
        </w:rPr>
        <w:t>6</w:t>
      </w:r>
      <w:r w:rsidRPr="00301384">
        <w:rPr>
          <w:i/>
        </w:rPr>
        <w:t>)</w:t>
      </w:r>
    </w:p>
    <w:p w:rsidR="00C3243D" w:rsidRDefault="00C3243D" w:rsidP="00253123">
      <w:pPr>
        <w:pStyle w:val="SingleTxtG"/>
        <w:tabs>
          <w:tab w:val="left" w:pos="2268"/>
          <w:tab w:val="left" w:pos="2410"/>
        </w:tabs>
        <w:rPr>
          <w:lang w:val="fr-FR"/>
        </w:rPr>
      </w:pPr>
      <w:r w:rsidRPr="00DE4A67">
        <w:rPr>
          <w:lang w:val="fr-FR"/>
        </w:rPr>
        <w:t>DS376</w:t>
      </w:r>
      <w:r w:rsidRPr="00DE4A67">
        <w:rPr>
          <w:lang w:val="fr-FR"/>
        </w:rPr>
        <w:tab/>
      </w:r>
      <w:r w:rsidRPr="00DE4A67">
        <w:rPr>
          <w:lang w:val="fr-FR"/>
        </w:rPr>
        <w:tab/>
      </w:r>
      <w:r>
        <w:rPr>
          <w:lang w:val="fr-FR"/>
        </w:rPr>
        <w:t>À</w:t>
      </w:r>
      <w:r w:rsidRPr="00DE4A67">
        <w:rPr>
          <w:lang w:val="fr-FR"/>
        </w:rPr>
        <w:t xml:space="preserve"> la fin, remplacer «</w:t>
      </w:r>
      <w:r w:rsidRPr="00DE4A67">
        <w:rPr>
          <w:rFonts w:ascii="TimesNewRomanPSMT" w:hAnsi="TimesNewRomanPSMT" w:cs="TimesNewRomanPSMT"/>
          <w:lang w:val="fr-FR" w:eastAsia="fr-FR"/>
        </w:rPr>
        <w:t>que sous les conditions spécifiées par l’</w:t>
      </w:r>
      <w:r>
        <w:rPr>
          <w:rFonts w:ascii="TimesNewRomanPSMT" w:hAnsi="TimesNewRomanPSMT" w:cs="TimesNewRomanPSMT"/>
          <w:lang w:val="fr-FR" w:eastAsia="fr-FR"/>
        </w:rPr>
        <w:t>autorité compétente</w:t>
      </w:r>
      <w:r w:rsidRPr="00DE4A67">
        <w:rPr>
          <w:lang w:val="fr-FR"/>
        </w:rPr>
        <w:t>»</w:t>
      </w:r>
      <w:r>
        <w:rPr>
          <w:lang w:val="fr-FR"/>
        </w:rPr>
        <w:t xml:space="preserve"> par «que suivant les conditions approuvées par </w:t>
      </w:r>
      <w:r w:rsidRPr="00DE4A67">
        <w:rPr>
          <w:lang w:val="fr-FR"/>
        </w:rPr>
        <w:t>l’autorité compétente de tout État partie au RID/de toute Partie contractante à l’ADR/à l’ADN qui peut également reconnaître l’approbation par l’autorité compétente d’un pays qui ne serait pas État partie au RID/Partie contractante à l’ADR/à l’ADN à condition que cette approbation ait été accordée conformément aux procédures applicables selon le RID, l’ADR, l’ADN, le Code IMDG ou les prescriptions techniques de l’OACI</w:t>
      </w:r>
      <w:r>
        <w:rPr>
          <w:lang w:val="fr-FR"/>
        </w:rPr>
        <w:t>.»</w:t>
      </w:r>
    </w:p>
    <w:p w:rsidR="00C3243D" w:rsidRPr="00301384" w:rsidRDefault="00C3243D" w:rsidP="00C3243D">
      <w:pPr>
        <w:pStyle w:val="SingleTxtG"/>
        <w:rPr>
          <w:i/>
        </w:rPr>
      </w:pPr>
      <w:r w:rsidRPr="00301384">
        <w:rPr>
          <w:i/>
        </w:rPr>
        <w:t>(Document de référence: document informel INF.</w:t>
      </w:r>
      <w:r>
        <w:rPr>
          <w:i/>
        </w:rPr>
        <w:t>42</w:t>
      </w:r>
      <w:r w:rsidR="00FE7E17">
        <w:rPr>
          <w:i/>
        </w:rPr>
        <w:t xml:space="preserve"> tel que modifié</w:t>
      </w:r>
      <w:r w:rsidRPr="00301384">
        <w:rPr>
          <w:i/>
        </w:rPr>
        <w:t>)</w:t>
      </w:r>
    </w:p>
    <w:p w:rsidR="00AC1DFF" w:rsidRDefault="00AC1DFF" w:rsidP="00AC1DFF">
      <w:pPr>
        <w:pStyle w:val="SingleTxtG"/>
        <w:tabs>
          <w:tab w:val="left" w:pos="1985"/>
        </w:tabs>
        <w:ind w:right="521"/>
        <w:rPr>
          <w:lang w:val="fr-FR"/>
        </w:rPr>
      </w:pPr>
      <w:r>
        <w:rPr>
          <w:lang w:val="fr-FR"/>
        </w:rPr>
        <w:lastRenderedPageBreak/>
        <w:t xml:space="preserve">DS </w:t>
      </w:r>
      <w:r w:rsidRPr="000A40F5">
        <w:rPr>
          <w:lang w:val="fr-FR"/>
        </w:rPr>
        <w:t>633</w:t>
      </w:r>
      <w:r w:rsidRPr="000A40F5">
        <w:rPr>
          <w:lang w:val="fr-FR"/>
        </w:rPr>
        <w:tab/>
        <w:t xml:space="preserve">L’amendement ne s’applique </w:t>
      </w:r>
      <w:r>
        <w:rPr>
          <w:lang w:val="fr-FR"/>
        </w:rPr>
        <w:t>pas au texte français.</w:t>
      </w:r>
    </w:p>
    <w:p w:rsidR="00AC1DFF" w:rsidRPr="007A5D50" w:rsidRDefault="00AC1DFF" w:rsidP="00AC1DFF">
      <w:pPr>
        <w:pStyle w:val="SingleTxtG"/>
        <w:tabs>
          <w:tab w:val="left" w:pos="1985"/>
        </w:tabs>
        <w:rPr>
          <w:i/>
          <w:lang w:val="fr-FR"/>
        </w:rPr>
      </w:pPr>
      <w:r w:rsidRPr="007A5D50">
        <w:rPr>
          <w:i/>
          <w:lang w:val="fr-FR"/>
        </w:rPr>
        <w:t>(Documents de référence: ECE/TRANS/WP.15/AC.1/2015/29 et document informel INF.8)</w:t>
      </w:r>
    </w:p>
    <w:p w:rsidR="008376DA" w:rsidRDefault="008376DA" w:rsidP="00AC1DFF">
      <w:pPr>
        <w:pStyle w:val="SingleTxtG"/>
      </w:pPr>
      <w:r>
        <w:t>[DS 636 b)</w:t>
      </w:r>
      <w:r>
        <w:tab/>
        <w:t>Modifier le texte avant l’alinéa i) pour lire comme suit:</w:t>
      </w:r>
    </w:p>
    <w:p w:rsidR="008376DA" w:rsidRDefault="008376DA" w:rsidP="008376DA">
      <w:pPr>
        <w:pStyle w:val="SingleTxtG"/>
      </w:pPr>
      <w:r>
        <w:t>«</w:t>
      </w:r>
      <w:r w:rsidRPr="00117689">
        <w:t>b)</w:t>
      </w:r>
      <w:r w:rsidRPr="00117689">
        <w:tab/>
      </w:r>
      <w:r>
        <w:t xml:space="preserve">Lorsqu’elles sont transportées </w:t>
      </w:r>
      <w:r w:rsidRPr="003952CC">
        <w:t>jusqu’aux lieux de traitement intermédiaire</w:t>
      </w:r>
      <w:r>
        <w:t>:</w:t>
      </w:r>
    </w:p>
    <w:p w:rsidR="008376DA" w:rsidRDefault="008376DA" w:rsidP="008376DA">
      <w:pPr>
        <w:pStyle w:val="SingleTxtG"/>
      </w:pPr>
      <w:r>
        <w:t>-</w:t>
      </w:r>
      <w:r>
        <w:tab/>
        <w:t>l</w:t>
      </w:r>
      <w:r w:rsidRPr="00117689">
        <w:t>es piles et batteries au lithium, dont la masse brute ne dépasse pas 500 g par unité ou</w:t>
      </w:r>
      <w:r w:rsidRPr="003952CC">
        <w:t xml:space="preserve">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w:t>
      </w:r>
      <w:r>
        <w:t>qui ne sont pas contenues</w:t>
      </w:r>
      <w:r w:rsidRPr="003952CC">
        <w:t xml:space="preserve"> dans un équipement, collectées et présentées au transport en vue de leur </w:t>
      </w:r>
      <w:r>
        <w:t xml:space="preserve">tri, </w:t>
      </w:r>
      <w:r w:rsidRPr="003952CC">
        <w:t>élimination ou recyclage</w:t>
      </w:r>
      <w:r>
        <w:t>;</w:t>
      </w:r>
      <w:r w:rsidRPr="003952CC">
        <w:t xml:space="preserve"> </w:t>
      </w:r>
      <w:r>
        <w:t>ainsi que</w:t>
      </w:r>
    </w:p>
    <w:p w:rsidR="008376DA" w:rsidRDefault="008376DA" w:rsidP="008376DA">
      <w:pPr>
        <w:pStyle w:val="SingleTxtG"/>
      </w:pPr>
      <w:r>
        <w:t>-</w:t>
      </w:r>
      <w:r>
        <w:tab/>
        <w:t>l</w:t>
      </w:r>
      <w:r w:rsidRPr="00117689">
        <w:t xml:space="preserve">es </w:t>
      </w:r>
      <w:r>
        <w:t xml:space="preserve">piles et batteries au lithium contenues dans des équipements provenant des ménages collectés et présentés </w:t>
      </w:r>
      <w:r w:rsidRPr="003952CC">
        <w:t>au transport en vue de leur</w:t>
      </w:r>
      <w:r>
        <w:t xml:space="preserve"> dépollution, </w:t>
      </w:r>
      <w:r w:rsidRPr="00392C9C">
        <w:t>démantèlement</w:t>
      </w:r>
      <w:r>
        <w:t xml:space="preserve">, </w:t>
      </w:r>
      <w:r w:rsidRPr="003952CC">
        <w:t>élimination ou recyclage</w:t>
      </w:r>
      <w:r>
        <w:t>;</w:t>
      </w:r>
    </w:p>
    <w:p w:rsidR="008376DA" w:rsidRPr="009751C4" w:rsidRDefault="008376DA" w:rsidP="008376DA">
      <w:pPr>
        <w:pStyle w:val="SingleTxtG"/>
        <w:ind w:left="1701"/>
        <w:rPr>
          <w:i/>
        </w:rPr>
      </w:pPr>
      <w:r w:rsidRPr="009751C4">
        <w:rPr>
          <w:b/>
          <w:i/>
        </w:rPr>
        <w:t>NOTA:</w:t>
      </w:r>
      <w:r w:rsidRPr="009751C4">
        <w:rPr>
          <w:i/>
        </w:rPr>
        <w:t xml:space="preserve"> Par «équipements provenant des ménages» on entend les équipements provenant des ménages et les équipements </w:t>
      </w:r>
      <w:r>
        <w:rPr>
          <w:i/>
        </w:rPr>
        <w:t>d’origine commerciale, industrielle, institutionnelle et autre</w:t>
      </w:r>
      <w:r w:rsidRPr="009751C4">
        <w:rPr>
          <w:i/>
        </w:rPr>
        <w:t xml:space="preserve"> qui, en raison de leur nature et de leur quantité, sont similaires à ceux des ménages. Les équipements susceptibles d’être utilisés </w:t>
      </w:r>
      <w:r>
        <w:rPr>
          <w:i/>
        </w:rPr>
        <w:t xml:space="preserve">à la fois </w:t>
      </w:r>
      <w:r w:rsidRPr="009751C4">
        <w:rPr>
          <w:i/>
        </w:rPr>
        <w:t xml:space="preserve">par les ménages et les utilisateurs autres que les ménages doivent </w:t>
      </w:r>
      <w:r>
        <w:rPr>
          <w:i/>
        </w:rPr>
        <w:t xml:space="preserve">en tout état de cause </w:t>
      </w:r>
      <w:r w:rsidRPr="009751C4">
        <w:rPr>
          <w:i/>
        </w:rPr>
        <w:t xml:space="preserve">être considérés comme </w:t>
      </w:r>
      <w:r>
        <w:rPr>
          <w:i/>
        </w:rPr>
        <w:t xml:space="preserve">étant </w:t>
      </w:r>
      <w:r w:rsidRPr="009751C4">
        <w:rPr>
          <w:i/>
        </w:rPr>
        <w:t>des équipements provenant des ménages</w:t>
      </w:r>
      <w:r>
        <w:rPr>
          <w:i/>
        </w:rPr>
        <w:t>.</w:t>
      </w:r>
    </w:p>
    <w:p w:rsidR="008376DA" w:rsidRDefault="008376DA" w:rsidP="008376DA">
      <w:pPr>
        <w:pStyle w:val="SingleTxtG"/>
      </w:pPr>
      <w:r w:rsidRPr="003952CC">
        <w:t xml:space="preserve">ne sont pas soumises, aux autres dispositions </w:t>
      </w:r>
      <w:r>
        <w:t>du RID/</w:t>
      </w:r>
      <w:r w:rsidRPr="003952CC">
        <w:t>de l’ADR, y compris la disposition spéciale 376 et le 2.2.9.1.7, si elles satisfont aux conditions suivantes:</w:t>
      </w:r>
      <w:r>
        <w:t>».</w:t>
      </w:r>
    </w:p>
    <w:p w:rsidR="008376DA" w:rsidRDefault="008376DA" w:rsidP="008376DA">
      <w:pPr>
        <w:pStyle w:val="SingleTxtG"/>
      </w:pPr>
      <w:r>
        <w:t>DS 636 b)</w:t>
      </w:r>
      <w:r>
        <w:tab/>
        <w:t>Modifier l’alinéa iii) pour lire comme suit:</w:t>
      </w:r>
    </w:p>
    <w:p w:rsidR="008376DA" w:rsidRDefault="008376DA" w:rsidP="008376DA">
      <w:pPr>
        <w:pStyle w:val="SingleTxtG"/>
      </w:pPr>
      <w:r>
        <w:t>«</w:t>
      </w:r>
      <w:r w:rsidRPr="003952CC">
        <w:t>iii)</w:t>
      </w:r>
      <w:r w:rsidRPr="003952CC">
        <w:tab/>
        <w:t>Les colis doivent porter la marque "PILES AU LITHIUM POUR ÉLIMINATION" ou "PILES AU LITHIUM POUR RECYCLAGE"</w:t>
      </w:r>
      <w:r>
        <w:t xml:space="preserve"> comme approprié</w:t>
      </w:r>
      <w:r w:rsidRPr="003952CC">
        <w:t>.</w:t>
      </w:r>
    </w:p>
    <w:p w:rsidR="008376DA" w:rsidRDefault="008376DA" w:rsidP="008376DA">
      <w:pPr>
        <w:pStyle w:val="SingleTxtG"/>
      </w:pPr>
      <w:r>
        <w:t>Alternativement, si des équipements contenant des piles ou batteries au lithium sont transportés non emballés ou sur des palettes conformément à la prescription d’emballage P909 3) du 4.1.4.1, cette marque peut être fixée sur la surface extérieure des wagons/véhicules ou conteneurs.».]</w:t>
      </w:r>
    </w:p>
    <w:p w:rsidR="008376DA" w:rsidRDefault="008376DA" w:rsidP="008376DA">
      <w:pPr>
        <w:pStyle w:val="SingleTxtG"/>
        <w:rPr>
          <w:i/>
        </w:rPr>
      </w:pPr>
      <w:r>
        <w:rPr>
          <w:i/>
        </w:rPr>
        <w:t>(Document de référence: document informel INF.13)</w:t>
      </w:r>
    </w:p>
    <w:p w:rsidR="00445D56" w:rsidRDefault="00445D56" w:rsidP="00445D56">
      <w:pPr>
        <w:pStyle w:val="SingleTxtG"/>
        <w:tabs>
          <w:tab w:val="left" w:pos="1985"/>
          <w:tab w:val="left" w:pos="2268"/>
        </w:tabs>
        <w:rPr>
          <w:rFonts w:eastAsia="Calibri"/>
          <w:lang w:val="fr-FR"/>
        </w:rPr>
      </w:pPr>
      <w:r>
        <w:rPr>
          <w:lang w:val="fr-FR"/>
        </w:rPr>
        <w:t>DS</w:t>
      </w:r>
      <w:r w:rsidRPr="000A40F5">
        <w:rPr>
          <w:lang w:val="fr-FR"/>
        </w:rPr>
        <w:t xml:space="preserve"> 653</w:t>
      </w:r>
      <w:r w:rsidRPr="000A40F5">
        <w:rPr>
          <w:lang w:val="fr-FR"/>
        </w:rPr>
        <w:tab/>
      </w:r>
      <w:r>
        <w:rPr>
          <w:rFonts w:eastAsia="Calibri"/>
          <w:lang w:val="fr-FR"/>
        </w:rPr>
        <w:t>Dans la dernier tiret, remplacer «</w:t>
      </w:r>
      <w:r>
        <w:rPr>
          <w:rFonts w:ascii="TimesNewRomanPSMT" w:hAnsi="TimesNewRomanPSMT" w:cs="TimesNewRomanPSMT"/>
          <w:lang w:val="fr-FR" w:eastAsia="fr-FR"/>
        </w:rPr>
        <w:t>ce marquage est entouré</w:t>
      </w:r>
      <w:r>
        <w:rPr>
          <w:rFonts w:eastAsia="Calibri"/>
          <w:lang w:val="fr-FR"/>
        </w:rPr>
        <w:t>» par «cette marque est entourée».</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253123" w:rsidRDefault="00C3243D" w:rsidP="00253123">
      <w:pPr>
        <w:pStyle w:val="SingleTxtG"/>
        <w:tabs>
          <w:tab w:val="left" w:pos="2268"/>
          <w:tab w:val="left" w:pos="2410"/>
        </w:tabs>
        <w:rPr>
          <w:lang w:val="fr-FR"/>
        </w:rPr>
      </w:pPr>
      <w:r w:rsidRPr="009A5D68">
        <w:rPr>
          <w:lang w:val="fr-FR"/>
        </w:rPr>
        <w:t>DS</w:t>
      </w:r>
      <w:r w:rsidR="008376DA">
        <w:rPr>
          <w:lang w:val="fr-FR"/>
        </w:rPr>
        <w:t xml:space="preserve"> </w:t>
      </w:r>
      <w:r w:rsidRPr="009A5D68">
        <w:rPr>
          <w:lang w:val="fr-FR"/>
        </w:rPr>
        <w:t>655</w:t>
      </w:r>
      <w:r w:rsidRPr="009A5D68">
        <w:rPr>
          <w:lang w:val="fr-FR"/>
        </w:rPr>
        <w:tab/>
      </w:r>
      <w:r w:rsidRPr="009A5D68">
        <w:rPr>
          <w:lang w:val="fr-FR"/>
        </w:rPr>
        <w:tab/>
      </w:r>
      <w:r>
        <w:rPr>
          <w:lang w:val="fr-FR"/>
        </w:rPr>
        <w:t>Dans la première phrase, a</w:t>
      </w:r>
      <w:r w:rsidRPr="009A5D68">
        <w:rPr>
          <w:lang w:val="fr-FR"/>
        </w:rPr>
        <w:t>près «Directive 97/23/CE</w:t>
      </w:r>
      <w:r w:rsidRPr="009A5D68">
        <w:rPr>
          <w:vertAlign w:val="superscript"/>
          <w:lang w:val="fr-FR"/>
        </w:rPr>
        <w:t>4</w:t>
      </w:r>
      <w:r w:rsidRPr="009A5D68">
        <w:rPr>
          <w:lang w:val="fr-FR"/>
        </w:rPr>
        <w:t>» ajouter «ou à la Directive 2014/68/UE</w:t>
      </w:r>
      <w:r w:rsidRPr="009A5D68">
        <w:rPr>
          <w:vertAlign w:val="superscript"/>
          <w:lang w:val="fr-FR"/>
        </w:rPr>
        <w:t>5</w:t>
      </w:r>
      <w:r w:rsidRPr="009A5D68">
        <w:rPr>
          <w:lang w:val="fr-FR"/>
        </w:rPr>
        <w:t xml:space="preserve">». </w:t>
      </w:r>
      <w:r>
        <w:rPr>
          <w:lang w:val="fr-FR"/>
        </w:rPr>
        <w:t xml:space="preserve">À la fin de la dernière phrase, après </w:t>
      </w:r>
      <w:r w:rsidRPr="009A5D68">
        <w:rPr>
          <w:lang w:val="fr-FR"/>
        </w:rPr>
        <w:t>«Directive 97/23/CE» ajouter «ou à la Directive 2014/68/UE».</w:t>
      </w:r>
      <w:r>
        <w:rPr>
          <w:lang w:val="fr-FR"/>
        </w:rPr>
        <w:t xml:space="preserve"> </w:t>
      </w:r>
      <w:r w:rsidRPr="009A5D68">
        <w:rPr>
          <w:lang w:val="fr-FR"/>
        </w:rPr>
        <w:t xml:space="preserve">Ajouter une note de bas de page 5 pour lire comme suit: </w:t>
      </w:r>
    </w:p>
    <w:p w:rsidR="00C3243D" w:rsidRDefault="00C3243D" w:rsidP="00253123">
      <w:pPr>
        <w:pStyle w:val="SingleTxtG"/>
        <w:tabs>
          <w:tab w:val="left" w:pos="2268"/>
          <w:tab w:val="left" w:pos="2410"/>
        </w:tabs>
        <w:rPr>
          <w:lang w:val="fr-FR"/>
        </w:rPr>
      </w:pPr>
      <w:r w:rsidRPr="009A5D68">
        <w:rPr>
          <w:lang w:val="fr-FR"/>
        </w:rPr>
        <w:t>«</w:t>
      </w:r>
      <w:r w:rsidRPr="009A5D68">
        <w:rPr>
          <w:vertAlign w:val="superscript"/>
          <w:lang w:val="fr-FR"/>
        </w:rPr>
        <w:t>5</w:t>
      </w:r>
      <w:r w:rsidR="00253123">
        <w:rPr>
          <w:vertAlign w:val="superscript"/>
          <w:lang w:val="fr-FR"/>
        </w:rPr>
        <w:t xml:space="preserve"> </w:t>
      </w:r>
      <w:r w:rsidRPr="009A5D68">
        <w:rPr>
          <w:vertAlign w:val="superscript"/>
          <w:lang w:val="fr-FR"/>
        </w:rPr>
        <w:t xml:space="preserve"> </w:t>
      </w:r>
      <w:r w:rsidRPr="009A5D68">
        <w:rPr>
          <w:i/>
          <w:lang w:val="fr-FR"/>
        </w:rPr>
        <w:t>Directive 2014/68/UE du Parlement européen et du Conseil du 15 mai 2014, relative à l’harmonisation des législations des États membres concernant la mise à disposition sur le marché des équipements sous pression (PED) (Journal officiel de l’Union européenne No L 189 du 27 juin 2014, p. 164 à 259)</w:t>
      </w:r>
      <w:r w:rsidRPr="009A5D68">
        <w:rPr>
          <w:lang w:val="fr-FR"/>
        </w:rPr>
        <w:t>.».</w:t>
      </w:r>
    </w:p>
    <w:p w:rsidR="00C3243D" w:rsidRPr="009A5D68" w:rsidRDefault="00C3243D" w:rsidP="00253123">
      <w:pPr>
        <w:pStyle w:val="SingleTxtG"/>
        <w:tabs>
          <w:tab w:val="left" w:pos="2268"/>
          <w:tab w:val="left" w:pos="2410"/>
        </w:tabs>
        <w:rPr>
          <w:lang w:val="fr-FR"/>
        </w:rPr>
      </w:pPr>
      <w:r>
        <w:rPr>
          <w:lang w:val="fr-FR"/>
        </w:rPr>
        <w:t>Les notes de bas de page 5 à 9 deviennent 6 à 10.</w:t>
      </w:r>
    </w:p>
    <w:p w:rsidR="00C3243D" w:rsidRPr="00301384" w:rsidRDefault="00C3243D" w:rsidP="00C3243D">
      <w:pPr>
        <w:pStyle w:val="SingleTxtG"/>
        <w:rPr>
          <w:i/>
        </w:rPr>
      </w:pPr>
      <w:r w:rsidRPr="009A5D68">
        <w:rPr>
          <w:i/>
        </w:rPr>
        <w:t>(Document de référence: ECE/TRANS/WP.15/AC.1/2015/44)</w:t>
      </w:r>
    </w:p>
    <w:p w:rsidR="00445D56" w:rsidRPr="000A40F5" w:rsidRDefault="00445D56" w:rsidP="00445D56">
      <w:pPr>
        <w:pStyle w:val="SingleTxtG"/>
        <w:tabs>
          <w:tab w:val="left" w:pos="1985"/>
          <w:tab w:val="left" w:pos="2268"/>
        </w:tabs>
        <w:rPr>
          <w:rFonts w:eastAsia="Calibri"/>
          <w:lang w:val="fr-FR"/>
        </w:rPr>
      </w:pPr>
      <w:r>
        <w:rPr>
          <w:lang w:val="fr-FR"/>
        </w:rPr>
        <w:t>DS 660 f)</w:t>
      </w:r>
      <w:r>
        <w:rPr>
          <w:lang w:val="fr-FR"/>
        </w:rPr>
        <w:tab/>
      </w:r>
      <w:r w:rsidR="00253123">
        <w:rPr>
          <w:lang w:val="fr-FR"/>
        </w:rPr>
        <w:tab/>
      </w:r>
      <w:r>
        <w:rPr>
          <w:lang w:val="fr-FR"/>
        </w:rPr>
        <w:t>Dans la dernière phrase, remplacer «</w:t>
      </w:r>
      <w:r w:rsidRPr="00370183">
        <w:rPr>
          <w:lang w:val="fr-FR"/>
        </w:rPr>
        <w:t>les marquages et étiquettes de danger</w:t>
      </w:r>
      <w:r>
        <w:rPr>
          <w:lang w:val="fr-FR"/>
        </w:rPr>
        <w:t xml:space="preserve"> </w:t>
      </w:r>
      <w:r w:rsidRPr="00370183">
        <w:rPr>
          <w:lang w:val="fr-FR"/>
        </w:rPr>
        <w:t>doivent être apposés</w:t>
      </w:r>
      <w:r>
        <w:rPr>
          <w:lang w:val="fr-FR"/>
        </w:rPr>
        <w:t>» par «les marqu</w:t>
      </w:r>
      <w:r w:rsidRPr="00370183">
        <w:rPr>
          <w:lang w:val="fr-FR"/>
        </w:rPr>
        <w:t>es et étiquettes de danger</w:t>
      </w:r>
      <w:r>
        <w:rPr>
          <w:lang w:val="fr-FR"/>
        </w:rPr>
        <w:t xml:space="preserve"> </w:t>
      </w:r>
      <w:r w:rsidRPr="00370183">
        <w:rPr>
          <w:lang w:val="fr-FR"/>
        </w:rPr>
        <w:t>doivent être apposé</w:t>
      </w:r>
      <w:r>
        <w:rPr>
          <w:lang w:val="fr-FR"/>
        </w:rPr>
        <w:t>e</w:t>
      </w:r>
      <w:r w:rsidRPr="00370183">
        <w:rPr>
          <w:lang w:val="fr-FR"/>
        </w:rPr>
        <w:t>s</w:t>
      </w:r>
      <w:r>
        <w:rPr>
          <w:lang w:val="fr-FR"/>
        </w:rPr>
        <w:t>».</w:t>
      </w:r>
    </w:p>
    <w:p w:rsidR="00445D56" w:rsidRPr="007A5D50" w:rsidRDefault="00445D56" w:rsidP="00445D56">
      <w:pPr>
        <w:pStyle w:val="SingleTxtG"/>
        <w:tabs>
          <w:tab w:val="left" w:pos="1985"/>
        </w:tabs>
        <w:rPr>
          <w:i/>
          <w:lang w:val="fr-FR"/>
        </w:rPr>
      </w:pPr>
      <w:r w:rsidRPr="007A5D50">
        <w:rPr>
          <w:i/>
          <w:lang w:val="fr-FR"/>
        </w:rPr>
        <w:lastRenderedPageBreak/>
        <w:t>(Documents de référence: ECE/TRANS/WP.15/AC.1/2015/29 et document informel INF.8)</w:t>
      </w:r>
    </w:p>
    <w:p w:rsidR="007A3615" w:rsidRPr="004C1F88" w:rsidRDefault="007A3615" w:rsidP="007A3615">
      <w:pPr>
        <w:pStyle w:val="SingleTxtG"/>
      </w:pPr>
      <w:r w:rsidRPr="004C1F88">
        <w:t>Ajouter les nouvelles dispositions spéciales suivantes:</w:t>
      </w:r>
    </w:p>
    <w:p w:rsidR="00AE3A31" w:rsidRDefault="00AE3A31" w:rsidP="00AE3A31">
      <w:pPr>
        <w:pStyle w:val="SingleTxtG"/>
      </w:pPr>
      <w:r>
        <w:t>«385</w:t>
      </w:r>
      <w:r>
        <w:tab/>
        <w:t>Cette rubrique s’applique aux véhicules mus par un moteur à combustion interne ou une pile à combustible fonctionnant au moyen d’un liquide inflammable ou d’un gaz inflammable.</w:t>
      </w:r>
    </w:p>
    <w:p w:rsidR="00AE3A31" w:rsidRDefault="00AE3A31" w:rsidP="00AE3A31">
      <w:pPr>
        <w:pStyle w:val="SingleTxtG"/>
      </w:pPr>
      <w:r>
        <w:tab/>
        <w:t>Les véhicules électriques hybrides mus à la fois par un moteur à combustion interne et par des accumulateurs à électrolyte liquide ou des batteries au sodium, au lithium métal ou au lithium ionique, transportés avec ces accumulateurs ou batteries installés, doivent être expédiés sous cette rubrique. 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AE3A31" w:rsidRDefault="00AE3A31" w:rsidP="00AE3A31">
      <w:pPr>
        <w:pStyle w:val="SingleTxtG"/>
      </w:pPr>
      <w:r>
        <w:tab/>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AE3A31" w:rsidRDefault="00AE3A31" w:rsidP="00AE3A31">
      <w:pPr>
        <w:pStyle w:val="SingleTxtG"/>
      </w:pPr>
      <w:r>
        <w:tab/>
        <w:t xml:space="preserve">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Pr="00AE3A31">
        <w:t xml:space="preserve">au RID/à l’ADR/à l’ADN. </w:t>
      </w:r>
      <w:r w:rsidR="00B55EA9">
        <w:t>Cependant, à</w:t>
      </w:r>
      <w:r w:rsidRPr="00AE3A31">
        <w:t xml:space="preserve"> moins qu’il n’en soit prévu autrement dans la disposition spéciale </w:t>
      </w:r>
      <w:r w:rsidR="00ED23F0">
        <w:t>667</w:t>
      </w:r>
      <w:r w:rsidRPr="00AE3A31">
        <w:t>, les piles au lithium doivent satisfaire aux prescriptions du 2.2.9.1.7.</w:t>
      </w:r>
      <w:r>
        <w:t>».</w:t>
      </w:r>
    </w:p>
    <w:p w:rsidR="002C7BB6" w:rsidRDefault="002C7BB6" w:rsidP="002C7BB6">
      <w:pPr>
        <w:pStyle w:val="SingleTxtG"/>
        <w:rPr>
          <w:i/>
        </w:rPr>
      </w:pPr>
      <w:r w:rsidRPr="00B0649E">
        <w:rPr>
          <w:i/>
        </w:rPr>
        <w:t xml:space="preserve">(Document de référence: document informel INF.39, proposition 2 et ST/SG/AC.10/1/Rev.19, chapitre 3.3, disposition spéciale </w:t>
      </w:r>
      <w:r>
        <w:rPr>
          <w:i/>
        </w:rPr>
        <w:t>385</w:t>
      </w:r>
      <w:r w:rsidRPr="00B0649E">
        <w:rPr>
          <w:i/>
        </w:rPr>
        <w:t>)</w:t>
      </w:r>
    </w:p>
    <w:p w:rsidR="00E402A8" w:rsidRPr="00253123" w:rsidRDefault="00E402A8" w:rsidP="00253123">
      <w:pPr>
        <w:pStyle w:val="SingleTxtG"/>
        <w:ind w:left="1701"/>
        <w:rPr>
          <w:i/>
        </w:rPr>
      </w:pPr>
      <w:r w:rsidRPr="00253123">
        <w:rPr>
          <w:i/>
        </w:rPr>
        <w:t>Amendement de conséquence:</w:t>
      </w:r>
      <w:r w:rsidRPr="00253123">
        <w:rPr>
          <w:i/>
        </w:rPr>
        <w:tab/>
      </w:r>
      <w:r w:rsidR="001722B5">
        <w:rPr>
          <w:i/>
        </w:rPr>
        <w:t>Supprimer</w:t>
      </w:r>
      <w:r w:rsidRPr="00253123">
        <w:rPr>
          <w:i/>
        </w:rPr>
        <w:t xml:space="preserve"> «</w:t>
      </w:r>
      <w:r w:rsidR="00CC7512" w:rsidRPr="00253123">
        <w:rPr>
          <w:i/>
        </w:rPr>
        <w:t>378-499 (Réservés)</w:t>
      </w:r>
      <w:r w:rsidRPr="00253123">
        <w:rPr>
          <w:i/>
        </w:rPr>
        <w:t>»</w:t>
      </w:r>
      <w:r w:rsidR="001722B5">
        <w:rPr>
          <w:i/>
        </w:rPr>
        <w:t xml:space="preserve">. Après la disposition spéciale 386 ajouter </w:t>
      </w:r>
      <w:r w:rsidR="00CC7512" w:rsidRPr="00253123">
        <w:rPr>
          <w:i/>
        </w:rPr>
        <w:t>«387-499 (Réservés)».</w:t>
      </w:r>
    </w:p>
    <w:p w:rsidR="00CC7512" w:rsidRPr="00253123" w:rsidRDefault="00CC7512" w:rsidP="002C7BB6">
      <w:pPr>
        <w:pStyle w:val="SingleTxtG"/>
        <w:rPr>
          <w:i/>
        </w:rPr>
      </w:pPr>
      <w:r>
        <w:t>«665</w:t>
      </w:r>
      <w:r>
        <w:tab/>
      </w:r>
      <w:r>
        <w:rPr>
          <w:i/>
        </w:rPr>
        <w:t>(Réservé</w:t>
      </w:r>
      <w:r w:rsidRPr="007F5A99">
        <w:rPr>
          <w:i/>
        </w:rPr>
        <w:t>)</w:t>
      </w:r>
      <w:r>
        <w:t>».</w:t>
      </w:r>
    </w:p>
    <w:p w:rsidR="007A3615" w:rsidRPr="004C1F88" w:rsidRDefault="007A3615" w:rsidP="002C7BB6">
      <w:pPr>
        <w:pStyle w:val="SingleTxtG"/>
        <w:rPr>
          <w:lang w:val="fr-FR"/>
        </w:rPr>
      </w:pPr>
      <w:r w:rsidRPr="004C1F88">
        <w:t>«</w:t>
      </w:r>
      <w:r w:rsidR="00ED23F0">
        <w:t>666</w:t>
      </w:r>
      <w:r w:rsidRPr="004C1F88">
        <w:tab/>
      </w:r>
      <w:r w:rsidRPr="004C1F88">
        <w:rPr>
          <w:lang w:val="fr-FR"/>
        </w:rPr>
        <w:t xml:space="preserve">Les véhicules affectés au Nos ONU 3166 ou 3171 et les équipements mus par des accumulateurs affectés au No ONU 3171 conformément aux dispositions spéciales 240, 312 et 385 ainsi que les marchandises dangereuses qu'ils contiennent qui sont nécessaires à leur fonctionnement ou au fonctionnement de leur équipement, transportés en tant que chargement, ne sont soumises à aucune autre disposition du </w:t>
      </w:r>
      <w:r>
        <w:rPr>
          <w:lang w:val="fr-FR"/>
        </w:rPr>
        <w:t>RID</w:t>
      </w:r>
      <w:r w:rsidRPr="004C1F88">
        <w:rPr>
          <w:lang w:val="fr-FR"/>
        </w:rPr>
        <w:t>/de l’</w:t>
      </w:r>
      <w:r>
        <w:rPr>
          <w:lang w:val="fr-FR"/>
        </w:rPr>
        <w:t>ADR/</w:t>
      </w:r>
      <w:r w:rsidRPr="004C1F88">
        <w:rPr>
          <w:lang w:val="fr-FR"/>
        </w:rPr>
        <w:t>de l’ADN, à condition que les conditions suivantes soient remplies:</w:t>
      </w:r>
    </w:p>
    <w:p w:rsidR="007A3615" w:rsidRPr="004C1F88" w:rsidRDefault="007A3615" w:rsidP="007A3615">
      <w:pPr>
        <w:pStyle w:val="SingleTxtG"/>
        <w:rPr>
          <w:lang w:val="fr-FR"/>
        </w:rPr>
      </w:pPr>
      <w:r w:rsidRPr="004C1F88">
        <w:rPr>
          <w:lang w:val="fr-FR"/>
        </w:rPr>
        <w:t>a)</w:t>
      </w:r>
      <w:r w:rsidRPr="004C1F88">
        <w:rPr>
          <w:lang w:val="fr-FR"/>
        </w:rPr>
        <w:tab/>
        <w:t>Pour les combustibles</w:t>
      </w:r>
      <w:r w:rsidR="00785B3D">
        <w:t>*</w:t>
      </w:r>
      <w:r w:rsidRPr="004C1F88">
        <w:rPr>
          <w:lang w:val="fr-FR"/>
        </w:rPr>
        <w:t xml:space="preserve"> liquides, tout robinet d'arrivée situé entre le moteur ou l'équipement et le réservoir de combustible doit être fermé pendant le transport, sauf s'il est indispensable à l'équipement pour demeurer opérationnel. Le cas échéant, les véhicules doivent être chargés debout et être fixés pour ne pas tomber;</w:t>
      </w:r>
    </w:p>
    <w:p w:rsidR="007A3615" w:rsidRPr="004C1F88" w:rsidRDefault="007A3615" w:rsidP="007A3615">
      <w:pPr>
        <w:pStyle w:val="SingleTxtG"/>
        <w:rPr>
          <w:lang w:val="fr-FR"/>
        </w:rPr>
      </w:pPr>
      <w:r w:rsidRPr="004C1F88">
        <w:rPr>
          <w:lang w:val="fr-FR"/>
        </w:rPr>
        <w:t xml:space="preserve">b) </w:t>
      </w:r>
      <w:r w:rsidRPr="004C1F88">
        <w:rPr>
          <w:lang w:val="fr-FR"/>
        </w:rPr>
        <w:tab/>
        <w:t xml:space="preserve">Pour les combustibles gazeux, le robinet d'arrivée situé entre le réservoir à </w:t>
      </w:r>
      <w:r w:rsidR="008261AF">
        <w:rPr>
          <w:lang w:val="fr-FR"/>
        </w:rPr>
        <w:t>gaz</w:t>
      </w:r>
      <w:r w:rsidR="008261AF" w:rsidRPr="004C1F88">
        <w:rPr>
          <w:lang w:val="fr-FR"/>
        </w:rPr>
        <w:t xml:space="preserve"> </w:t>
      </w:r>
      <w:r w:rsidRPr="004C1F88">
        <w:rPr>
          <w:lang w:val="fr-FR"/>
        </w:rPr>
        <w:t>et le moteur doit être fermé et le contact électrique doit être coupé;</w:t>
      </w:r>
    </w:p>
    <w:p w:rsidR="007A3615" w:rsidRPr="004C1F88" w:rsidRDefault="007A3615" w:rsidP="007A3615">
      <w:pPr>
        <w:pStyle w:val="SingleTxtG"/>
        <w:rPr>
          <w:lang w:val="fr-FR"/>
        </w:rPr>
      </w:pPr>
      <w:r w:rsidRPr="004C1F88">
        <w:rPr>
          <w:lang w:val="fr-FR"/>
        </w:rPr>
        <w:t xml:space="preserve">c) </w:t>
      </w:r>
      <w:r w:rsidRPr="004C1F88">
        <w:rPr>
          <w:lang w:val="fr-FR"/>
        </w:rPr>
        <w:tab/>
        <w:t>Les systèmes de stockage à hydrure métallique doivent être agréés par l’autorité compétente du pays de fabrication.  Si le pays de fabrication n'est pas un État partie au RID / une Partie contractante à l'ADR / à l’ADN, l'autorisation doit être reconnue par l'autorité compétente d’un État partie au RID/d’une Partie contractante à l’ADR/à l’ADN;</w:t>
      </w:r>
    </w:p>
    <w:p w:rsidR="007A3615" w:rsidRPr="004C1F88" w:rsidRDefault="007A3615" w:rsidP="007A3615">
      <w:pPr>
        <w:pStyle w:val="SingleTxtG"/>
        <w:rPr>
          <w:lang w:val="fr-FR"/>
        </w:rPr>
      </w:pPr>
      <w:r w:rsidRPr="004C1F88">
        <w:rPr>
          <w:lang w:val="fr-FR"/>
        </w:rPr>
        <w:lastRenderedPageBreak/>
        <w:t xml:space="preserve">d) </w:t>
      </w:r>
      <w:r w:rsidRPr="004C1F88">
        <w:rPr>
          <w:lang w:val="fr-FR"/>
        </w:rPr>
        <w:tab/>
        <w:t>Les dispositions des alinéas a) et b) ne s’appliquent pas aux véhicules qui sont vides de combustibles liquides ou gazeux.</w:t>
      </w:r>
    </w:p>
    <w:p w:rsidR="008261AF" w:rsidRPr="004C1F88" w:rsidRDefault="008261AF" w:rsidP="008261AF">
      <w:pPr>
        <w:pStyle w:val="SingleTxtG"/>
        <w:rPr>
          <w:i/>
          <w:lang w:val="fr-FR"/>
        </w:rPr>
      </w:pPr>
      <w:r w:rsidRPr="004C1F88">
        <w:rPr>
          <w:i/>
          <w:lang w:val="fr-FR"/>
        </w:rPr>
        <w:t xml:space="preserve">NOTA 1: Un véhicule est considéré comme étant exempt de combustible liquide </w:t>
      </w:r>
      <w:r>
        <w:rPr>
          <w:i/>
          <w:lang w:val="fr-FR"/>
        </w:rPr>
        <w:t>si</w:t>
      </w:r>
      <w:r w:rsidRPr="004C1F88">
        <w:rPr>
          <w:i/>
          <w:lang w:val="fr-FR"/>
        </w:rPr>
        <w:t xml:space="preserve"> le réservoir de combustible liquide a été vidangé et que le véhicule ne peut pas fonctionner par manque de combustible. Il n’est pas nécessaire de nettoyer</w:t>
      </w:r>
      <w:r>
        <w:rPr>
          <w:i/>
        </w:rPr>
        <w:t xml:space="preserve">, </w:t>
      </w:r>
      <w:r w:rsidR="00920D8B">
        <w:rPr>
          <w:i/>
        </w:rPr>
        <w:t>vider</w:t>
      </w:r>
      <w:r w:rsidRPr="004C1F88">
        <w:rPr>
          <w:i/>
          <w:lang w:val="fr-FR"/>
        </w:rPr>
        <w:t xml:space="preserve"> ou purger les éléments des véhicules tels que les conduites de combustible, les filtres à combustible et les injecteurs pour qu’ils soient considérés comme exempts de combustible liquide. En outre, il n’est pas nécessaire que le réservoir de combustible liquide soit nettoyé ou purgé.</w:t>
      </w:r>
    </w:p>
    <w:p w:rsidR="008261AF" w:rsidRPr="004C1F88" w:rsidRDefault="008261AF" w:rsidP="008261AF">
      <w:pPr>
        <w:pStyle w:val="SingleTxtG"/>
      </w:pPr>
      <w:r w:rsidRPr="004C1F88">
        <w:rPr>
          <w:i/>
          <w:lang w:val="fr-FR"/>
        </w:rPr>
        <w:t xml:space="preserve">NOTE 2: Un véhicule est considéré comme exempt de combustible gazeux </w:t>
      </w:r>
      <w:r>
        <w:rPr>
          <w:i/>
          <w:lang w:val="fr-FR"/>
        </w:rPr>
        <w:t>si</w:t>
      </w:r>
      <w:r w:rsidRPr="004C1F88">
        <w:rPr>
          <w:i/>
          <w:lang w:val="fr-FR"/>
        </w:rPr>
        <w:t xml:space="preserve"> les réservoirs de combustible gazeux sont exempts de liquide (pour les gaz liquéfiés), la pression </w:t>
      </w:r>
      <w:r>
        <w:rPr>
          <w:i/>
          <w:lang w:val="fr-FR"/>
        </w:rPr>
        <w:t>à l'intérieur des</w:t>
      </w:r>
      <w:r w:rsidRPr="004C1F88">
        <w:rPr>
          <w:i/>
          <w:lang w:val="fr-FR"/>
        </w:rPr>
        <w:t xml:space="preserve"> réservoirs ne dépasse pas 2 bars et la vanne d’arrêt de combustible ou d’isolation est fermé et verrouillé.</w:t>
      </w:r>
      <w:r w:rsidRPr="004C1F88">
        <w:t>».</w:t>
      </w:r>
    </w:p>
    <w:p w:rsidR="00785B3D" w:rsidRDefault="00785B3D" w:rsidP="00785B3D">
      <w:pPr>
        <w:pStyle w:val="SingleTxtG"/>
        <w:rPr>
          <w:i/>
        </w:rPr>
      </w:pPr>
      <w:r w:rsidRPr="00B05FED">
        <w:rPr>
          <w:lang w:val="fr-FR"/>
        </w:rPr>
        <w:t xml:space="preserve">Le texte de </w:t>
      </w:r>
      <w:r>
        <w:rPr>
          <w:lang w:val="fr-FR"/>
        </w:rPr>
        <w:t>la</w:t>
      </w:r>
      <w:r w:rsidRPr="00B05FED">
        <w:rPr>
          <w:lang w:val="fr-FR"/>
        </w:rPr>
        <w:t xml:space="preserve"> note de bas de page </w:t>
      </w:r>
      <w:r>
        <w:rPr>
          <w:lang w:val="fr-FR"/>
        </w:rPr>
        <w:t xml:space="preserve">* </w:t>
      </w:r>
      <w:r w:rsidRPr="00B05FED">
        <w:rPr>
          <w:lang w:val="fr-FR"/>
        </w:rPr>
        <w:t>se lit comme suit:</w:t>
      </w:r>
      <w:r>
        <w:rPr>
          <w:lang w:val="fr-FR"/>
        </w:rPr>
        <w:t xml:space="preserve"> «*</w:t>
      </w:r>
      <w:r>
        <w:rPr>
          <w:lang w:val="fr-FR"/>
        </w:rPr>
        <w:tab/>
        <w:t>Le terme combustible inclut également les carburants.».</w:t>
      </w:r>
      <w:r w:rsidRPr="00301384">
        <w:rPr>
          <w:i/>
        </w:rPr>
        <w:t xml:space="preserve"> </w:t>
      </w:r>
    </w:p>
    <w:p w:rsidR="00785B3D" w:rsidRDefault="00785B3D" w:rsidP="00785B3D">
      <w:pPr>
        <w:pStyle w:val="SingleTxtG"/>
        <w:rPr>
          <w:i/>
        </w:rPr>
      </w:pPr>
      <w:r w:rsidRPr="00301384">
        <w:rPr>
          <w:i/>
        </w:rPr>
        <w:t xml:space="preserve">(Document de référence: document informel INF.39, proposition </w:t>
      </w:r>
      <w:r>
        <w:rPr>
          <w:i/>
        </w:rPr>
        <w:t>4 et ECE/TRANS/WP.15/2015/40 tel que modifié</w:t>
      </w:r>
      <w:r w:rsidRPr="00301384">
        <w:rPr>
          <w:i/>
        </w:rPr>
        <w:t>)</w:t>
      </w:r>
    </w:p>
    <w:p w:rsidR="007A3615" w:rsidRDefault="007A3615" w:rsidP="008261AF">
      <w:pPr>
        <w:pStyle w:val="SingleTxtG"/>
        <w:rPr>
          <w:lang w:val="fr-FR"/>
        </w:rPr>
      </w:pPr>
      <w:r w:rsidRPr="00FB069F">
        <w:rPr>
          <w:lang w:val="fr-FR"/>
        </w:rPr>
        <w:t>«</w:t>
      </w:r>
      <w:r w:rsidR="00ED23F0">
        <w:rPr>
          <w:lang w:val="fr-FR"/>
        </w:rPr>
        <w:t>667</w:t>
      </w:r>
      <w:r w:rsidRPr="00FB069F">
        <w:rPr>
          <w:lang w:val="fr-FR"/>
        </w:rPr>
        <w:tab/>
      </w:r>
      <w:r>
        <w:rPr>
          <w:lang w:val="fr-FR"/>
        </w:rPr>
        <w:t>a)</w:t>
      </w:r>
      <w:r>
        <w:rPr>
          <w:lang w:val="fr-FR"/>
        </w:rPr>
        <w:tab/>
      </w:r>
      <w:r w:rsidRPr="00FB069F">
        <w:rPr>
          <w:lang w:val="fr-FR"/>
        </w:rPr>
        <w:t xml:space="preserve">Les prescriptions du 2.2.9.1.7 a) </w:t>
      </w:r>
      <w:r>
        <w:rPr>
          <w:lang w:val="fr-FR"/>
        </w:rPr>
        <w:t xml:space="preserve">ne s’appliquent pas </w:t>
      </w:r>
      <w:r w:rsidRPr="009E34E5">
        <w:rPr>
          <w:lang w:val="fr-FR"/>
        </w:rPr>
        <w:t xml:space="preserve">aux </w:t>
      </w:r>
      <w:r>
        <w:rPr>
          <w:lang w:val="fr-FR"/>
        </w:rPr>
        <w:t>prototypes de pré-production de</w:t>
      </w:r>
      <w:r w:rsidRPr="009E34E5">
        <w:rPr>
          <w:lang w:val="fr-FR"/>
        </w:rPr>
        <w:t xml:space="preserve"> piles</w:t>
      </w:r>
      <w:r>
        <w:rPr>
          <w:lang w:val="fr-FR"/>
        </w:rPr>
        <w:t xml:space="preserve"> </w:t>
      </w:r>
      <w:r w:rsidR="00785B3D">
        <w:rPr>
          <w:lang w:val="fr-FR"/>
        </w:rPr>
        <w:t xml:space="preserve">ou </w:t>
      </w:r>
      <w:r>
        <w:rPr>
          <w:lang w:val="fr-FR"/>
        </w:rPr>
        <w:t xml:space="preserve">batteries au lithium ni </w:t>
      </w:r>
      <w:r w:rsidRPr="00785B3D">
        <w:rPr>
          <w:lang w:val="fr-FR"/>
        </w:rPr>
        <w:t xml:space="preserve">aux piles </w:t>
      </w:r>
      <w:r w:rsidR="00785B3D">
        <w:rPr>
          <w:lang w:val="fr-FR"/>
        </w:rPr>
        <w:t>ou</w:t>
      </w:r>
      <w:r w:rsidR="00785B3D" w:rsidRPr="00785B3D">
        <w:rPr>
          <w:lang w:val="fr-FR"/>
        </w:rPr>
        <w:t xml:space="preserve"> </w:t>
      </w:r>
      <w:r w:rsidRPr="00785B3D">
        <w:rPr>
          <w:lang w:val="fr-FR"/>
        </w:rPr>
        <w:t>batteries issues de séries de production composées d’au plus 100 piles ou batteries installées dans les véhicules, moteurs ou machines.</w:t>
      </w:r>
    </w:p>
    <w:p w:rsidR="007A3615" w:rsidRDefault="007A3615" w:rsidP="007A3615">
      <w:pPr>
        <w:pStyle w:val="SingleTxtG"/>
        <w:rPr>
          <w:lang w:val="fr-FR"/>
        </w:rPr>
      </w:pPr>
      <w:r>
        <w:rPr>
          <w:lang w:val="fr-FR"/>
        </w:rPr>
        <w:t>b)</w:t>
      </w:r>
      <w:r>
        <w:rPr>
          <w:lang w:val="fr-FR"/>
        </w:rPr>
        <w:tab/>
      </w:r>
      <w:r w:rsidRPr="00FB069F">
        <w:rPr>
          <w:lang w:val="fr-FR"/>
        </w:rPr>
        <w:t>Les prescriptions du 2.2.9.1.7</w:t>
      </w:r>
      <w:r>
        <w:rPr>
          <w:lang w:val="fr-FR"/>
        </w:rPr>
        <w:t xml:space="preserve"> ne s’appliquent </w:t>
      </w:r>
      <w:r w:rsidRPr="00785B3D">
        <w:rPr>
          <w:lang w:val="fr-FR"/>
        </w:rPr>
        <w:t xml:space="preserve">pas aux piles </w:t>
      </w:r>
      <w:r w:rsidR="00785B3D" w:rsidRPr="00785B3D">
        <w:rPr>
          <w:lang w:val="fr-FR"/>
        </w:rPr>
        <w:t xml:space="preserve">ou </w:t>
      </w:r>
      <w:r w:rsidRPr="00785B3D">
        <w:rPr>
          <w:lang w:val="fr-FR"/>
        </w:rPr>
        <w:t>batteries au lithium</w:t>
      </w:r>
      <w:r>
        <w:rPr>
          <w:lang w:val="fr-FR"/>
        </w:rPr>
        <w:t xml:space="preserve"> installées dans des véhicules, moteurs ou machines endommagés ou défectueux</w:t>
      </w:r>
      <w:r w:rsidR="00080A13">
        <w:rPr>
          <w:lang w:val="fr-FR"/>
        </w:rPr>
        <w:t>. Dans ce cas les conditions suivantes doivent être satisfaites:</w:t>
      </w:r>
    </w:p>
    <w:p w:rsidR="007A3615" w:rsidRDefault="007A3615" w:rsidP="007A3615">
      <w:pPr>
        <w:pStyle w:val="SingleTxtG"/>
        <w:rPr>
          <w:lang w:val="fr-FR"/>
        </w:rPr>
      </w:pPr>
      <w:r>
        <w:rPr>
          <w:lang w:val="fr-FR"/>
        </w:rPr>
        <w:t>i)</w:t>
      </w:r>
      <w:r>
        <w:rPr>
          <w:lang w:val="fr-FR"/>
        </w:rPr>
        <w:tab/>
      </w:r>
      <w:r w:rsidRPr="008C23DA">
        <w:rPr>
          <w:lang w:val="fr-FR"/>
        </w:rPr>
        <w:t xml:space="preserve">Si le </w:t>
      </w:r>
      <w:r w:rsidRPr="00785B3D">
        <w:rPr>
          <w:lang w:val="fr-FR"/>
        </w:rPr>
        <w:t>dommage ou défaut n'a pas d'impact significatif sur la sécurité de la pile ou batterie, les véhicules, moteurs ou machines endommagés ou défectueux peuvent être transportés sous les</w:t>
      </w:r>
      <w:r>
        <w:rPr>
          <w:lang w:val="fr-FR"/>
        </w:rPr>
        <w:t xml:space="preserve"> conditions définies dans les dispositions spéciales 363 ou 656, comme approprié;</w:t>
      </w:r>
    </w:p>
    <w:p w:rsidR="007A3615" w:rsidRPr="00785B3D" w:rsidRDefault="007A3615" w:rsidP="007A3615">
      <w:pPr>
        <w:pStyle w:val="SingleTxtG"/>
        <w:rPr>
          <w:lang w:val="fr-FR"/>
        </w:rPr>
      </w:pPr>
      <w:r>
        <w:rPr>
          <w:lang w:val="fr-FR"/>
        </w:rPr>
        <w:t>ii)</w:t>
      </w:r>
      <w:r>
        <w:rPr>
          <w:lang w:val="fr-FR"/>
        </w:rPr>
        <w:tab/>
      </w:r>
      <w:r w:rsidRPr="008C23DA">
        <w:rPr>
          <w:lang w:val="fr-FR"/>
        </w:rPr>
        <w:t xml:space="preserve">Si le dommage </w:t>
      </w:r>
      <w:r w:rsidRPr="00785B3D">
        <w:rPr>
          <w:lang w:val="fr-FR"/>
        </w:rPr>
        <w:t>ou défaut sur le véhicule a un impact significatif sur la sécurité de la pile ou batterie, la pile ou batterie au lithium doit être enlevée et transportée conformément à la disposition spéciale 376.</w:t>
      </w:r>
    </w:p>
    <w:p w:rsidR="007A3615" w:rsidRPr="00FB069F" w:rsidRDefault="007A3615" w:rsidP="00253123">
      <w:pPr>
        <w:pStyle w:val="SingleTxtG"/>
        <w:rPr>
          <w:lang w:val="fr-FR"/>
        </w:rPr>
      </w:pPr>
      <w:r w:rsidRPr="00785B3D">
        <w:rPr>
          <w:lang w:val="fr-FR"/>
        </w:rPr>
        <w:tab/>
        <w:t xml:space="preserve">Cependant, </w:t>
      </w:r>
      <w:r w:rsidRPr="00785B3D">
        <w:rPr>
          <w:rFonts w:ascii="inherit" w:hAnsi="inherit" w:cs="Courier New"/>
          <w:color w:val="212121"/>
          <w:lang w:val="fr-FR" w:eastAsia="fr-FR"/>
        </w:rPr>
        <w:t>s’il n’est pas possible d’enlever en toute sécurité la pile ou batterie ou s’il est impossible d’en vérifier l'état, le véhicule, le moteur ou la machine peut être remorqué ou transporté comme indiqué en i).</w:t>
      </w:r>
      <w:r w:rsidRPr="00785B3D">
        <w:rPr>
          <w:lang w:val="fr-FR"/>
        </w:rPr>
        <w:t>».</w:t>
      </w:r>
    </w:p>
    <w:p w:rsidR="007A3615" w:rsidRDefault="007A3615" w:rsidP="00580013">
      <w:pPr>
        <w:pStyle w:val="SingleTxtG"/>
        <w:rPr>
          <w:i/>
        </w:rPr>
      </w:pPr>
      <w:r w:rsidRPr="00301384">
        <w:rPr>
          <w:i/>
        </w:rPr>
        <w:t xml:space="preserve">(Document de référence: document informel INF.39, proposition </w:t>
      </w:r>
      <w:r>
        <w:rPr>
          <w:i/>
        </w:rPr>
        <w:t>4</w:t>
      </w:r>
      <w:r w:rsidRPr="00301384">
        <w:rPr>
          <w:i/>
        </w:rPr>
        <w:t>)</w:t>
      </w:r>
    </w:p>
    <w:p w:rsidR="00580013" w:rsidRDefault="00580013" w:rsidP="00580013">
      <w:pPr>
        <w:pStyle w:val="SingleTxtG"/>
      </w:pPr>
      <w:r>
        <w:t>«</w:t>
      </w:r>
      <w:r w:rsidR="00ED23F0">
        <w:t>668</w:t>
      </w:r>
      <w:r>
        <w:tab/>
      </w:r>
      <w:r>
        <w:tab/>
        <w:t xml:space="preserve">Les matières destinées au marquage routier transportées à chaud ne sont pas soumises aux </w:t>
      </w:r>
      <w:r w:rsidRPr="0095006F">
        <w:t>autres</w:t>
      </w:r>
      <w:r>
        <w:t xml:space="preserve"> prescriptions du RID / de l’ADR</w:t>
      </w:r>
      <w:r w:rsidR="00920D8B">
        <w:t xml:space="preserve"> / de l'ADN</w:t>
      </w:r>
      <w:r>
        <w:t>, pour autant que les conditions suivantes soient réunies :</w:t>
      </w:r>
    </w:p>
    <w:p w:rsidR="00580013" w:rsidRDefault="00580013" w:rsidP="00580013">
      <w:pPr>
        <w:pStyle w:val="SingleTxtG"/>
      </w:pPr>
      <w:r>
        <w:t>a)</w:t>
      </w:r>
      <w:r>
        <w:tab/>
        <w:t>Elles ne répondent pas aux critères de classes autres que la classe 9;</w:t>
      </w:r>
    </w:p>
    <w:p w:rsidR="00580013" w:rsidRDefault="00580013" w:rsidP="00580013">
      <w:pPr>
        <w:pStyle w:val="SingleTxtG"/>
      </w:pPr>
      <w:r>
        <w:t>b)</w:t>
      </w:r>
      <w:r>
        <w:tab/>
        <w:t>La température de la surface externe de la chaudière ne dépasse pas 70 C;</w:t>
      </w:r>
    </w:p>
    <w:p w:rsidR="00580013" w:rsidRDefault="00580013" w:rsidP="00580013">
      <w:pPr>
        <w:pStyle w:val="SingleTxtG"/>
      </w:pPr>
      <w:r>
        <w:t>c)</w:t>
      </w:r>
      <w:r>
        <w:tab/>
        <w:t>La chaudière est fermée de manière à éviter toute perte de produit pendant le transport;</w:t>
      </w:r>
    </w:p>
    <w:p w:rsidR="00580013" w:rsidRPr="00B33876" w:rsidRDefault="00580013" w:rsidP="00580013">
      <w:pPr>
        <w:pStyle w:val="SingleTxtG"/>
      </w:pPr>
      <w:r>
        <w:t>d)</w:t>
      </w:r>
      <w:r>
        <w:tab/>
        <w:t>La capacité maximale de la chaudière est limitée à 3 000 l.».</w:t>
      </w:r>
    </w:p>
    <w:p w:rsidR="00580013" w:rsidRDefault="00580013" w:rsidP="00580013">
      <w:pPr>
        <w:pStyle w:val="SingleTxtG"/>
        <w:rPr>
          <w:i/>
        </w:rPr>
      </w:pPr>
      <w:r>
        <w:rPr>
          <w:i/>
        </w:rPr>
        <w:t>(Document de référence: ECE/TRANS/WP.15/2015/53 tel que modifié)</w:t>
      </w:r>
    </w:p>
    <w:p w:rsidR="00DA2852" w:rsidRDefault="00DA2852" w:rsidP="00DA2852">
      <w:pPr>
        <w:pStyle w:val="H1G"/>
      </w:pPr>
      <w:r>
        <w:lastRenderedPageBreak/>
        <w:tab/>
      </w:r>
      <w:r>
        <w:tab/>
        <w:t>Chapitre 3.4</w:t>
      </w:r>
    </w:p>
    <w:p w:rsidR="00445D56" w:rsidRDefault="00445D56" w:rsidP="00445D56">
      <w:pPr>
        <w:pStyle w:val="SingleTxtG"/>
        <w:tabs>
          <w:tab w:val="left" w:pos="1985"/>
          <w:tab w:val="left" w:pos="2268"/>
        </w:tabs>
        <w:rPr>
          <w:lang w:val="fr-FR"/>
        </w:rPr>
      </w:pPr>
      <w:r w:rsidRPr="000A40F5">
        <w:rPr>
          <w:lang w:val="fr-FR"/>
        </w:rPr>
        <w:t>3.4.7</w:t>
      </w:r>
      <w:r w:rsidRPr="000A40F5">
        <w:rPr>
          <w:lang w:val="fr-FR"/>
        </w:rPr>
        <w:tab/>
        <w:t xml:space="preserve">L’amendement ne s’applique </w:t>
      </w:r>
      <w:r>
        <w:rPr>
          <w:lang w:val="fr-FR"/>
        </w:rPr>
        <w:t>pas au texte français.</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445D56" w:rsidRPr="009F7406" w:rsidRDefault="00445D56" w:rsidP="00445D56">
      <w:pPr>
        <w:pStyle w:val="SingleTxtG"/>
        <w:tabs>
          <w:tab w:val="left" w:pos="1985"/>
          <w:tab w:val="left" w:pos="2268"/>
        </w:tabs>
        <w:rPr>
          <w:lang w:val="fr-FR"/>
        </w:rPr>
      </w:pPr>
      <w:r w:rsidRPr="000A40F5">
        <w:rPr>
          <w:lang w:val="fr-FR"/>
        </w:rPr>
        <w:t>3.4.8</w:t>
      </w:r>
      <w:r w:rsidRPr="000A40F5">
        <w:rPr>
          <w:lang w:val="fr-FR"/>
        </w:rPr>
        <w:tab/>
        <w:t xml:space="preserve">L’amendement ne s’applique </w:t>
      </w:r>
      <w:r>
        <w:rPr>
          <w:lang w:val="fr-FR"/>
        </w:rPr>
        <w:t>pas au texte français.</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445D56" w:rsidRPr="00866AE4" w:rsidRDefault="00445D56" w:rsidP="00445D56">
      <w:pPr>
        <w:pStyle w:val="SingleTxtG"/>
        <w:ind w:left="2268" w:hanging="1134"/>
        <w:rPr>
          <w:lang w:val="fr-FR"/>
        </w:rPr>
      </w:pPr>
      <w:r w:rsidRPr="00165FD1">
        <w:rPr>
          <w:lang w:val="fr-FR"/>
        </w:rPr>
        <w:t>3.4.8.1</w:t>
      </w:r>
      <w:r w:rsidRPr="00165FD1">
        <w:rPr>
          <w:lang w:val="fr-FR"/>
        </w:rPr>
        <w:tab/>
      </w:r>
      <w:r w:rsidRPr="00866AE4">
        <w:rPr>
          <w:lang w:val="fr-FR"/>
        </w:rPr>
        <w:tab/>
        <w:t>Dans l’avant-d</w:t>
      </w:r>
      <w:r>
        <w:rPr>
          <w:lang w:val="fr-FR"/>
        </w:rPr>
        <w:t>ernière phrase, remplacer «du marquage» par «de la marque</w:t>
      </w:r>
      <w:r w:rsidRPr="00866AE4">
        <w:rPr>
          <w:lang w:val="fr-FR"/>
        </w:rPr>
        <w:t>».</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445D56" w:rsidRDefault="00445D56" w:rsidP="00445D56">
      <w:pPr>
        <w:pStyle w:val="SingleTxtG"/>
        <w:tabs>
          <w:tab w:val="left" w:pos="1985"/>
          <w:tab w:val="left" w:pos="2268"/>
        </w:tabs>
        <w:rPr>
          <w:lang w:val="fr-FR"/>
        </w:rPr>
      </w:pPr>
      <w:r w:rsidRPr="000A40F5">
        <w:rPr>
          <w:rFonts w:eastAsia="Calibri"/>
          <w:lang w:val="fr-FR"/>
        </w:rPr>
        <w:t>3.4.13</w:t>
      </w:r>
      <w:r>
        <w:rPr>
          <w:rFonts w:eastAsia="Calibri"/>
          <w:lang w:val="fr-FR"/>
        </w:rPr>
        <w:t xml:space="preserve"> </w:t>
      </w:r>
      <w:r w:rsidRPr="000A40F5">
        <w:rPr>
          <w:rFonts w:eastAsia="Calibri"/>
          <w:lang w:val="fr-FR"/>
        </w:rPr>
        <w:t>a)</w:t>
      </w:r>
      <w:r w:rsidRPr="000A40F5">
        <w:rPr>
          <w:rFonts w:eastAsia="Calibri"/>
          <w:lang w:val="fr-FR"/>
        </w:rPr>
        <w:tab/>
      </w:r>
      <w:r>
        <w:rPr>
          <w:rFonts w:eastAsia="Calibri"/>
          <w:lang w:val="fr-FR"/>
        </w:rPr>
        <w:t xml:space="preserve">Dans la première phrase, remplacer «un marquage conforme» par «une marque conforme». </w:t>
      </w:r>
      <w:r w:rsidRPr="00C44ABD">
        <w:rPr>
          <w:rFonts w:eastAsia="Calibri"/>
          <w:lang w:val="fr-FR"/>
        </w:rPr>
        <w:t>À la fin, remplacer «le marquage conforme» par «les marques conformes».</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445D56" w:rsidRPr="001F7026" w:rsidRDefault="00445D56" w:rsidP="00445D56">
      <w:pPr>
        <w:pStyle w:val="SingleTxtG"/>
        <w:tabs>
          <w:tab w:val="left" w:pos="1985"/>
          <w:tab w:val="left" w:pos="2268"/>
        </w:tabs>
        <w:rPr>
          <w:lang w:val="fr-FR"/>
        </w:rPr>
      </w:pPr>
      <w:r>
        <w:rPr>
          <w:rFonts w:eastAsia="Calibri"/>
          <w:lang w:val="fr-FR"/>
        </w:rPr>
        <w:t>3.4.13 b)</w:t>
      </w:r>
      <w:r>
        <w:rPr>
          <w:rFonts w:eastAsia="Calibri"/>
          <w:lang w:val="fr-FR"/>
        </w:rPr>
        <w:tab/>
      </w:r>
      <w:r w:rsidRPr="00866AE4">
        <w:rPr>
          <w:lang w:val="fr-FR"/>
        </w:rPr>
        <w:t xml:space="preserve">Dans le </w:t>
      </w:r>
      <w:r>
        <w:rPr>
          <w:lang w:val="fr-FR"/>
        </w:rPr>
        <w:t>premier paragraphe, remplacer «un marquage conforme» par «</w:t>
      </w:r>
      <w:r w:rsidRPr="00866AE4">
        <w:rPr>
          <w:lang w:val="fr-FR"/>
        </w:rPr>
        <w:t xml:space="preserve">des </w:t>
      </w:r>
      <w:r w:rsidRPr="001F7026">
        <w:rPr>
          <w:lang w:val="fr-FR"/>
        </w:rPr>
        <w:t>marques conformes» dans la première phrase et remplacer «le marquage conforme» par «les marques conformes» dans la deuxième phrase. (ADR uniquement:) Modifier le deuxième paragraphe comme suit: «Il n’est pas nécessaire de porter les marques sur l’unité de transport porteuse, sauf lorsque les marques apposées sur les conteneurs ne sont pas visible de l’extérieur de celle-ci. Dans ce dernier cas, la même marque doit également figurer à l’avant et à l’arrière de l’unité de transport.» (RID uniquement:) «Si les marques apposées sur les grands conteneurs ne sont pas visibles de l’extérieur du wagon porteur, les mêmes marques doivent également figurer des deux côtés latéraux du wagon.».</w:t>
      </w:r>
    </w:p>
    <w:p w:rsidR="00445D56" w:rsidRPr="007A5D50" w:rsidRDefault="00445D56" w:rsidP="00445D56">
      <w:pPr>
        <w:pStyle w:val="SingleTxtG"/>
        <w:tabs>
          <w:tab w:val="left" w:pos="1985"/>
        </w:tabs>
        <w:rPr>
          <w:i/>
          <w:lang w:val="fr-FR"/>
        </w:rPr>
      </w:pPr>
      <w:r w:rsidRPr="007A5D50">
        <w:rPr>
          <w:i/>
          <w:lang w:val="fr-FR"/>
        </w:rPr>
        <w:t>(Documents de référence: ECE/TRANS/WP.15/AC.1/2015/29 et document informel INF.8)</w:t>
      </w:r>
    </w:p>
    <w:p w:rsidR="00445D56" w:rsidRPr="001F7026" w:rsidRDefault="00445D56" w:rsidP="00445D56">
      <w:pPr>
        <w:pStyle w:val="SingleTxtG"/>
        <w:tabs>
          <w:tab w:val="left" w:pos="1985"/>
          <w:tab w:val="left" w:pos="2268"/>
        </w:tabs>
        <w:rPr>
          <w:rFonts w:eastAsia="Calibri"/>
          <w:lang w:val="fr-FR"/>
        </w:rPr>
      </w:pPr>
      <w:r w:rsidRPr="001F7026">
        <w:rPr>
          <w:rFonts w:eastAsia="Calibri"/>
          <w:lang w:val="fr-FR"/>
        </w:rPr>
        <w:t>3.4.14</w:t>
      </w:r>
      <w:r w:rsidRPr="001F7026">
        <w:rPr>
          <w:rFonts w:eastAsia="Calibri"/>
          <w:lang w:val="fr-FR"/>
        </w:rPr>
        <w:tab/>
      </w:r>
      <w:r w:rsidRPr="001F7026">
        <w:rPr>
          <w:lang w:val="fr-FR"/>
        </w:rPr>
        <w:t>Remplacer «Le marquage prescrit au 3.4.13 n’est pas obligatoire» par «Les marques prescrites au 3.4.13 ne sont pas obligatoires».</w:t>
      </w:r>
    </w:p>
    <w:p w:rsidR="00445D56" w:rsidRPr="001F7026" w:rsidRDefault="00445D56" w:rsidP="00445D56">
      <w:pPr>
        <w:pStyle w:val="SingleTxtG"/>
        <w:tabs>
          <w:tab w:val="left" w:pos="1985"/>
        </w:tabs>
        <w:rPr>
          <w:i/>
          <w:lang w:val="fr-FR"/>
        </w:rPr>
      </w:pPr>
      <w:r w:rsidRPr="001F7026">
        <w:rPr>
          <w:i/>
          <w:lang w:val="fr-FR"/>
        </w:rPr>
        <w:t>(Documents de référence: ECE/TRANS/WP.15/AC.1/2015/29 et document informel INF.8)</w:t>
      </w:r>
    </w:p>
    <w:p w:rsidR="00534716" w:rsidRDefault="00534716" w:rsidP="00534716">
      <w:pPr>
        <w:pStyle w:val="SingleTxtG"/>
        <w:tabs>
          <w:tab w:val="left" w:pos="1985"/>
          <w:tab w:val="left" w:pos="2268"/>
        </w:tabs>
        <w:rPr>
          <w:rFonts w:eastAsia="Calibri"/>
          <w:lang w:val="fr-FR"/>
        </w:rPr>
      </w:pPr>
      <w:r>
        <w:rPr>
          <w:rFonts w:eastAsia="Calibri"/>
          <w:lang w:val="fr-FR"/>
        </w:rPr>
        <w:t>3.4.15</w:t>
      </w:r>
      <w:r>
        <w:rPr>
          <w:rFonts w:eastAsia="Calibri"/>
          <w:lang w:val="fr-FR"/>
        </w:rPr>
        <w:tab/>
        <w:t>Modifier pour lire comme suit:</w:t>
      </w:r>
    </w:p>
    <w:p w:rsidR="00534716" w:rsidRPr="006C53F4" w:rsidRDefault="00534716" w:rsidP="00534716">
      <w:pPr>
        <w:pStyle w:val="SingleTxtG"/>
        <w:tabs>
          <w:tab w:val="left" w:pos="1985"/>
          <w:tab w:val="left" w:pos="2268"/>
        </w:tabs>
        <w:rPr>
          <w:rFonts w:eastAsia="Calibri"/>
          <w:lang w:val="fr-FR"/>
        </w:rPr>
      </w:pPr>
      <w:r>
        <w:rPr>
          <w:rFonts w:eastAsia="Calibri"/>
          <w:lang w:val="fr-FR"/>
        </w:rPr>
        <w:t>«3.4.15</w:t>
      </w:r>
      <w:r>
        <w:rPr>
          <w:rFonts w:eastAsia="Calibri"/>
          <w:lang w:val="fr-FR"/>
        </w:rPr>
        <w:tab/>
      </w:r>
      <w:r w:rsidRPr="00534716">
        <w:rPr>
          <w:rFonts w:eastAsia="Calibri"/>
          <w:lang w:val="fr-FR"/>
        </w:rPr>
        <w:t>Les marques prescrites au 3.4.13 sont les mêmes que celles prescrites</w:t>
      </w:r>
      <w:r w:rsidRPr="006C53F4">
        <w:rPr>
          <w:rFonts w:eastAsia="Calibri"/>
          <w:lang w:val="fr-FR"/>
        </w:rPr>
        <w:t xml:space="preserve"> au 3.4.7, à l’exception des dimensions minimales qui sont de 250 mm </w:t>
      </w:r>
      <w:r w:rsidRPr="00C13294">
        <w:sym w:font="Symbol" w:char="F0B4"/>
      </w:r>
      <w:r w:rsidRPr="00C13294">
        <w:t xml:space="preserve"> </w:t>
      </w:r>
      <w:r w:rsidRPr="006C53F4">
        <w:rPr>
          <w:rFonts w:eastAsia="Calibri"/>
          <w:lang w:val="fr-FR"/>
        </w:rPr>
        <w:t>250 mm.</w:t>
      </w:r>
      <w:r>
        <w:rPr>
          <w:rFonts w:eastAsia="Calibri"/>
          <w:lang w:val="fr-FR"/>
        </w:rPr>
        <w:t> </w:t>
      </w:r>
      <w:r w:rsidRPr="00534716">
        <w:rPr>
          <w:rFonts w:eastAsia="Calibri"/>
          <w:lang w:val="fr-FR"/>
        </w:rPr>
        <w:t>Ces marques doivent être enlevées ou couvertes si aucune marchandise dangereuse en quantité limitée n’est transportée.</w:t>
      </w:r>
      <w:r>
        <w:rPr>
          <w:rFonts w:eastAsia="Calibri"/>
          <w:lang w:val="fr-FR"/>
        </w:rPr>
        <w:t>».</w:t>
      </w:r>
    </w:p>
    <w:p w:rsidR="00783835" w:rsidRPr="006C53F4" w:rsidRDefault="00783835" w:rsidP="00534716">
      <w:pPr>
        <w:pStyle w:val="SingleTxtG"/>
        <w:rPr>
          <w:i/>
        </w:rPr>
      </w:pPr>
      <w:r w:rsidRPr="006C53F4">
        <w:rPr>
          <w:i/>
        </w:rPr>
        <w:t xml:space="preserve">(Documents de référence: </w:t>
      </w:r>
      <w:r w:rsidR="00FC3FF0">
        <w:rPr>
          <w:i/>
        </w:rPr>
        <w:t>ECE</w:t>
      </w:r>
      <w:r w:rsidR="00FC3FF0" w:rsidRPr="000722E4">
        <w:rPr>
          <w:i/>
        </w:rPr>
        <w:t>/TRANS/WP.15/AC.1/2015/43, 2015/4</w:t>
      </w:r>
      <w:r w:rsidR="00FC3FF0">
        <w:rPr>
          <w:i/>
        </w:rPr>
        <w:t>1</w:t>
      </w:r>
      <w:r w:rsidR="00FC3FF0" w:rsidRPr="000722E4">
        <w:rPr>
          <w:i/>
        </w:rPr>
        <w:t xml:space="preserve">, 2015/47 </w:t>
      </w:r>
      <w:r w:rsidR="00FC3FF0">
        <w:rPr>
          <w:i/>
        </w:rPr>
        <w:t>tels que modifiés et</w:t>
      </w:r>
      <w:r w:rsidR="00FC3FF0" w:rsidRPr="000722E4">
        <w:rPr>
          <w:i/>
        </w:rPr>
        <w:t xml:space="preserve"> 2015/29</w:t>
      </w:r>
      <w:r w:rsidRPr="006C53F4">
        <w:rPr>
          <w:i/>
        </w:rPr>
        <w:t>)</w:t>
      </w:r>
    </w:p>
    <w:p w:rsidR="004C73C2" w:rsidRPr="00D345C7" w:rsidRDefault="004C73C2" w:rsidP="004C73C2">
      <w:pPr>
        <w:pStyle w:val="H1G"/>
        <w:rPr>
          <w:lang w:val="fr-FR"/>
        </w:rPr>
      </w:pPr>
      <w:r w:rsidRPr="00D345C7">
        <w:rPr>
          <w:lang w:val="fr-FR"/>
        </w:rPr>
        <w:tab/>
      </w:r>
      <w:r w:rsidRPr="00D345C7">
        <w:rPr>
          <w:lang w:val="fr-FR"/>
        </w:rPr>
        <w:tab/>
        <w:t>Chapitre 4.1</w:t>
      </w:r>
    </w:p>
    <w:p w:rsidR="001E01B4" w:rsidRPr="000A40F5" w:rsidRDefault="001E01B4" w:rsidP="001E01B4">
      <w:pPr>
        <w:pStyle w:val="SingleTxtG"/>
        <w:tabs>
          <w:tab w:val="left" w:pos="1985"/>
        </w:tabs>
        <w:rPr>
          <w:lang w:val="fr-FR"/>
        </w:rPr>
      </w:pPr>
      <w:r w:rsidRPr="000A40F5">
        <w:rPr>
          <w:lang w:val="fr-FR"/>
        </w:rPr>
        <w:t>4.1.1.1</w:t>
      </w:r>
      <w:r w:rsidRPr="000A40F5">
        <w:rPr>
          <w:lang w:val="fr-FR"/>
        </w:rPr>
        <w:tab/>
      </w:r>
      <w:r w:rsidRPr="000A40F5">
        <w:rPr>
          <w:lang w:val="fr-FR"/>
        </w:rPr>
        <w:tab/>
        <w:t xml:space="preserve">L’amendement ne s’applique </w:t>
      </w:r>
      <w:r>
        <w:rPr>
          <w:lang w:val="fr-FR"/>
        </w:rPr>
        <w:t>pas au texte français.</w:t>
      </w:r>
    </w:p>
    <w:p w:rsidR="005E72C2" w:rsidRDefault="005E72C2" w:rsidP="005E72C2">
      <w:pPr>
        <w:pStyle w:val="SingleTxtG"/>
        <w:rPr>
          <w:i/>
        </w:rPr>
      </w:pPr>
      <w:r>
        <w:rPr>
          <w:i/>
        </w:rPr>
        <w:t>(Référence: ECE/TRANS/WP.15/AC.1/2015/29)</w:t>
      </w:r>
    </w:p>
    <w:p w:rsidR="005E72C2" w:rsidRDefault="005E72C2" w:rsidP="005E72C2">
      <w:pPr>
        <w:pStyle w:val="SingleTxtG"/>
        <w:tabs>
          <w:tab w:val="left" w:pos="1985"/>
          <w:tab w:val="left" w:pos="2268"/>
        </w:tabs>
        <w:rPr>
          <w:lang w:val="fr-FR"/>
        </w:rPr>
      </w:pPr>
      <w:r>
        <w:rPr>
          <w:lang w:val="fr-FR"/>
        </w:rPr>
        <w:t>4.1.1.17</w:t>
      </w:r>
      <w:r>
        <w:rPr>
          <w:lang w:val="fr-FR"/>
        </w:rPr>
        <w:tab/>
        <w:t>Remplacer «</w:t>
      </w:r>
      <w:r>
        <w:rPr>
          <w:rFonts w:ascii="TimesNewRomanPSMT" w:hAnsi="TimesNewRomanPSMT" w:cs="TimesNewRomanPSMT"/>
          <w:lang w:val="fr-FR" w:eastAsia="fr-FR"/>
        </w:rPr>
        <w:t>le marquage correspond</w:t>
      </w:r>
      <w:r>
        <w:rPr>
          <w:lang w:val="fr-FR"/>
        </w:rPr>
        <w:t>» par «les marques correspondent».</w:t>
      </w:r>
    </w:p>
    <w:p w:rsidR="005E72C2" w:rsidRPr="007A5D50" w:rsidRDefault="005E72C2" w:rsidP="005E72C2">
      <w:pPr>
        <w:pStyle w:val="SingleTxtG"/>
        <w:tabs>
          <w:tab w:val="left" w:pos="1985"/>
        </w:tabs>
        <w:rPr>
          <w:i/>
          <w:lang w:val="fr-FR"/>
        </w:rPr>
      </w:pPr>
      <w:r w:rsidRPr="007A5D50">
        <w:rPr>
          <w:i/>
          <w:lang w:val="fr-FR"/>
        </w:rPr>
        <w:t>(Documents de référence: ECE/TRANS/WP.15/AC.1/2015/29 et document informel INF.8)</w:t>
      </w:r>
    </w:p>
    <w:p w:rsidR="001E01B4" w:rsidRDefault="001E01B4" w:rsidP="001E01B4">
      <w:pPr>
        <w:pStyle w:val="SingleTxtG"/>
        <w:tabs>
          <w:tab w:val="left" w:pos="1985"/>
        </w:tabs>
        <w:rPr>
          <w:lang w:val="fr-FR"/>
        </w:rPr>
      </w:pPr>
      <w:r>
        <w:rPr>
          <w:lang w:val="fr-FR"/>
        </w:rPr>
        <w:t xml:space="preserve">4.1.3.8.1 </w:t>
      </w:r>
      <w:r w:rsidRPr="000A40F5">
        <w:rPr>
          <w:lang w:val="fr-FR"/>
        </w:rPr>
        <w:t>a)</w:t>
      </w:r>
      <w:r w:rsidRPr="000A40F5">
        <w:rPr>
          <w:lang w:val="fr-FR"/>
        </w:rPr>
        <w:tab/>
        <w:t xml:space="preserve">L’amendement ne s’applique </w:t>
      </w:r>
      <w:r>
        <w:rPr>
          <w:lang w:val="fr-FR"/>
        </w:rPr>
        <w:t>pas au texte français.</w:t>
      </w:r>
    </w:p>
    <w:p w:rsidR="005E72C2" w:rsidRDefault="005E72C2" w:rsidP="005E72C2">
      <w:pPr>
        <w:pStyle w:val="SingleTxtG"/>
        <w:rPr>
          <w:i/>
        </w:rPr>
      </w:pPr>
      <w:r>
        <w:rPr>
          <w:i/>
        </w:rPr>
        <w:t>(Référence: ECE/TRANS/WP.15/AC.1/2015/29)</w:t>
      </w:r>
    </w:p>
    <w:p w:rsidR="001E01B4" w:rsidRPr="000A40F5" w:rsidRDefault="001E01B4" w:rsidP="001E01B4">
      <w:pPr>
        <w:pStyle w:val="SingleTxtG"/>
        <w:tabs>
          <w:tab w:val="left" w:pos="1985"/>
        </w:tabs>
        <w:rPr>
          <w:lang w:val="fr-FR"/>
        </w:rPr>
      </w:pPr>
      <w:r>
        <w:rPr>
          <w:lang w:val="fr-FR"/>
        </w:rPr>
        <w:t xml:space="preserve">4.1.3.8.1 </w:t>
      </w:r>
      <w:r w:rsidRPr="000A40F5">
        <w:rPr>
          <w:lang w:val="fr-FR"/>
        </w:rPr>
        <w:t>e)</w:t>
      </w:r>
      <w:r w:rsidRPr="000A40F5">
        <w:rPr>
          <w:lang w:val="fr-FR"/>
        </w:rPr>
        <w:tab/>
      </w:r>
      <w:r>
        <w:rPr>
          <w:lang w:val="fr-FR"/>
        </w:rPr>
        <w:t>Remplacer</w:t>
      </w:r>
      <w:r w:rsidRPr="000A40F5">
        <w:rPr>
          <w:lang w:val="fr-FR"/>
        </w:rPr>
        <w:t xml:space="preserve"> </w:t>
      </w:r>
      <w:r>
        <w:rPr>
          <w:lang w:val="fr-FR"/>
        </w:rPr>
        <w:t xml:space="preserve">«au wagon / à </w:t>
      </w:r>
      <w:r>
        <w:rPr>
          <w:rFonts w:ascii="TimesNewRomanPSMT" w:hAnsi="TimesNewRomanPSMT" w:cs="TimesNewRomanPSMT"/>
          <w:lang w:val="fr-FR" w:eastAsia="fr-FR"/>
        </w:rPr>
        <w:t>l'unité de transport ou conteneur</w:t>
      </w:r>
      <w:r>
        <w:rPr>
          <w:lang w:val="fr-FR"/>
        </w:rPr>
        <w:t>» par «à l’engin de transport».</w:t>
      </w:r>
      <w:r w:rsidRPr="000A40F5">
        <w:rPr>
          <w:lang w:val="fr-FR"/>
        </w:rPr>
        <w:t xml:space="preserve"> </w:t>
      </w:r>
    </w:p>
    <w:p w:rsidR="005E72C2" w:rsidRDefault="005E72C2" w:rsidP="005E72C2">
      <w:pPr>
        <w:pStyle w:val="SingleTxtG"/>
        <w:rPr>
          <w:i/>
        </w:rPr>
      </w:pPr>
      <w:r>
        <w:rPr>
          <w:i/>
        </w:rPr>
        <w:lastRenderedPageBreak/>
        <w:t>(Référence: ECE/TRANS/WP.15/AC.1/2015/29)</w:t>
      </w:r>
    </w:p>
    <w:p w:rsidR="005E72C2" w:rsidRDefault="005E72C2" w:rsidP="005E72C2">
      <w:pPr>
        <w:pStyle w:val="SingleTxtG"/>
        <w:tabs>
          <w:tab w:val="left" w:pos="1843"/>
          <w:tab w:val="left" w:pos="1985"/>
          <w:tab w:val="left" w:pos="2268"/>
        </w:tabs>
        <w:rPr>
          <w:rFonts w:eastAsia="Calibri"/>
          <w:lang w:val="fr-FR"/>
        </w:rPr>
      </w:pPr>
      <w:r w:rsidRPr="000A40F5">
        <w:rPr>
          <w:lang w:val="fr-FR"/>
        </w:rPr>
        <w:t>4.1</w:t>
      </w:r>
      <w:r>
        <w:rPr>
          <w:lang w:val="fr-FR"/>
        </w:rPr>
        <w:t>.4.1, instruction d’emballage P200 12) 4. et Nota</w:t>
      </w:r>
      <w:r w:rsidRPr="000A40F5">
        <w:rPr>
          <w:lang w:val="fr-FR"/>
        </w:rPr>
        <w:tab/>
      </w:r>
      <w:r>
        <w:rPr>
          <w:lang w:val="fr-FR"/>
        </w:rPr>
        <w:t>Dans la première phrase sous le titre, remplacer «</w:t>
      </w:r>
      <w:r>
        <w:rPr>
          <w:rFonts w:ascii="TimesNewRomanPSMT" w:hAnsi="TimesNewRomanPSMT" w:cs="TimesNewRomanPSMT"/>
          <w:lang w:val="fr-FR" w:eastAsia="fr-FR"/>
        </w:rPr>
        <w:t>le marquage "P15Y"</w:t>
      </w:r>
      <w:r>
        <w:rPr>
          <w:lang w:val="fr-FR"/>
        </w:rPr>
        <w:t>» par «</w:t>
      </w:r>
      <w:r>
        <w:rPr>
          <w:rFonts w:ascii="TimesNewRomanPSMT" w:hAnsi="TimesNewRomanPSMT" w:cs="TimesNewRomanPSMT"/>
          <w:lang w:val="fr-FR" w:eastAsia="fr-FR"/>
        </w:rPr>
        <w:t>la marque "P15Y"</w:t>
      </w:r>
      <w:r>
        <w:rPr>
          <w:lang w:val="fr-FR"/>
        </w:rPr>
        <w:t>». Dans la deuxième phrase, remplacer «</w:t>
      </w:r>
      <w:r>
        <w:rPr>
          <w:rFonts w:ascii="TimesNewRomanPSMT" w:hAnsi="TimesNewRomanPSMT" w:cs="TimesNewRomanPSMT"/>
          <w:lang w:val="fr-FR" w:eastAsia="fr-FR"/>
        </w:rPr>
        <w:t>Ce marquage doit être enlevé</w:t>
      </w:r>
      <w:r>
        <w:rPr>
          <w:lang w:val="fr-FR"/>
        </w:rPr>
        <w:t>» par «</w:t>
      </w:r>
      <w:r>
        <w:rPr>
          <w:rFonts w:ascii="TimesNewRomanPSMT" w:hAnsi="TimesNewRomanPSMT" w:cs="TimesNewRomanPSMT"/>
          <w:lang w:val="fr-FR" w:eastAsia="fr-FR"/>
        </w:rPr>
        <w:t>Cette marque doit être enlevée</w:t>
      </w:r>
      <w:r>
        <w:rPr>
          <w:lang w:val="fr-FR"/>
        </w:rPr>
        <w:t>». Dans le Nota, remplacer «</w:t>
      </w:r>
      <w:r w:rsidRPr="00E37FDF">
        <w:rPr>
          <w:lang w:val="fr-FR"/>
        </w:rPr>
        <w:t>Ce marquage ne doit pas être appliqué</w:t>
      </w:r>
      <w:r>
        <w:rPr>
          <w:lang w:val="fr-FR"/>
        </w:rPr>
        <w:t>» par «</w:t>
      </w:r>
      <w:r w:rsidRPr="00E37FDF">
        <w:rPr>
          <w:lang w:val="fr-FR"/>
        </w:rPr>
        <w:t>Ce</w:t>
      </w:r>
      <w:r>
        <w:rPr>
          <w:lang w:val="fr-FR"/>
        </w:rPr>
        <w:t>tte marqu</w:t>
      </w:r>
      <w:r w:rsidRPr="00E37FDF">
        <w:rPr>
          <w:lang w:val="fr-FR"/>
        </w:rPr>
        <w:t>e ne doit pas être appliqué</w:t>
      </w:r>
      <w:r>
        <w:rPr>
          <w:lang w:val="fr-FR"/>
        </w:rPr>
        <w:t>e».</w:t>
      </w:r>
    </w:p>
    <w:p w:rsidR="005E72C2" w:rsidRPr="007A5D50" w:rsidRDefault="005E72C2" w:rsidP="005E72C2">
      <w:pPr>
        <w:pStyle w:val="SingleTxtG"/>
        <w:tabs>
          <w:tab w:val="left" w:pos="1985"/>
        </w:tabs>
        <w:rPr>
          <w:i/>
          <w:lang w:val="fr-FR"/>
        </w:rPr>
      </w:pPr>
      <w:r w:rsidRPr="007A5D50">
        <w:rPr>
          <w:i/>
          <w:lang w:val="fr-FR"/>
        </w:rPr>
        <w:t>(Documents de référence: ECE/TRANS/WP.15/AC.1/2015/29 et document informel INF.8)</w:t>
      </w:r>
    </w:p>
    <w:p w:rsidR="005E72C2" w:rsidRDefault="005E72C2" w:rsidP="005E72C2">
      <w:pPr>
        <w:pStyle w:val="SingleTxtG"/>
        <w:tabs>
          <w:tab w:val="left" w:pos="1843"/>
          <w:tab w:val="left" w:pos="1985"/>
          <w:tab w:val="left" w:pos="2268"/>
        </w:tabs>
        <w:rPr>
          <w:rFonts w:eastAsia="Calibri"/>
          <w:lang w:val="fr-FR"/>
        </w:rPr>
      </w:pPr>
      <w:r w:rsidRPr="000A40F5">
        <w:rPr>
          <w:lang w:val="fr-FR"/>
        </w:rPr>
        <w:t>4.1</w:t>
      </w:r>
      <w:r>
        <w:rPr>
          <w:lang w:val="fr-FR"/>
        </w:rPr>
        <w:t>.4.1, instruction d’emballage P200 13) 4.</w:t>
      </w:r>
      <w:r w:rsidRPr="000A40F5">
        <w:rPr>
          <w:lang w:val="fr-FR"/>
        </w:rPr>
        <w:tab/>
      </w:r>
      <w:r>
        <w:rPr>
          <w:lang w:val="fr-FR"/>
        </w:rPr>
        <w:t>Dans la première phrase sous le titre, remplacer «</w:t>
      </w:r>
      <w:r>
        <w:rPr>
          <w:rFonts w:ascii="TimesNewRomanPSMT" w:hAnsi="TimesNewRomanPSMT" w:cs="TimesNewRomanPSMT"/>
          <w:lang w:val="fr-FR" w:eastAsia="fr-FR"/>
        </w:rPr>
        <w:t>le marquage "P15Y"</w:t>
      </w:r>
      <w:r>
        <w:rPr>
          <w:lang w:val="fr-FR"/>
        </w:rPr>
        <w:t>» par «</w:t>
      </w:r>
      <w:r>
        <w:rPr>
          <w:rFonts w:ascii="TimesNewRomanPSMT" w:hAnsi="TimesNewRomanPSMT" w:cs="TimesNewRomanPSMT"/>
          <w:lang w:val="fr-FR" w:eastAsia="fr-FR"/>
        </w:rPr>
        <w:t>la marque "P15Y"</w:t>
      </w:r>
      <w:r>
        <w:rPr>
          <w:lang w:val="fr-FR"/>
        </w:rPr>
        <w:t>». Dans la deuxième phrase, remplacer «</w:t>
      </w:r>
      <w:r>
        <w:rPr>
          <w:rFonts w:ascii="TimesNewRomanPSMT" w:hAnsi="TimesNewRomanPSMT" w:cs="TimesNewRomanPSMT"/>
          <w:lang w:val="fr-FR" w:eastAsia="fr-FR"/>
        </w:rPr>
        <w:t>Ce marquage doit être enlevé</w:t>
      </w:r>
      <w:r>
        <w:rPr>
          <w:lang w:val="fr-FR"/>
        </w:rPr>
        <w:t>» par «</w:t>
      </w:r>
      <w:r>
        <w:rPr>
          <w:rFonts w:ascii="TimesNewRomanPSMT" w:hAnsi="TimesNewRomanPSMT" w:cs="TimesNewRomanPSMT"/>
          <w:lang w:val="fr-FR" w:eastAsia="fr-FR"/>
        </w:rPr>
        <w:t>Cette marque doit être enlevée</w:t>
      </w:r>
      <w:r>
        <w:rPr>
          <w:lang w:val="fr-FR"/>
        </w:rPr>
        <w:t>».</w:t>
      </w:r>
    </w:p>
    <w:p w:rsidR="005E72C2" w:rsidRPr="007A5D50" w:rsidRDefault="005E72C2" w:rsidP="005E72C2">
      <w:pPr>
        <w:pStyle w:val="SingleTxtG"/>
        <w:tabs>
          <w:tab w:val="left" w:pos="1985"/>
        </w:tabs>
        <w:rPr>
          <w:i/>
          <w:lang w:val="fr-FR"/>
        </w:rPr>
      </w:pPr>
      <w:r w:rsidRPr="007A5D50">
        <w:rPr>
          <w:i/>
          <w:lang w:val="fr-FR"/>
        </w:rPr>
        <w:t>(Documents de référence: ECE/TRANS/WP.15/AC.1/2015/29 et document informel INF.8)</w:t>
      </w:r>
    </w:p>
    <w:p w:rsidR="001E01B4" w:rsidRDefault="001E01B4" w:rsidP="001E01B4">
      <w:pPr>
        <w:pStyle w:val="SingleTxtG"/>
        <w:tabs>
          <w:tab w:val="left" w:pos="2552"/>
        </w:tabs>
      </w:pPr>
      <w:r w:rsidRPr="00171A58">
        <w:t>4.1.4.1, P650 1)</w:t>
      </w:r>
      <w:r w:rsidRPr="00171A58">
        <w:tab/>
      </w:r>
      <w:r w:rsidRPr="00D81C15">
        <w:t>Remplacer «</w:t>
      </w:r>
      <w:r>
        <w:t>wagons/</w:t>
      </w:r>
      <w:r w:rsidRPr="00D81C15">
        <w:rPr>
          <w:rFonts w:ascii="TimesNewRomanPSMT" w:hAnsi="TimesNewRomanPSMT" w:cs="TimesNewRomanPSMT"/>
          <w:lang w:val="fr-FR" w:eastAsia="fr-FR"/>
        </w:rPr>
        <w:t>véhicules ou conteneurs</w:t>
      </w:r>
      <w:r w:rsidRPr="00D81C15">
        <w:t>» par «engins de transport»</w:t>
      </w:r>
      <w:r>
        <w:t xml:space="preserve"> (deux fois)</w:t>
      </w:r>
      <w:r w:rsidRPr="00D81C15">
        <w:t>.</w:t>
      </w:r>
    </w:p>
    <w:p w:rsidR="006532A5" w:rsidRDefault="006532A5" w:rsidP="006532A5">
      <w:pPr>
        <w:pStyle w:val="SingleTxtG"/>
        <w:rPr>
          <w:i/>
        </w:rPr>
      </w:pPr>
      <w:r>
        <w:rPr>
          <w:i/>
        </w:rPr>
        <w:t>(Référence: ECE/TRANS/WP.15/AC.1/2015/29)</w:t>
      </w:r>
    </w:p>
    <w:p w:rsidR="001E01B4" w:rsidRDefault="001E01B4" w:rsidP="001E01B4">
      <w:pPr>
        <w:pStyle w:val="SingleTxtG"/>
        <w:tabs>
          <w:tab w:val="left" w:pos="2552"/>
        </w:tabs>
      </w:pPr>
      <w:r w:rsidRPr="00171A58">
        <w:t>4.1.4.1, P650 14)</w:t>
      </w:r>
      <w:r w:rsidRPr="00171A58">
        <w:tab/>
      </w:r>
      <w:r>
        <w:t>R</w:t>
      </w:r>
      <w:r w:rsidRPr="00D81C15">
        <w:t>emplacer «</w:t>
      </w:r>
      <w:r>
        <w:t>wagons/</w:t>
      </w:r>
      <w:r>
        <w:rPr>
          <w:rFonts w:ascii="TimesNewRomanPSMT" w:hAnsi="TimesNewRomanPSMT" w:cs="TimesNewRomanPSMT"/>
          <w:lang w:val="fr-FR" w:eastAsia="fr-FR"/>
        </w:rPr>
        <w:t>véhicule ou conteneur</w:t>
      </w:r>
      <w:r w:rsidRPr="00D81C15">
        <w:t>» par «</w:t>
      </w:r>
      <w:r>
        <w:t>engin</w:t>
      </w:r>
      <w:r w:rsidRPr="00D81C15">
        <w:t xml:space="preserve"> de transport»</w:t>
      </w:r>
      <w:r>
        <w:t xml:space="preserve"> (deux fois)</w:t>
      </w:r>
      <w:r w:rsidRPr="00D81C15">
        <w:t>.</w:t>
      </w:r>
    </w:p>
    <w:p w:rsidR="006532A5" w:rsidRDefault="006532A5" w:rsidP="006532A5">
      <w:pPr>
        <w:pStyle w:val="SingleTxtG"/>
        <w:rPr>
          <w:i/>
        </w:rPr>
      </w:pPr>
      <w:r>
        <w:rPr>
          <w:i/>
        </w:rPr>
        <w:t>(Référence: ECE/TRANS/WP.15/AC.1/2015/29)</w:t>
      </w:r>
    </w:p>
    <w:p w:rsidR="001E01B4" w:rsidRPr="00C63BC7" w:rsidRDefault="001E01B4" w:rsidP="001E01B4">
      <w:pPr>
        <w:pStyle w:val="SingleTxtG"/>
        <w:tabs>
          <w:tab w:val="left" w:pos="2410"/>
          <w:tab w:val="left" w:pos="2552"/>
        </w:tabs>
      </w:pPr>
      <w:r w:rsidRPr="0052084A">
        <w:t>4.1.4.1, P902</w:t>
      </w:r>
      <w:r w:rsidRPr="0052084A">
        <w:tab/>
      </w:r>
      <w:r>
        <w:t>Sous «</w:t>
      </w:r>
      <w:r w:rsidRPr="00F203FD">
        <w:t>Objets non emballés:</w:t>
      </w:r>
      <w:r>
        <w:t>»</w:t>
      </w:r>
      <w:r w:rsidRPr="0052084A">
        <w:t xml:space="preserve">, </w:t>
      </w:r>
      <w:r>
        <w:t>r</w:t>
      </w:r>
      <w:r w:rsidRPr="00D81C15">
        <w:t>emplacer «</w:t>
      </w:r>
      <w:r>
        <w:t>des wagons/</w:t>
      </w:r>
      <w:r w:rsidRPr="00D81C15">
        <w:rPr>
          <w:rFonts w:ascii="TimesNewRomanPSMT" w:hAnsi="TimesNewRomanPSMT" w:cs="TimesNewRomanPSMT"/>
          <w:lang w:val="fr-FR" w:eastAsia="fr-FR"/>
        </w:rPr>
        <w:t xml:space="preserve">véhicules ou </w:t>
      </w:r>
      <w:r>
        <w:rPr>
          <w:rFonts w:ascii="TimesNewRomanPSMT" w:hAnsi="TimesNewRomanPSMT" w:cs="TimesNewRomanPSMT"/>
          <w:lang w:val="fr-FR" w:eastAsia="fr-FR"/>
        </w:rPr>
        <w:t xml:space="preserve">des </w:t>
      </w:r>
      <w:r w:rsidRPr="00D81C15">
        <w:rPr>
          <w:rFonts w:ascii="TimesNewRomanPSMT" w:hAnsi="TimesNewRomanPSMT" w:cs="TimesNewRomanPSMT"/>
          <w:lang w:val="fr-FR" w:eastAsia="fr-FR"/>
        </w:rPr>
        <w:t>conteneurs</w:t>
      </w:r>
      <w:r w:rsidRPr="00D81C15">
        <w:t>» par «</w:t>
      </w:r>
      <w:r>
        <w:t xml:space="preserve">des </w:t>
      </w:r>
      <w:r w:rsidRPr="00D81C15">
        <w:t>engins de transport»</w:t>
      </w:r>
    </w:p>
    <w:p w:rsidR="006532A5" w:rsidRDefault="006532A5" w:rsidP="006532A5">
      <w:pPr>
        <w:pStyle w:val="SingleTxtG"/>
        <w:rPr>
          <w:i/>
        </w:rPr>
      </w:pPr>
      <w:r>
        <w:rPr>
          <w:i/>
        </w:rPr>
        <w:t>(Référence: ECE/TRANS/WP.15/AC.1/2015/29)</w:t>
      </w:r>
    </w:p>
    <w:p w:rsidR="001E01B4" w:rsidRDefault="001E01B4" w:rsidP="001E01B4">
      <w:pPr>
        <w:pStyle w:val="SingleTxtG"/>
        <w:tabs>
          <w:tab w:val="left" w:pos="2268"/>
          <w:tab w:val="left" w:pos="2410"/>
        </w:tabs>
      </w:pPr>
      <w:r w:rsidRPr="00C63BC7">
        <w:t>4.1.4.</w:t>
      </w:r>
      <w:r>
        <w:t>3</w:t>
      </w:r>
      <w:r w:rsidRPr="00C63BC7">
        <w:t>, LP902</w:t>
      </w:r>
      <w:r>
        <w:tab/>
        <w:t>Sous «</w:t>
      </w:r>
      <w:r w:rsidRPr="00F203FD">
        <w:t>Objets non emballés:</w:t>
      </w:r>
      <w:r>
        <w:t>»</w:t>
      </w:r>
      <w:r w:rsidRPr="0052084A">
        <w:t xml:space="preserve">, </w:t>
      </w:r>
      <w:r>
        <w:t>r</w:t>
      </w:r>
      <w:r w:rsidRPr="00D81C15">
        <w:t>emplacer «</w:t>
      </w:r>
      <w:r>
        <w:t>des wagons/</w:t>
      </w:r>
      <w:r w:rsidRPr="00D81C15">
        <w:rPr>
          <w:rFonts w:ascii="TimesNewRomanPSMT" w:hAnsi="TimesNewRomanPSMT" w:cs="TimesNewRomanPSMT"/>
          <w:lang w:val="fr-FR" w:eastAsia="fr-FR"/>
        </w:rPr>
        <w:t xml:space="preserve">véhicules ou </w:t>
      </w:r>
      <w:r>
        <w:rPr>
          <w:rFonts w:ascii="TimesNewRomanPSMT" w:hAnsi="TimesNewRomanPSMT" w:cs="TimesNewRomanPSMT"/>
          <w:lang w:val="fr-FR" w:eastAsia="fr-FR"/>
        </w:rPr>
        <w:t xml:space="preserve">des </w:t>
      </w:r>
      <w:r w:rsidRPr="00D81C15">
        <w:rPr>
          <w:rFonts w:ascii="TimesNewRomanPSMT" w:hAnsi="TimesNewRomanPSMT" w:cs="TimesNewRomanPSMT"/>
          <w:lang w:val="fr-FR" w:eastAsia="fr-FR"/>
        </w:rPr>
        <w:t>conteneurs</w:t>
      </w:r>
      <w:r w:rsidRPr="00D81C15">
        <w:t>» par «</w:t>
      </w:r>
      <w:r>
        <w:t xml:space="preserve">des </w:t>
      </w:r>
      <w:r w:rsidRPr="00D81C15">
        <w:t>engins de transport»</w:t>
      </w:r>
    </w:p>
    <w:p w:rsidR="006532A5" w:rsidRDefault="006532A5" w:rsidP="006532A5">
      <w:pPr>
        <w:pStyle w:val="SingleTxtG"/>
        <w:rPr>
          <w:i/>
        </w:rPr>
      </w:pPr>
      <w:r>
        <w:rPr>
          <w:i/>
        </w:rPr>
        <w:t>(Référence: ECE/TRANS/WP.15/AC.1/2015/29)</w:t>
      </w:r>
    </w:p>
    <w:p w:rsidR="00724517" w:rsidRPr="00A5379B" w:rsidRDefault="00724517" w:rsidP="00724517">
      <w:pPr>
        <w:pStyle w:val="H1G"/>
      </w:pPr>
      <w:r w:rsidRPr="00A5379B">
        <w:tab/>
      </w:r>
      <w:r w:rsidRPr="00A5379B">
        <w:tab/>
        <w:t xml:space="preserve">Chapitre </w:t>
      </w:r>
      <w:r>
        <w:t>4.2</w:t>
      </w:r>
    </w:p>
    <w:p w:rsidR="00724517" w:rsidRPr="00D44543" w:rsidRDefault="00724517" w:rsidP="00724517">
      <w:pPr>
        <w:pStyle w:val="SingleTxtG"/>
        <w:tabs>
          <w:tab w:val="left" w:pos="1985"/>
        </w:tabs>
        <w:rPr>
          <w:lang w:val="fr-FR"/>
        </w:rPr>
      </w:pPr>
      <w:r w:rsidRPr="00D44543">
        <w:rPr>
          <w:lang w:val="fr-FR"/>
        </w:rPr>
        <w:t>4.2.5.3</w:t>
      </w:r>
      <w:r w:rsidRPr="00D44543">
        <w:rPr>
          <w:lang w:val="fr-FR"/>
        </w:rPr>
        <w:tab/>
      </w:r>
      <w:r>
        <w:rPr>
          <w:lang w:val="fr-FR"/>
        </w:rPr>
        <w:t xml:space="preserve">Supprimer </w:t>
      </w:r>
      <w:r w:rsidR="00A27297">
        <w:rPr>
          <w:lang w:val="fr-FR"/>
        </w:rPr>
        <w:t>les</w:t>
      </w:r>
      <w:r w:rsidR="00A27297" w:rsidRPr="00D44543">
        <w:rPr>
          <w:lang w:val="fr-FR"/>
        </w:rPr>
        <w:t xml:space="preserve"> </w:t>
      </w:r>
      <w:r w:rsidRPr="00D44543">
        <w:rPr>
          <w:lang w:val="fr-FR"/>
        </w:rPr>
        <w:t>disposition</w:t>
      </w:r>
      <w:r w:rsidR="00A27297">
        <w:rPr>
          <w:lang w:val="fr-FR"/>
        </w:rPr>
        <w:t>s</w:t>
      </w:r>
      <w:r w:rsidRPr="00D44543">
        <w:rPr>
          <w:lang w:val="fr-FR"/>
        </w:rPr>
        <w:t xml:space="preserve"> spéciale</w:t>
      </w:r>
      <w:r w:rsidR="00A27297">
        <w:rPr>
          <w:lang w:val="fr-FR"/>
        </w:rPr>
        <w:t>s TP35 et</w:t>
      </w:r>
      <w:r w:rsidRPr="00D44543">
        <w:rPr>
          <w:lang w:val="fr-FR"/>
        </w:rPr>
        <w:t xml:space="preserve"> TP 37 </w:t>
      </w:r>
      <w:r>
        <w:rPr>
          <w:lang w:val="fr-FR"/>
        </w:rPr>
        <w:t xml:space="preserve">et ajouter </w:t>
      </w:r>
      <w:r w:rsidR="00A27297">
        <w:rPr>
          <w:lang w:val="fr-FR"/>
        </w:rPr>
        <w:t xml:space="preserve">«TP 35 </w:t>
      </w:r>
      <w:r w:rsidR="00A27297" w:rsidRPr="00724517">
        <w:rPr>
          <w:i/>
          <w:lang w:val="fr-FR"/>
        </w:rPr>
        <w:t>(Supprimé)</w:t>
      </w:r>
      <w:r w:rsidR="00A27297">
        <w:rPr>
          <w:lang w:val="fr-FR"/>
        </w:rPr>
        <w:t xml:space="preserve">» et </w:t>
      </w:r>
      <w:r w:rsidRPr="00D44543">
        <w:rPr>
          <w:lang w:val="fr-FR"/>
        </w:rPr>
        <w:t>«TP 37</w:t>
      </w:r>
      <w:r w:rsidRPr="00D44543">
        <w:rPr>
          <w:lang w:val="fr-FR"/>
        </w:rPr>
        <w:tab/>
      </w:r>
      <w:r w:rsidRPr="00724517">
        <w:rPr>
          <w:i/>
          <w:lang w:val="fr-FR"/>
        </w:rPr>
        <w:t>(Supprimé)</w:t>
      </w:r>
      <w:r w:rsidRPr="00D44543">
        <w:rPr>
          <w:lang w:val="fr-FR"/>
        </w:rPr>
        <w:t>».</w:t>
      </w:r>
    </w:p>
    <w:p w:rsidR="00724517" w:rsidRPr="00301384" w:rsidRDefault="00724517" w:rsidP="00724517">
      <w:pPr>
        <w:pStyle w:val="SingleTxtG"/>
        <w:rPr>
          <w:i/>
        </w:rPr>
      </w:pPr>
      <w:r w:rsidRPr="00301384">
        <w:rPr>
          <w:i/>
        </w:rPr>
        <w:t xml:space="preserve">(Document de référence: </w:t>
      </w:r>
      <w:r>
        <w:rPr>
          <w:i/>
        </w:rPr>
        <w:t>ECE/TRANS/WP.15/AC.1/2015/30</w:t>
      </w:r>
      <w:r w:rsidRPr="00301384">
        <w:rPr>
          <w:i/>
        </w:rPr>
        <w:t>)</w:t>
      </w:r>
    </w:p>
    <w:p w:rsidR="009E17BD" w:rsidRPr="00A5379B" w:rsidRDefault="009E17BD" w:rsidP="009E17BD">
      <w:pPr>
        <w:pStyle w:val="H1G"/>
      </w:pPr>
      <w:r w:rsidRPr="00A5379B">
        <w:tab/>
      </w:r>
      <w:r w:rsidRPr="00A5379B">
        <w:tab/>
        <w:t xml:space="preserve">Chapitre </w:t>
      </w:r>
      <w:r>
        <w:t>4.3</w:t>
      </w:r>
    </w:p>
    <w:p w:rsidR="002036DE" w:rsidRPr="00866AE4" w:rsidRDefault="002036DE" w:rsidP="002036DE">
      <w:pPr>
        <w:pStyle w:val="SingleTxtG"/>
        <w:tabs>
          <w:tab w:val="left" w:pos="1843"/>
          <w:tab w:val="left" w:pos="1985"/>
          <w:tab w:val="left" w:pos="2268"/>
        </w:tabs>
        <w:rPr>
          <w:lang w:val="fr-FR"/>
        </w:rPr>
      </w:pPr>
      <w:r w:rsidRPr="006E692C">
        <w:rPr>
          <w:lang w:val="fr-FR"/>
        </w:rPr>
        <w:t>4.3.3.4.3</w:t>
      </w:r>
      <w:r w:rsidRPr="00866AE4">
        <w:rPr>
          <w:lang w:val="fr-FR"/>
        </w:rPr>
        <w:t xml:space="preserve"> </w:t>
      </w:r>
      <w:r>
        <w:rPr>
          <w:lang w:val="fr-FR"/>
        </w:rPr>
        <w:t>f)</w:t>
      </w:r>
      <w:r w:rsidR="00165FD1">
        <w:rPr>
          <w:lang w:val="fr-FR"/>
        </w:rPr>
        <w:t xml:space="preserve"> </w:t>
      </w:r>
      <w:r>
        <w:rPr>
          <w:lang w:val="fr-FR"/>
        </w:rPr>
        <w:t>(RID)</w:t>
      </w:r>
      <w:r>
        <w:rPr>
          <w:lang w:val="fr-FR"/>
        </w:rPr>
        <w:tab/>
        <w:t>Remplacer «du marquage» par «des marques</w:t>
      </w:r>
      <w:r w:rsidRPr="00866AE4">
        <w:rPr>
          <w:lang w:val="fr-FR"/>
        </w:rPr>
        <w:t>».</w:t>
      </w:r>
    </w:p>
    <w:p w:rsidR="002036DE" w:rsidRPr="007A5D50" w:rsidRDefault="002036DE" w:rsidP="002036DE">
      <w:pPr>
        <w:pStyle w:val="SingleTxtG"/>
        <w:tabs>
          <w:tab w:val="left" w:pos="1985"/>
        </w:tabs>
        <w:rPr>
          <w:i/>
          <w:lang w:val="fr-FR"/>
        </w:rPr>
      </w:pPr>
      <w:r w:rsidRPr="007A5D50">
        <w:rPr>
          <w:i/>
          <w:lang w:val="fr-FR"/>
        </w:rPr>
        <w:t>(Documents de référence: ECE/TRANS/WP.15/AC.1/2015/29 et document informel INF.8)</w:t>
      </w:r>
    </w:p>
    <w:p w:rsidR="009E17BD" w:rsidRDefault="009E17BD" w:rsidP="009E17BD">
      <w:pPr>
        <w:pStyle w:val="SingleTxtG"/>
      </w:pPr>
      <w:r>
        <w:t>4.3.4.1.3 b)</w:t>
      </w:r>
      <w:r w:rsidRPr="00A3780A">
        <w:tab/>
      </w:r>
      <w:r>
        <w:t>Ajouter les lignes suivantes:</w:t>
      </w:r>
    </w:p>
    <w:p w:rsidR="009E17BD" w:rsidRPr="00892C13" w:rsidRDefault="009E17BD" w:rsidP="009E17BD">
      <w:pPr>
        <w:pStyle w:val="SingleTxtG"/>
        <w:rPr>
          <w:rFonts w:ascii="TimesNewRomanPSMT" w:hAnsi="TimesNewRomanPSMT" w:cs="TimesNewRomanPSMT"/>
          <w:lang w:eastAsia="fr-FR"/>
        </w:rPr>
      </w:pPr>
      <w:r w:rsidRPr="00892C13">
        <w:t>«</w:t>
      </w:r>
      <w:r w:rsidRPr="00892C13">
        <w:rPr>
          <w:rFonts w:ascii="TimesNewRomanPSMT" w:hAnsi="TimesNewRomanPSMT" w:cs="TimesNewRomanPSMT"/>
          <w:lang w:eastAsia="fr-FR"/>
        </w:rPr>
        <w:t xml:space="preserve">No ONU 3531 </w:t>
      </w:r>
      <w:r w:rsidRPr="00892C13">
        <w:rPr>
          <w:lang w:val="fr-FR"/>
        </w:rPr>
        <w:t>matière solide qui polymérise, stabilisée, n.s.a.</w:t>
      </w:r>
      <w:r w:rsidRPr="00892C13">
        <w:rPr>
          <w:caps/>
          <w:lang w:val="fr-FR"/>
        </w:rPr>
        <w:t xml:space="preserve"> (ADR </w:t>
      </w:r>
      <w:r>
        <w:rPr>
          <w:lang w:val="fr-FR"/>
        </w:rPr>
        <w:t>seulement</w:t>
      </w:r>
      <w:r w:rsidRPr="00892C13">
        <w:rPr>
          <w:caps/>
          <w:lang w:val="fr-FR"/>
        </w:rPr>
        <w:t xml:space="preserve">:) </w:t>
      </w:r>
      <w:r w:rsidRPr="00892C13">
        <w:rPr>
          <w:rFonts w:ascii="TimesNewRomanPSMT" w:hAnsi="TimesNewRomanPSMT" w:cs="TimesNewRomanPSMT"/>
          <w:lang w:eastAsia="fr-FR"/>
        </w:rPr>
        <w:t xml:space="preserve">et No ONU 3533 </w:t>
      </w:r>
      <w:r w:rsidRPr="00892C13">
        <w:rPr>
          <w:lang w:val="fr-FR"/>
        </w:rPr>
        <w:t>matière solide qui polymérise, avec régulation de température, n.s.a.</w:t>
      </w:r>
      <w:r w:rsidRPr="00892C13">
        <w:rPr>
          <w:rFonts w:ascii="TimesNewRomanPSMT" w:hAnsi="TimesNewRomanPSMT" w:cs="TimesNewRomanPSMT"/>
          <w:lang w:eastAsia="fr-FR"/>
        </w:rPr>
        <w:t>: code SGAN;</w:t>
      </w:r>
    </w:p>
    <w:p w:rsidR="009E17BD" w:rsidRPr="00A41774" w:rsidRDefault="009E17BD" w:rsidP="009E17BD">
      <w:pPr>
        <w:pStyle w:val="SingleTxtG"/>
      </w:pPr>
      <w:r w:rsidRPr="00892C13">
        <w:rPr>
          <w:rFonts w:ascii="TimesNewRomanPSMT" w:hAnsi="TimesNewRomanPSMT" w:cs="TimesNewRomanPSMT"/>
          <w:lang w:eastAsia="fr-FR"/>
        </w:rPr>
        <w:t xml:space="preserve">No ONU 3532 </w:t>
      </w:r>
      <w:r w:rsidRPr="00892C13">
        <w:rPr>
          <w:lang w:val="fr-FR"/>
        </w:rPr>
        <w:t xml:space="preserve">matière liquide qui polymérise, stabilisée, n.s.a. </w:t>
      </w:r>
      <w:r w:rsidRPr="00892C13">
        <w:rPr>
          <w:caps/>
          <w:lang w:val="fr-FR"/>
        </w:rPr>
        <w:t xml:space="preserve">(ADR </w:t>
      </w:r>
      <w:r>
        <w:rPr>
          <w:lang w:val="fr-FR"/>
        </w:rPr>
        <w:t>seulement</w:t>
      </w:r>
      <w:r w:rsidRPr="00892C13">
        <w:rPr>
          <w:caps/>
          <w:lang w:val="fr-FR"/>
        </w:rPr>
        <w:t xml:space="preserve">:) </w:t>
      </w:r>
      <w:r w:rsidRPr="00892C13">
        <w:rPr>
          <w:rFonts w:ascii="TimesNewRomanPSMT" w:hAnsi="TimesNewRomanPSMT" w:cs="TimesNewRomanPSMT"/>
          <w:lang w:eastAsia="fr-FR"/>
        </w:rPr>
        <w:t xml:space="preserve">et No ONU 3534 </w:t>
      </w:r>
      <w:r w:rsidRPr="00892C13">
        <w:rPr>
          <w:lang w:val="fr-FR"/>
        </w:rPr>
        <w:t>matière liquide qui polymérise, avec régulation de température, n.s.a.: code L4BN;</w:t>
      </w:r>
      <w:r w:rsidRPr="00892C13">
        <w:t>»</w:t>
      </w:r>
    </w:p>
    <w:p w:rsidR="009E17BD" w:rsidRDefault="009E17BD" w:rsidP="009E17BD">
      <w:pPr>
        <w:pStyle w:val="SingleTxtG"/>
        <w:rPr>
          <w:i/>
        </w:rPr>
      </w:pPr>
      <w:r w:rsidRPr="00D972B4">
        <w:rPr>
          <w:i/>
        </w:rPr>
        <w:t xml:space="preserve">(Document de référence: </w:t>
      </w:r>
      <w:r>
        <w:rPr>
          <w:i/>
        </w:rPr>
        <w:t>document informel INF.50</w:t>
      </w:r>
      <w:r w:rsidRPr="00D972B4">
        <w:rPr>
          <w:i/>
        </w:rPr>
        <w:t>)</w:t>
      </w:r>
    </w:p>
    <w:p w:rsidR="009E17BD" w:rsidRDefault="009E17BD" w:rsidP="009E17BD">
      <w:pPr>
        <w:pStyle w:val="SingleTxtG"/>
      </w:pPr>
      <w:r>
        <w:lastRenderedPageBreak/>
        <w:t>4.3.5</w:t>
      </w:r>
      <w:r>
        <w:tab/>
        <w:t>Modifier TU16 et TU21 pour lire comme suit:</w:t>
      </w:r>
    </w:p>
    <w:p w:rsidR="009E17BD" w:rsidRPr="00251BA6" w:rsidRDefault="009E17BD" w:rsidP="009E17BD">
      <w:pPr>
        <w:pStyle w:val="SingleTxtG"/>
        <w:rPr>
          <w:rFonts w:ascii="TimesNewRomanPSMT" w:hAnsi="TimesNewRomanPSMT" w:cs="TimesNewRomanPSMT"/>
          <w:lang w:eastAsia="fr-FR"/>
        </w:rPr>
      </w:pPr>
      <w:r>
        <w:rPr>
          <w:rFonts w:ascii="TimesNewRomanPSMT" w:hAnsi="TimesNewRomanPSMT" w:cs="TimesNewRomanPSMT"/>
          <w:lang w:eastAsia="fr-FR"/>
        </w:rPr>
        <w:t>«</w:t>
      </w:r>
      <w:r w:rsidRPr="00251BA6">
        <w:rPr>
          <w:rFonts w:ascii="TimesNewRomanPSMT" w:hAnsi="TimesNewRomanPSMT" w:cs="TimesNewRomanPSMT"/>
          <w:lang w:eastAsia="fr-FR"/>
        </w:rPr>
        <w:t xml:space="preserve">TU16 Les citernes vides, non nettoyées, </w:t>
      </w:r>
      <w:r>
        <w:rPr>
          <w:rFonts w:ascii="TimesNewRomanPSMT" w:hAnsi="TimesNewRomanPSMT" w:cs="TimesNewRomanPSMT"/>
          <w:lang w:eastAsia="fr-FR"/>
        </w:rPr>
        <w:t>doivent</w:t>
      </w:r>
      <w:r w:rsidRPr="00251BA6">
        <w:rPr>
          <w:rFonts w:ascii="TimesNewRomanPSMT" w:hAnsi="TimesNewRomanPSMT" w:cs="TimesNewRomanPSMT"/>
          <w:lang w:eastAsia="fr-FR"/>
        </w:rPr>
        <w:t xml:space="preserve">, au moment où elles </w:t>
      </w:r>
      <w:r>
        <w:rPr>
          <w:rFonts w:ascii="TimesNewRomanPSMT" w:hAnsi="TimesNewRomanPSMT" w:cs="TimesNewRomanPSMT"/>
          <w:lang w:eastAsia="fr-FR"/>
        </w:rPr>
        <w:t>sont présentées au transport</w:t>
      </w:r>
      <w:r w:rsidRPr="00251BA6">
        <w:rPr>
          <w:rFonts w:ascii="TimesNewRomanPSMT" w:hAnsi="TimesNewRomanPSMT" w:cs="TimesNewRomanPSMT"/>
          <w:lang w:eastAsia="fr-FR"/>
        </w:rPr>
        <w:t>, soit:</w:t>
      </w:r>
    </w:p>
    <w:p w:rsidR="009E17BD" w:rsidRPr="00251BA6" w:rsidRDefault="009E17BD" w:rsidP="009E17BD">
      <w:pPr>
        <w:pStyle w:val="SingleTxtG"/>
        <w:rPr>
          <w:rFonts w:ascii="TimesNewRomanPSMT" w:hAnsi="TimesNewRomanPSMT" w:cs="TimesNewRomanPSMT"/>
          <w:lang w:eastAsia="fr-FR"/>
        </w:rPr>
      </w:pPr>
      <w:r w:rsidRPr="00251BA6">
        <w:rPr>
          <w:rFonts w:ascii="TimesNewRomanPSMT" w:hAnsi="TimesNewRomanPSMT" w:cs="TimesNewRomanPSMT"/>
          <w:lang w:eastAsia="fr-FR"/>
        </w:rPr>
        <w:t xml:space="preserve">- </w:t>
      </w:r>
      <w:r>
        <w:rPr>
          <w:rFonts w:ascii="TimesNewRomanPSMT" w:hAnsi="TimesNewRomanPSMT" w:cs="TimesNewRomanPSMT"/>
          <w:lang w:eastAsia="fr-FR"/>
        </w:rPr>
        <w:tab/>
      </w:r>
      <w:r w:rsidRPr="00251BA6">
        <w:rPr>
          <w:rFonts w:ascii="TimesNewRomanPSMT" w:hAnsi="TimesNewRomanPSMT" w:cs="TimesNewRomanPSMT"/>
          <w:lang w:eastAsia="fr-FR"/>
        </w:rPr>
        <w:t>être remplies d'azote</w:t>
      </w:r>
      <w:r>
        <w:rPr>
          <w:rFonts w:ascii="TimesNewRomanPSMT" w:hAnsi="TimesNewRomanPSMT" w:cs="TimesNewRomanPSMT"/>
          <w:lang w:eastAsia="fr-FR"/>
        </w:rPr>
        <w:t xml:space="preserve"> (avec ou sans eau)</w:t>
      </w:r>
      <w:r w:rsidRPr="00251BA6">
        <w:rPr>
          <w:rFonts w:ascii="TimesNewRomanPSMT" w:hAnsi="TimesNewRomanPSMT" w:cs="TimesNewRomanPSMT"/>
          <w:lang w:eastAsia="fr-FR"/>
        </w:rPr>
        <w:t>; ou</w:t>
      </w:r>
    </w:p>
    <w:p w:rsidR="009E17BD" w:rsidRDefault="009E17BD" w:rsidP="009E17BD">
      <w:pPr>
        <w:pStyle w:val="SingleTxtG"/>
      </w:pPr>
      <w:r w:rsidRPr="00251BA6">
        <w:rPr>
          <w:rFonts w:ascii="TimesNewRomanPSMT" w:hAnsi="TimesNewRomanPSMT" w:cs="TimesNewRomanPSMT"/>
          <w:lang w:eastAsia="fr-FR"/>
        </w:rPr>
        <w:t xml:space="preserve">- </w:t>
      </w:r>
      <w:r>
        <w:rPr>
          <w:rFonts w:ascii="TimesNewRomanPSMT" w:hAnsi="TimesNewRomanPSMT" w:cs="TimesNewRomanPSMT"/>
          <w:lang w:eastAsia="fr-FR"/>
        </w:rPr>
        <w:tab/>
      </w:r>
      <w:r w:rsidRPr="00251BA6">
        <w:rPr>
          <w:rFonts w:ascii="TimesNewRomanPSMT" w:hAnsi="TimesNewRomanPSMT" w:cs="TimesNewRomanPSMT"/>
          <w:lang w:eastAsia="fr-FR"/>
        </w:rPr>
        <w:t>être remplies d'eau, à raison de 96% au moins et 98% au plus de leur capacité</w:t>
      </w:r>
      <w:r>
        <w:rPr>
          <w:rFonts w:ascii="TimesNewRomanPSMT" w:hAnsi="TimesNewRomanPSMT" w:cs="TimesNewRomanPSMT"/>
          <w:lang w:eastAsia="fr-FR"/>
        </w:rPr>
        <w:t>. S</w:t>
      </w:r>
      <w:r>
        <w:t>i une basse température ambiante est attendue au cours du trajet</w:t>
      </w:r>
      <w:r w:rsidRPr="00CD441E">
        <w:t xml:space="preserve">, suffisamment d’agent antigel </w:t>
      </w:r>
      <w:r>
        <w:t xml:space="preserve">doit être ajouté </w:t>
      </w:r>
      <w:r w:rsidRPr="00CD441E">
        <w:t>pour rendre impossible le gel de l’eau</w:t>
      </w:r>
      <w:r>
        <w:t>. L</w:t>
      </w:r>
      <w:r w:rsidRPr="00CD441E">
        <w:t xml:space="preserve">’agent antigel ne doit pas exercer d’action corrosive ni être susceptible de réagir avec </w:t>
      </w:r>
      <w:r>
        <w:t>la matière.»</w:t>
      </w:r>
    </w:p>
    <w:p w:rsidR="009E17BD" w:rsidRPr="00CD441E" w:rsidRDefault="009E17BD" w:rsidP="009E17BD">
      <w:pPr>
        <w:pStyle w:val="SingleTxtG"/>
      </w:pPr>
      <w:r>
        <w:t>«</w:t>
      </w:r>
      <w:r w:rsidRPr="00251BA6">
        <w:t>TU21</w:t>
      </w:r>
      <w:r>
        <w:tab/>
      </w:r>
      <w:r>
        <w:tab/>
      </w:r>
      <w:r w:rsidRPr="00CD441E">
        <w:t>La matière doit être recouverte par un agent de protection selon l’une des méthodes suivantes</w:t>
      </w:r>
      <w:r>
        <w:t> </w:t>
      </w:r>
      <w:r w:rsidRPr="00CD441E">
        <w:t>:</w:t>
      </w:r>
    </w:p>
    <w:p w:rsidR="009E17BD" w:rsidRPr="00CD441E" w:rsidRDefault="009E17BD" w:rsidP="009E17BD">
      <w:pPr>
        <w:pStyle w:val="SingleTxtG"/>
      </w:pPr>
      <w:r>
        <w:tab/>
      </w:r>
      <w:r>
        <w:tab/>
      </w:r>
      <w:r w:rsidRPr="00CD441E">
        <w:t>а)</w:t>
      </w:r>
      <w:r w:rsidRPr="00CD441E">
        <w:tab/>
      </w:r>
      <w:r>
        <w:t>U</w:t>
      </w:r>
      <w:r w:rsidRPr="00CD441E">
        <w:t xml:space="preserve">ne couche d’eau d’au moins 12 cm au moment du remplissage. Le taux de remplissage </w:t>
      </w:r>
      <w:r>
        <w:t xml:space="preserve">de la matière et de l’eau, </w:t>
      </w:r>
      <w:r w:rsidRPr="00CD441E">
        <w:t>à une température de 60 °C</w:t>
      </w:r>
      <w:r>
        <w:t>,</w:t>
      </w:r>
      <w:r w:rsidRPr="00CD441E">
        <w:t xml:space="preserve"> ne doit pas dépasser 98</w:t>
      </w:r>
      <w:r>
        <w:t> %; ou</w:t>
      </w:r>
    </w:p>
    <w:p w:rsidR="009E17BD" w:rsidRPr="00CD441E" w:rsidRDefault="009E17BD" w:rsidP="009E17BD">
      <w:pPr>
        <w:pStyle w:val="SingleTxtG"/>
      </w:pPr>
      <w:r>
        <w:tab/>
      </w:r>
      <w:r>
        <w:tab/>
      </w:r>
      <w:r w:rsidRPr="00CD441E">
        <w:t>b)</w:t>
      </w:r>
      <w:r w:rsidRPr="00CD441E">
        <w:tab/>
      </w:r>
      <w:r>
        <w:t xml:space="preserve">De l’azote, auquel cas </w:t>
      </w:r>
      <w:r w:rsidRPr="00CD441E">
        <w:t>le taux de remplissage à une température de 60 °C ne doit pas dépasser 96</w:t>
      </w:r>
      <w:r>
        <w:t> %;</w:t>
      </w:r>
    </w:p>
    <w:p w:rsidR="009E17BD" w:rsidRPr="00CD441E" w:rsidRDefault="009E17BD" w:rsidP="009E17BD">
      <w:pPr>
        <w:pStyle w:val="SingleTxtG"/>
      </w:pPr>
      <w:r>
        <w:tab/>
      </w:r>
      <w:r>
        <w:tab/>
      </w:r>
      <w:r w:rsidRPr="00CD441E">
        <w:t>c)</w:t>
      </w:r>
      <w:r w:rsidRPr="00CD441E">
        <w:tab/>
      </w:r>
      <w:r>
        <w:t>À</w:t>
      </w:r>
      <w:r w:rsidRPr="00CD441E">
        <w:t xml:space="preserve"> la fois </w:t>
      </w:r>
      <w:r>
        <w:t>de l’eau et de l’</w:t>
      </w:r>
      <w:r w:rsidRPr="00CD441E">
        <w:t xml:space="preserve">azote, </w:t>
      </w:r>
      <w:r>
        <w:t xml:space="preserve">auquel cas </w:t>
      </w:r>
      <w:r w:rsidRPr="00CD441E">
        <w:t>la matière doit être recouverte d’une couche d’eau</w:t>
      </w:r>
      <w:r>
        <w:t xml:space="preserve"> et l’espace </w:t>
      </w:r>
      <w:r w:rsidRPr="00CD441E">
        <w:t xml:space="preserve">restant doit être rempli d’azote. Le taux de remplissage </w:t>
      </w:r>
      <w:r>
        <w:t>de la matière et de l’eau,</w:t>
      </w:r>
      <w:r w:rsidRPr="00CD441E">
        <w:t xml:space="preserve"> à une température de 60 °C</w:t>
      </w:r>
      <w:r>
        <w:t>,</w:t>
      </w:r>
      <w:r w:rsidRPr="00CD441E">
        <w:t xml:space="preserve"> ne doit pas dépasser 98</w:t>
      </w:r>
      <w:r>
        <w:t> </w:t>
      </w:r>
      <w:r w:rsidRPr="00CD441E">
        <w:t xml:space="preserve">%. </w:t>
      </w:r>
    </w:p>
    <w:p w:rsidR="009E17BD" w:rsidRPr="00CD441E" w:rsidRDefault="009E17BD" w:rsidP="009E17BD">
      <w:pPr>
        <w:pStyle w:val="SingleTxtG"/>
      </w:pPr>
      <w:r>
        <w:tab/>
      </w:r>
      <w:r>
        <w:tab/>
      </w:r>
      <w:r w:rsidRPr="00CD441E">
        <w:t>Si l’on emploie de l’eau comme agent de protection</w:t>
      </w:r>
      <w:r>
        <w:t xml:space="preserve"> conformément à l’alinéa a) ou à l’alinéa b) et si une basse température ambiante est attendue au cours du trajet</w:t>
      </w:r>
      <w:r w:rsidRPr="00CD441E">
        <w:t xml:space="preserve">, suffisamment d’agent antigel </w:t>
      </w:r>
      <w:r>
        <w:t xml:space="preserve">doit être ajouté </w:t>
      </w:r>
      <w:r w:rsidRPr="00CD441E">
        <w:t>pour rendre impossible le gel de l’eau</w:t>
      </w:r>
      <w:r>
        <w:t>. L</w:t>
      </w:r>
      <w:r w:rsidRPr="00CD441E">
        <w:t xml:space="preserve">’agent antigel ne doit pas exercer d’action corrosive ni être susceptible de réagir avec </w:t>
      </w:r>
      <w:r>
        <w:t>la matière.</w:t>
      </w:r>
    </w:p>
    <w:p w:rsidR="009E17BD" w:rsidRPr="00CD441E" w:rsidRDefault="009E17BD" w:rsidP="009E17BD">
      <w:pPr>
        <w:pStyle w:val="SingleTxtG"/>
      </w:pPr>
      <w:r>
        <w:tab/>
      </w:r>
      <w:r>
        <w:tab/>
      </w:r>
      <w:r w:rsidRPr="00CD441E">
        <w:t>Si l’on emploie de l’azote comme agent de protection</w:t>
      </w:r>
      <w:r>
        <w:t xml:space="preserve"> conformément à l’alinéa b) ou à l’alinéa c)</w:t>
      </w:r>
      <w:r w:rsidRPr="00CD441E">
        <w:t>, l’espace restant doit être rempli d’azote de manière que la pression ne tombe jamais au-dessous de la pression atmosphérique, même après refroidissement. La citerne doit être fermée de façon qu’il ne s</w:t>
      </w:r>
      <w:r>
        <w:t>e produise aucune fuite de gaz.</w:t>
      </w:r>
      <w:r w:rsidRPr="00CD441E">
        <w:t>».</w:t>
      </w:r>
    </w:p>
    <w:p w:rsidR="009E17BD" w:rsidRDefault="009E17BD" w:rsidP="009E17BD">
      <w:pPr>
        <w:pStyle w:val="SingleTxtG"/>
        <w:rPr>
          <w:i/>
        </w:rPr>
      </w:pPr>
      <w:r w:rsidRPr="00301384">
        <w:rPr>
          <w:i/>
        </w:rPr>
        <w:t>(Document de référence: document informel INF.</w:t>
      </w:r>
      <w:r>
        <w:rPr>
          <w:i/>
        </w:rPr>
        <w:t>50</w:t>
      </w:r>
      <w:r w:rsidRPr="00301384">
        <w:rPr>
          <w:i/>
        </w:rPr>
        <w:t>)</w:t>
      </w:r>
    </w:p>
    <w:p w:rsidR="002036DE" w:rsidRPr="00A5379B" w:rsidRDefault="002036DE" w:rsidP="002036DE">
      <w:pPr>
        <w:pStyle w:val="H1G"/>
      </w:pPr>
      <w:r w:rsidRPr="00A5379B">
        <w:tab/>
      </w:r>
      <w:r w:rsidRPr="00A5379B">
        <w:tab/>
        <w:t xml:space="preserve">Chapitre </w:t>
      </w:r>
      <w:r>
        <w:t>5.2</w:t>
      </w:r>
    </w:p>
    <w:p w:rsidR="002036DE" w:rsidRPr="00866AE4" w:rsidRDefault="002036DE" w:rsidP="002036DE">
      <w:pPr>
        <w:pStyle w:val="SingleTxtG"/>
        <w:rPr>
          <w:lang w:val="fr-FR"/>
        </w:rPr>
      </w:pPr>
      <w:r w:rsidRPr="00165FD1">
        <w:rPr>
          <w:lang w:val="fr-FR"/>
        </w:rPr>
        <w:t>5.2.1.1</w:t>
      </w:r>
      <w:r w:rsidRPr="00165FD1">
        <w:rPr>
          <w:lang w:val="fr-FR"/>
        </w:rPr>
        <w:tab/>
      </w:r>
      <w:r w:rsidR="00165FD1" w:rsidRPr="00165FD1">
        <w:rPr>
          <w:lang w:val="fr-FR"/>
        </w:rPr>
        <w:t xml:space="preserve"> </w:t>
      </w:r>
      <w:r w:rsidR="00165FD1">
        <w:rPr>
          <w:lang w:val="fr-FR"/>
        </w:rPr>
        <w:t>(RID)</w:t>
      </w:r>
      <w:r>
        <w:rPr>
          <w:lang w:val="fr-FR"/>
        </w:rPr>
        <w:tab/>
      </w:r>
      <w:r>
        <w:rPr>
          <w:lang w:val="fr-FR"/>
        </w:rPr>
        <w:tab/>
        <w:t>Remplacer «le marquage» par «la marque</w:t>
      </w:r>
      <w:r w:rsidRPr="00866AE4">
        <w:rPr>
          <w:lang w:val="fr-FR"/>
        </w:rPr>
        <w:t>».</w:t>
      </w:r>
    </w:p>
    <w:p w:rsidR="002036DE" w:rsidRPr="007A5D50" w:rsidRDefault="002036DE" w:rsidP="002036DE">
      <w:pPr>
        <w:pStyle w:val="SingleTxtG"/>
        <w:tabs>
          <w:tab w:val="left" w:pos="1985"/>
        </w:tabs>
        <w:rPr>
          <w:i/>
          <w:lang w:val="fr-FR"/>
        </w:rPr>
      </w:pPr>
      <w:r w:rsidRPr="007A5D50">
        <w:rPr>
          <w:i/>
          <w:lang w:val="fr-FR"/>
        </w:rPr>
        <w:t>(Documents de référence: ECE/TRANS/WP.15/AC.1/2015/29 et document informel INF.8)</w:t>
      </w:r>
    </w:p>
    <w:p w:rsidR="00E27817" w:rsidRPr="009769EA" w:rsidRDefault="00E27817" w:rsidP="00E27817">
      <w:pPr>
        <w:pStyle w:val="SingleTxtG"/>
      </w:pPr>
      <w:r w:rsidRPr="009769EA">
        <w:t>5.2.1.6</w:t>
      </w:r>
      <w:r w:rsidRPr="009769EA">
        <w:tab/>
      </w:r>
      <w:r w:rsidRPr="009769EA">
        <w:tab/>
        <w:t>Au début, remplacer «les marques suivantes» par «les indications suivantes». Dans le dernier paragraphe, remplacer «Les marques» par «Ces indications» et remplacer «une inscription» par «une marque».</w:t>
      </w:r>
    </w:p>
    <w:p w:rsidR="00E27817" w:rsidRPr="007A5D50" w:rsidRDefault="00E27817" w:rsidP="00E27817">
      <w:pPr>
        <w:pStyle w:val="SingleTxtG"/>
        <w:tabs>
          <w:tab w:val="left" w:pos="1985"/>
        </w:tabs>
        <w:rPr>
          <w:i/>
          <w:lang w:val="fr-FR"/>
        </w:rPr>
      </w:pPr>
      <w:r w:rsidRPr="007A5D50">
        <w:rPr>
          <w:i/>
          <w:lang w:val="fr-FR"/>
        </w:rPr>
        <w:t>(Documents de référence: ECE/TRANS/WP.15/AC.1/2015/29 et document informel INF.8)</w:t>
      </w:r>
    </w:p>
    <w:p w:rsidR="00386C54" w:rsidRPr="00A5379B" w:rsidRDefault="00386C54" w:rsidP="00386C54">
      <w:pPr>
        <w:pStyle w:val="H1G"/>
      </w:pPr>
      <w:r w:rsidRPr="00A5379B">
        <w:tab/>
      </w:r>
      <w:r w:rsidRPr="00A5379B">
        <w:tab/>
        <w:t xml:space="preserve">Chapitre </w:t>
      </w:r>
      <w:r>
        <w:t>5.3</w:t>
      </w:r>
    </w:p>
    <w:p w:rsidR="00386C54" w:rsidRPr="008B471D" w:rsidRDefault="00386C54" w:rsidP="00386C54">
      <w:pPr>
        <w:pStyle w:val="SingleTxt"/>
        <w:tabs>
          <w:tab w:val="clear" w:pos="1267"/>
        </w:tabs>
        <w:ind w:left="1134"/>
      </w:pPr>
      <w:r w:rsidRPr="008B471D">
        <w:t>Ajouter un nouveau 5.3.1.1.</w:t>
      </w:r>
      <w:r w:rsidR="00784D7C">
        <w:t>4</w:t>
      </w:r>
      <w:r w:rsidR="00784D7C" w:rsidRPr="008B471D">
        <w:t xml:space="preserve"> </w:t>
      </w:r>
      <w:r w:rsidRPr="008B471D">
        <w:t>pour lire comme suit:</w:t>
      </w:r>
    </w:p>
    <w:p w:rsidR="00386C54" w:rsidRDefault="00386C54" w:rsidP="00386C54">
      <w:pPr>
        <w:pStyle w:val="SingleTxt"/>
        <w:tabs>
          <w:tab w:val="clear" w:pos="1267"/>
        </w:tabs>
        <w:ind w:left="1134"/>
      </w:pPr>
      <w:r w:rsidRPr="008B471D">
        <w:t>«5.3.1.1.</w:t>
      </w:r>
      <w:r>
        <w:t>4</w:t>
      </w:r>
      <w:r w:rsidRPr="008B471D">
        <w:tab/>
        <w:t xml:space="preserve">Pour les marchandises dangereuses de la classe 9, </w:t>
      </w:r>
      <w:r w:rsidRPr="008B471D">
        <w:rPr>
          <w:lang w:val="fr-CH" w:eastAsia="fr-FR"/>
        </w:rPr>
        <w:t xml:space="preserve">la plaque-étiquette doit être conforme au modèle No 9 du 5.2.2.2.2; l’étiquette du modèle No 9A ne </w:t>
      </w:r>
      <w:r w:rsidRPr="008B471D">
        <w:rPr>
          <w:lang w:val="fr-CH" w:eastAsia="fr-FR"/>
        </w:rPr>
        <w:lastRenderedPageBreak/>
        <w:t>doit pas être utilisée aux fins de placardage.</w:t>
      </w:r>
      <w:r w:rsidRPr="008B471D">
        <w:t>».</w:t>
      </w:r>
      <w:r>
        <w:t xml:space="preserve"> Renuméroter les paragraphes suivants en conséquence.</w:t>
      </w:r>
    </w:p>
    <w:p w:rsidR="00905C78" w:rsidRPr="00784D7C" w:rsidRDefault="00905C78" w:rsidP="00905C78">
      <w:pPr>
        <w:pStyle w:val="SingleTxtG"/>
        <w:rPr>
          <w:i/>
        </w:rPr>
      </w:pPr>
      <w:r w:rsidRPr="00784D7C">
        <w:rPr>
          <w:i/>
        </w:rPr>
        <w:t>(Document de référence: document informel INF.</w:t>
      </w:r>
      <w:r>
        <w:rPr>
          <w:i/>
        </w:rPr>
        <w:t>51</w:t>
      </w:r>
      <w:r w:rsidRPr="00784D7C">
        <w:rPr>
          <w:i/>
        </w:rPr>
        <w:t>)</w:t>
      </w:r>
    </w:p>
    <w:p w:rsidR="00E27817" w:rsidRPr="00866AE4" w:rsidRDefault="00E27817" w:rsidP="00E27817">
      <w:pPr>
        <w:pStyle w:val="SingleTxtG"/>
        <w:rPr>
          <w:lang w:val="fr-FR"/>
        </w:rPr>
      </w:pPr>
      <w:r w:rsidRPr="00165FD1">
        <w:rPr>
          <w:lang w:val="fr-FR"/>
        </w:rPr>
        <w:t>5.3.2.1</w:t>
      </w:r>
      <w:r w:rsidRPr="00165FD1">
        <w:rPr>
          <w:lang w:val="fr-FR"/>
        </w:rPr>
        <w:tab/>
      </w:r>
      <w:r w:rsidR="00784D7C">
        <w:rPr>
          <w:lang w:val="fr-FR"/>
        </w:rPr>
        <w:t xml:space="preserve"> (RID)</w:t>
      </w:r>
      <w:r w:rsidR="00784D7C">
        <w:rPr>
          <w:lang w:val="fr-FR"/>
        </w:rPr>
        <w:tab/>
      </w:r>
      <w:r w:rsidRPr="00165FD1">
        <w:rPr>
          <w:lang w:val="fr-FR"/>
        </w:rPr>
        <w:tab/>
      </w:r>
      <w:r w:rsidR="00426B7A">
        <w:t>L’amendement ne s’applique pas au texte français.</w:t>
      </w:r>
    </w:p>
    <w:p w:rsidR="00E27817" w:rsidRPr="007A5D50" w:rsidRDefault="00E27817" w:rsidP="00E27817">
      <w:pPr>
        <w:pStyle w:val="SingleTxtG"/>
        <w:tabs>
          <w:tab w:val="left" w:pos="1985"/>
        </w:tabs>
        <w:rPr>
          <w:i/>
          <w:lang w:val="fr-FR"/>
        </w:rPr>
      </w:pPr>
      <w:r w:rsidRPr="007A5D50">
        <w:rPr>
          <w:i/>
          <w:lang w:val="fr-FR"/>
        </w:rPr>
        <w:t>(Documents de référence: ECE/TRANS/WP.15/AC.1/2015/29 et document informel INF.8)</w:t>
      </w:r>
    </w:p>
    <w:p w:rsidR="00E27817" w:rsidRDefault="00E27817" w:rsidP="00E27817">
      <w:pPr>
        <w:pStyle w:val="SingleTxtG"/>
        <w:tabs>
          <w:tab w:val="left" w:pos="1843"/>
          <w:tab w:val="left" w:pos="1985"/>
          <w:tab w:val="left" w:pos="2268"/>
        </w:tabs>
        <w:rPr>
          <w:lang w:val="fr-FR"/>
        </w:rPr>
      </w:pPr>
      <w:r w:rsidRPr="000A40F5">
        <w:rPr>
          <w:lang w:val="fr-FR"/>
        </w:rPr>
        <w:t>5.3.2.1.8</w:t>
      </w:r>
      <w:r w:rsidR="00784D7C">
        <w:rPr>
          <w:lang w:val="fr-FR"/>
        </w:rPr>
        <w:t xml:space="preserve"> (ADR)</w:t>
      </w:r>
      <w:r w:rsidRPr="000A40F5">
        <w:rPr>
          <w:lang w:val="fr-FR"/>
        </w:rPr>
        <w:tab/>
      </w:r>
      <w:r w:rsidRPr="000A40F5">
        <w:rPr>
          <w:lang w:val="fr-FR"/>
        </w:rPr>
        <w:tab/>
      </w:r>
      <w:r>
        <w:rPr>
          <w:lang w:val="fr-FR"/>
        </w:rPr>
        <w:t xml:space="preserve">Modifier la première phrase pour lire comme suit «Les panneaux </w:t>
      </w:r>
      <w:r>
        <w:rPr>
          <w:lang w:val="fr-FR" w:eastAsia="fr-FR"/>
        </w:rPr>
        <w:t>orange qui ne se rapportent</w:t>
      </w:r>
      <w:r w:rsidRPr="00E0744D">
        <w:t xml:space="preserve"> </w:t>
      </w:r>
      <w:r w:rsidRPr="00E0744D">
        <w:rPr>
          <w:lang w:val="fr-FR" w:eastAsia="fr-FR"/>
        </w:rPr>
        <w:t>pas aux marchandises dangereuses transportées, ou aux</w:t>
      </w:r>
      <w:r>
        <w:rPr>
          <w:lang w:val="fr-FR" w:eastAsia="fr-FR"/>
        </w:rPr>
        <w:t xml:space="preserve"> </w:t>
      </w:r>
      <w:r w:rsidRPr="00E0744D">
        <w:rPr>
          <w:lang w:val="fr-FR" w:eastAsia="fr-FR"/>
        </w:rPr>
        <w:t>résidus de ces marchandises, doi</w:t>
      </w:r>
      <w:r>
        <w:rPr>
          <w:lang w:val="fr-FR" w:eastAsia="fr-FR"/>
        </w:rPr>
        <w:t>ven</w:t>
      </w:r>
      <w:r w:rsidRPr="00E0744D">
        <w:rPr>
          <w:lang w:val="fr-FR" w:eastAsia="fr-FR"/>
        </w:rPr>
        <w:t>t être ôté</w:t>
      </w:r>
      <w:r>
        <w:rPr>
          <w:lang w:val="fr-FR" w:eastAsia="fr-FR"/>
        </w:rPr>
        <w:t>s</w:t>
      </w:r>
      <w:r w:rsidRPr="00E0744D">
        <w:rPr>
          <w:lang w:val="fr-FR" w:eastAsia="fr-FR"/>
        </w:rPr>
        <w:t xml:space="preserve"> ou recouvert</w:t>
      </w:r>
      <w:r>
        <w:rPr>
          <w:lang w:val="fr-FR" w:eastAsia="fr-FR"/>
        </w:rPr>
        <w:t>s</w:t>
      </w:r>
      <w:r w:rsidRPr="00E0744D">
        <w:rPr>
          <w:lang w:val="fr-FR" w:eastAsia="fr-FR"/>
        </w:rPr>
        <w:t>.</w:t>
      </w:r>
      <w:r>
        <w:rPr>
          <w:lang w:val="fr-FR"/>
        </w:rPr>
        <w:t>».</w:t>
      </w:r>
    </w:p>
    <w:p w:rsidR="00E27817" w:rsidRPr="007A5D50" w:rsidRDefault="00E27817" w:rsidP="00E27817">
      <w:pPr>
        <w:pStyle w:val="SingleTxtG"/>
        <w:tabs>
          <w:tab w:val="left" w:pos="1985"/>
        </w:tabs>
        <w:rPr>
          <w:i/>
          <w:lang w:val="fr-FR"/>
        </w:rPr>
      </w:pPr>
      <w:r w:rsidRPr="007A5D50">
        <w:rPr>
          <w:i/>
          <w:lang w:val="fr-FR"/>
        </w:rPr>
        <w:t>(Documents de référence: ECE/TRANS/WP.15/AC.1/2015/29 et document informel INF.8)</w:t>
      </w:r>
    </w:p>
    <w:p w:rsidR="00386C54" w:rsidRPr="00784D7C" w:rsidRDefault="00386C54" w:rsidP="00386C54">
      <w:pPr>
        <w:pStyle w:val="SingleTxt"/>
        <w:tabs>
          <w:tab w:val="clear" w:pos="1267"/>
        </w:tabs>
        <w:ind w:left="1134"/>
      </w:pPr>
      <w:r w:rsidRPr="001F7026">
        <w:t>5.3.4.1 (RID</w:t>
      </w:r>
      <w:r w:rsidRPr="00784D7C">
        <w:t xml:space="preserve">) Remplacer </w:t>
      </w:r>
      <w:r w:rsidR="00EE2088">
        <w:t>«5.3.1.1.5» par «5.3.1.1.6»</w:t>
      </w:r>
      <w:r w:rsidRPr="00784D7C">
        <w:t>.</w:t>
      </w:r>
      <w:r w:rsidR="00784D7C" w:rsidRPr="00784D7C">
        <w:t xml:space="preserve"> </w:t>
      </w:r>
      <w:r w:rsidR="00784D7C">
        <w:t xml:space="preserve">Le deuxième </w:t>
      </w:r>
      <w:r w:rsidR="00784D7C" w:rsidRPr="004955E8">
        <w:t>amendement ne s’applique pas au texte français.</w:t>
      </w:r>
    </w:p>
    <w:p w:rsidR="00386C54" w:rsidRPr="00784D7C" w:rsidRDefault="00386C54" w:rsidP="00386C54">
      <w:pPr>
        <w:pStyle w:val="SingleTxtG"/>
        <w:rPr>
          <w:i/>
        </w:rPr>
      </w:pPr>
      <w:r w:rsidRPr="00784D7C">
        <w:rPr>
          <w:i/>
        </w:rPr>
        <w:t>(Document de référence: document informel INF.51</w:t>
      </w:r>
      <w:r w:rsidR="00784D7C">
        <w:rPr>
          <w:i/>
        </w:rPr>
        <w:t xml:space="preserve">, </w:t>
      </w:r>
      <w:r w:rsidR="00784D7C" w:rsidRPr="007A5D50">
        <w:rPr>
          <w:i/>
          <w:lang w:val="fr-FR"/>
        </w:rPr>
        <w:t>ECE/TRANS/WP.15/AC.1/2015/29 et document informel INF.8</w:t>
      </w:r>
      <w:r w:rsidRPr="00784D7C">
        <w:rPr>
          <w:i/>
        </w:rPr>
        <w:t>)</w:t>
      </w:r>
    </w:p>
    <w:p w:rsidR="004C73C2" w:rsidRPr="00D345C7" w:rsidRDefault="004C73C2" w:rsidP="004C73C2">
      <w:pPr>
        <w:pStyle w:val="H1G"/>
        <w:rPr>
          <w:lang w:val="fr-FR"/>
        </w:rPr>
      </w:pPr>
      <w:r w:rsidRPr="00D345C7">
        <w:rPr>
          <w:lang w:val="fr-FR"/>
        </w:rPr>
        <w:tab/>
      </w:r>
      <w:r w:rsidRPr="00D345C7">
        <w:rPr>
          <w:lang w:val="fr-FR"/>
        </w:rPr>
        <w:tab/>
        <w:t>Chapitre 5.</w:t>
      </w:r>
      <w:r>
        <w:rPr>
          <w:lang w:val="fr-FR"/>
        </w:rPr>
        <w:t>4</w:t>
      </w:r>
    </w:p>
    <w:p w:rsidR="00C16B17" w:rsidRDefault="004C73C2" w:rsidP="004C73C2">
      <w:pPr>
        <w:pStyle w:val="SingleTxtG"/>
        <w:tabs>
          <w:tab w:val="left" w:pos="1985"/>
        </w:tabs>
        <w:rPr>
          <w:lang w:val="fr-FR"/>
        </w:rPr>
      </w:pPr>
      <w:r>
        <w:rPr>
          <w:lang w:val="fr-FR"/>
        </w:rPr>
        <w:t>5.4.1.1.1 c)</w:t>
      </w:r>
      <w:r>
        <w:rPr>
          <w:lang w:val="fr-FR"/>
        </w:rPr>
        <w:tab/>
        <w:t xml:space="preserve">Ajouter le nouveau troisième tiret suivant: </w:t>
      </w:r>
    </w:p>
    <w:p w:rsidR="00C16B17" w:rsidRDefault="004C73C2" w:rsidP="004C73C2">
      <w:pPr>
        <w:pStyle w:val="SingleTxtG"/>
        <w:tabs>
          <w:tab w:val="left" w:pos="1985"/>
        </w:tabs>
        <w:rPr>
          <w:lang w:val="fr-FR"/>
        </w:rPr>
      </w:pPr>
      <w:r>
        <w:rPr>
          <w:lang w:val="fr-FR"/>
        </w:rPr>
        <w:t>«-</w:t>
      </w:r>
      <w:r>
        <w:rPr>
          <w:lang w:val="fr-FR"/>
        </w:rPr>
        <w:tab/>
        <w:t xml:space="preserve">pour les piles au lithium des Nos. ONU 3090, 3091, 3480 et 3481: le numéro de la classe, à savoir "9";». </w:t>
      </w:r>
    </w:p>
    <w:p w:rsidR="004C73C2" w:rsidRDefault="00C16B17" w:rsidP="004C73C2">
      <w:pPr>
        <w:pStyle w:val="SingleTxtG"/>
        <w:tabs>
          <w:tab w:val="left" w:pos="1985"/>
        </w:tabs>
        <w:rPr>
          <w:lang w:val="fr-FR"/>
        </w:rPr>
      </w:pPr>
      <w:r>
        <w:rPr>
          <w:lang w:val="fr-FR"/>
        </w:rPr>
        <w:tab/>
      </w:r>
      <w:r w:rsidR="004C73C2">
        <w:rPr>
          <w:lang w:val="fr-FR"/>
        </w:rPr>
        <w:t>Modifier le début du quatrième tiret pour lire: «pour les autres matières et objets:».</w:t>
      </w:r>
    </w:p>
    <w:p w:rsidR="00C16B17" w:rsidRPr="007F1CD1" w:rsidRDefault="00C16B17" w:rsidP="00C16B17">
      <w:pPr>
        <w:pStyle w:val="SingleTxtG"/>
        <w:rPr>
          <w:i/>
        </w:rPr>
      </w:pPr>
      <w:r w:rsidRPr="007F1CD1">
        <w:rPr>
          <w:i/>
        </w:rPr>
        <w:t xml:space="preserve">(Document de référence: document informel </w:t>
      </w:r>
      <w:r>
        <w:rPr>
          <w:i/>
          <w:lang w:val="fr-FR"/>
        </w:rPr>
        <w:t>INF.9</w:t>
      </w:r>
      <w:r w:rsidRPr="007F1CD1">
        <w:rPr>
          <w:i/>
        </w:rPr>
        <w:t>)</w:t>
      </w:r>
    </w:p>
    <w:p w:rsidR="00CB22E5" w:rsidRDefault="00CB22E5" w:rsidP="004C73C2">
      <w:pPr>
        <w:pStyle w:val="SingleTxtG"/>
        <w:tabs>
          <w:tab w:val="left" w:pos="1985"/>
        </w:tabs>
        <w:rPr>
          <w:lang w:val="fr-FR"/>
        </w:rPr>
      </w:pPr>
      <w:r>
        <w:rPr>
          <w:lang w:val="fr-FR"/>
        </w:rPr>
        <w:t>5.4.1.1.6.2.1</w:t>
      </w:r>
      <w:r>
        <w:rPr>
          <w:lang w:val="fr-FR"/>
        </w:rPr>
        <w:tab/>
        <w:t>Modifier le dernier paragraphe pour lire comme suit:</w:t>
      </w:r>
    </w:p>
    <w:p w:rsidR="00CB22E5" w:rsidRPr="0062788F" w:rsidRDefault="00CB22E5" w:rsidP="00CB22E5">
      <w:pPr>
        <w:pStyle w:val="SingleTxtG"/>
        <w:tabs>
          <w:tab w:val="left" w:pos="1985"/>
        </w:tabs>
        <w:rPr>
          <w:strike/>
          <w:lang w:bidi="fr-CH"/>
        </w:rPr>
      </w:pPr>
      <w:r w:rsidRPr="0062788F">
        <w:rPr>
          <w:lang w:val="fr-FR"/>
        </w:rPr>
        <w:t>«</w:t>
      </w:r>
      <w:r w:rsidRPr="0062788F">
        <w:rPr>
          <w:lang w:bidi="fr-CH"/>
        </w:rPr>
        <w:t>En outre, dans ce cas:</w:t>
      </w:r>
    </w:p>
    <w:p w:rsidR="00CB22E5" w:rsidRPr="0062788F" w:rsidRDefault="00CB22E5" w:rsidP="00CB22E5">
      <w:pPr>
        <w:pStyle w:val="SingleTxtG"/>
        <w:tabs>
          <w:tab w:val="left" w:pos="1985"/>
        </w:tabs>
        <w:rPr>
          <w:lang w:bidi="fr-CH"/>
        </w:rPr>
      </w:pPr>
      <w:r w:rsidRPr="00533A22">
        <w:rPr>
          <w:lang w:bidi="fr-CH"/>
        </w:rPr>
        <w:tab/>
        <w:t>a)</w:t>
      </w:r>
      <w:r w:rsidRPr="00533A22">
        <w:rPr>
          <w:lang w:bidi="fr-CH"/>
        </w:rPr>
        <w:tab/>
        <w:t xml:space="preserve">Si les dernières marchandises dangereuses chargées sont des marchandises de </w:t>
      </w:r>
      <w:r w:rsidRPr="001F7026">
        <w:rPr>
          <w:lang w:bidi="fr-CH"/>
        </w:rPr>
        <w:t xml:space="preserve">la classe 2, les informations prescrites au 5.4.1.1.1 c), peuvent être remplacées par le numéro de la classe </w:t>
      </w:r>
      <w:r w:rsidRPr="0062788F">
        <w:rPr>
          <w:lang w:val="fr-FR" w:bidi="fr-CH"/>
        </w:rPr>
        <w:t>“</w:t>
      </w:r>
      <w:r w:rsidRPr="001F7026">
        <w:rPr>
          <w:lang w:bidi="fr-CH"/>
        </w:rPr>
        <w:t>2</w:t>
      </w:r>
      <w:r w:rsidRPr="0062788F">
        <w:rPr>
          <w:lang w:val="fr-FR" w:bidi="fr-CH"/>
        </w:rPr>
        <w:t>”</w:t>
      </w:r>
      <w:r w:rsidRPr="001F7026">
        <w:rPr>
          <w:lang w:bidi="fr-CH"/>
        </w:rPr>
        <w:t>;.</w:t>
      </w:r>
      <w:bookmarkStart w:id="1" w:name="TmpSave"/>
      <w:bookmarkEnd w:id="1"/>
    </w:p>
    <w:p w:rsidR="00CB22E5" w:rsidRPr="0062788F" w:rsidRDefault="00CB22E5" w:rsidP="00CB22E5">
      <w:pPr>
        <w:pStyle w:val="SingleTxtG"/>
        <w:tabs>
          <w:tab w:val="left" w:pos="1985"/>
        </w:tabs>
        <w:rPr>
          <w:lang w:bidi="fr-CH"/>
        </w:rPr>
      </w:pPr>
      <w:r w:rsidRPr="001F7026">
        <w:rPr>
          <w:lang w:bidi="fr-CH"/>
        </w:rPr>
        <w:tab/>
        <w:t>b)</w:t>
      </w:r>
      <w:r w:rsidRPr="001F7026">
        <w:rPr>
          <w:lang w:bidi="fr-CH"/>
        </w:rPr>
        <w:tab/>
        <w:t xml:space="preserve">Si les dernières marchandises dangereuses chargées sont des marchandises des classes 3, 4.1, 4.2, 4.3, 5.1, 5.2, 6.1, 8 ou 9, les informations y relatives, telles qu’elles sont prévues au 5.4.1.1.1 c) peuvent être remplacées par la mention </w:t>
      </w:r>
      <w:r w:rsidRPr="001F7026">
        <w:rPr>
          <w:lang w:val="fr-FR" w:bidi="fr-CH"/>
        </w:rPr>
        <w:t>“</w:t>
      </w:r>
      <w:r w:rsidRPr="001F7026">
        <w:rPr>
          <w:lang w:bidi="fr-CH"/>
        </w:rPr>
        <w:t>AVEC RESIDUS DE [...]</w:t>
      </w:r>
      <w:r w:rsidRPr="001F7026">
        <w:rPr>
          <w:lang w:val="fr-FR" w:bidi="fr-CH"/>
        </w:rPr>
        <w:t>”</w:t>
      </w:r>
      <w:r w:rsidRPr="001F7026">
        <w:rPr>
          <w:lang w:bidi="fr-CH"/>
        </w:rPr>
        <w:t xml:space="preserve"> suivie des classe(s) et risque(s) subsidiaire(s) qui correspondent aux différents résidus concernés, par ordre de numérotation de classe. </w:t>
      </w:r>
    </w:p>
    <w:p w:rsidR="00CB22E5" w:rsidRPr="0062788F" w:rsidRDefault="00CB22E5" w:rsidP="00CB22E5">
      <w:pPr>
        <w:pStyle w:val="SingleTxtG"/>
        <w:tabs>
          <w:tab w:val="left" w:pos="1985"/>
        </w:tabs>
        <w:rPr>
          <w:lang w:bidi="fr-CH"/>
        </w:rPr>
      </w:pPr>
      <w:r w:rsidRPr="0062788F">
        <w:rPr>
          <w:lang w:bidi="fr-CH"/>
        </w:rPr>
        <w:tab/>
        <w:t>Par exemple, des emballages vides non nettoyés ayant contenu des marchandises de la classe 3 transportés avec des emballages vides non nettoyés ayant contenu des marchandises de la classe 8 présentant un risque subsidiaire de la classe 6.1 peuvent être désignés dans le document de transport comme suit :</w:t>
      </w:r>
    </w:p>
    <w:p w:rsidR="00CB22E5" w:rsidRPr="0062788F" w:rsidRDefault="00CB22E5" w:rsidP="004C73C2">
      <w:pPr>
        <w:pStyle w:val="SingleTxtG"/>
        <w:tabs>
          <w:tab w:val="left" w:pos="1985"/>
        </w:tabs>
        <w:rPr>
          <w:lang w:val="fr-FR"/>
        </w:rPr>
      </w:pPr>
      <w:r w:rsidRPr="00442E35">
        <w:rPr>
          <w:lang w:val="fr-FR" w:bidi="fr-CH"/>
        </w:rPr>
        <w:t>“</w:t>
      </w:r>
      <w:r w:rsidRPr="001F7026">
        <w:rPr>
          <w:lang w:bidi="fr-CH"/>
        </w:rPr>
        <w:t>EMBALLAGES VIDES AVEC RESIDUS DE 3, 6.1, 8</w:t>
      </w:r>
      <w:r w:rsidRPr="00442E35">
        <w:rPr>
          <w:lang w:val="fr-FR" w:bidi="fr-CH"/>
        </w:rPr>
        <w:t>”</w:t>
      </w:r>
      <w:r w:rsidRPr="001F7026">
        <w:rPr>
          <w:lang w:bidi="fr-CH"/>
        </w:rPr>
        <w:t>.».</w:t>
      </w:r>
    </w:p>
    <w:p w:rsidR="0062788F" w:rsidRPr="007F1CD1" w:rsidRDefault="0062788F" w:rsidP="0062788F">
      <w:pPr>
        <w:pStyle w:val="SingleTxtG"/>
        <w:rPr>
          <w:i/>
        </w:rPr>
      </w:pPr>
      <w:r w:rsidRPr="007F1CD1">
        <w:rPr>
          <w:i/>
        </w:rPr>
        <w:t xml:space="preserve">(Document de référence: </w:t>
      </w:r>
      <w:r w:rsidRPr="007A5D50">
        <w:rPr>
          <w:i/>
          <w:lang w:val="fr-FR"/>
        </w:rPr>
        <w:t>ECE/TRANS/WP.15/AC.1/2015/</w:t>
      </w:r>
      <w:r>
        <w:rPr>
          <w:i/>
          <w:lang w:val="fr-FR"/>
        </w:rPr>
        <w:t>24</w:t>
      </w:r>
      <w:r w:rsidRPr="007A5D50">
        <w:rPr>
          <w:i/>
          <w:lang w:val="fr-FR"/>
        </w:rPr>
        <w:t xml:space="preserve"> </w:t>
      </w:r>
      <w:r>
        <w:rPr>
          <w:i/>
          <w:lang w:val="fr-FR"/>
        </w:rPr>
        <w:t>tel que modifié</w:t>
      </w:r>
      <w:r w:rsidRPr="007F1CD1">
        <w:rPr>
          <w:i/>
        </w:rPr>
        <w:t>)</w:t>
      </w:r>
    </w:p>
    <w:p w:rsidR="004C73C2" w:rsidRPr="000A40F5" w:rsidRDefault="004C73C2" w:rsidP="004C73C2">
      <w:pPr>
        <w:pStyle w:val="SingleTxtG"/>
        <w:tabs>
          <w:tab w:val="left" w:pos="1985"/>
        </w:tabs>
        <w:rPr>
          <w:lang w:val="fr-FR"/>
        </w:rPr>
      </w:pPr>
      <w:r>
        <w:rPr>
          <w:lang w:val="fr-FR"/>
        </w:rPr>
        <w:t>5.4.3.4</w:t>
      </w:r>
      <w:r>
        <w:rPr>
          <w:lang w:val="fr-FR"/>
        </w:rPr>
        <w:tab/>
        <w:t>A la troisième page du modèle de consignes écrites, insérer la nouvelle étiquette du modèle No 9A à côté de l’étiquette No 9 dans la dernière ligne du tableau.</w:t>
      </w:r>
    </w:p>
    <w:p w:rsidR="00714618" w:rsidRPr="0088237B" w:rsidRDefault="00714618" w:rsidP="00714618">
      <w:pPr>
        <w:pStyle w:val="SingleTxtG"/>
        <w:rPr>
          <w:i/>
        </w:rPr>
      </w:pPr>
      <w:r w:rsidRPr="0088237B">
        <w:rPr>
          <w:i/>
        </w:rPr>
        <w:t>(Document de référence: document informel INF.</w:t>
      </w:r>
      <w:r>
        <w:rPr>
          <w:i/>
        </w:rPr>
        <w:t>9</w:t>
      </w:r>
      <w:r w:rsidRPr="0088237B">
        <w:rPr>
          <w:i/>
        </w:rPr>
        <w:t>)</w:t>
      </w:r>
    </w:p>
    <w:p w:rsidR="006D4BB0" w:rsidRPr="00057D12" w:rsidRDefault="006D4BB0" w:rsidP="006D4BB0">
      <w:pPr>
        <w:pStyle w:val="SingleTxtG"/>
        <w:spacing w:after="0"/>
        <w:rPr>
          <w:lang w:val="fr-FR"/>
        </w:rPr>
      </w:pPr>
      <w:r>
        <w:rPr>
          <w:lang w:val="fr-FR"/>
        </w:rPr>
        <w:t>5.4.3.4 (RID) À la troisième page du modèle de consignes écrites, à la dernière ligne du tableau, à la colonne (2), insérer au début "</w:t>
      </w:r>
      <w:r w:rsidRPr="00057D12">
        <w:rPr>
          <w:sz w:val="16"/>
          <w:szCs w:val="16"/>
          <w:lang w:val="fr-FR"/>
        </w:rPr>
        <w:t xml:space="preserve"> </w:t>
      </w:r>
      <w:r w:rsidRPr="00057D12">
        <w:rPr>
          <w:lang w:val="fr-FR"/>
        </w:rPr>
        <w:t>Risque de brûlures.</w:t>
      </w:r>
      <w:r>
        <w:rPr>
          <w:lang w:val="fr-FR"/>
        </w:rPr>
        <w:t>"</w:t>
      </w:r>
    </w:p>
    <w:p w:rsidR="006D4BB0" w:rsidRPr="0088237B" w:rsidRDefault="006D4BB0" w:rsidP="006D4BB0">
      <w:pPr>
        <w:pStyle w:val="SingleTxtG"/>
        <w:rPr>
          <w:i/>
        </w:rPr>
      </w:pPr>
      <w:r w:rsidRPr="0088237B">
        <w:rPr>
          <w:i/>
        </w:rPr>
        <w:lastRenderedPageBreak/>
        <w:t xml:space="preserve">(Document de référence: </w:t>
      </w:r>
      <w:r>
        <w:rPr>
          <w:i/>
        </w:rPr>
        <w:t xml:space="preserve">ECE/TRANS/WP.15/AC.1/2015/35 et </w:t>
      </w:r>
      <w:r w:rsidRPr="0088237B">
        <w:rPr>
          <w:i/>
        </w:rPr>
        <w:t>document informel INF.</w:t>
      </w:r>
      <w:r>
        <w:rPr>
          <w:i/>
        </w:rPr>
        <w:t>9 tel que modifié</w:t>
      </w:r>
      <w:r w:rsidRPr="0088237B">
        <w:rPr>
          <w:i/>
        </w:rPr>
        <w:t>)</w:t>
      </w:r>
    </w:p>
    <w:p w:rsidR="009E17BD" w:rsidRPr="00A3780A" w:rsidRDefault="009E17BD" w:rsidP="009E17BD">
      <w:pPr>
        <w:pStyle w:val="SingleTxtG"/>
      </w:pPr>
      <w:r w:rsidRPr="00A3780A">
        <w:t>5.4.3.4</w:t>
      </w:r>
      <w:r w:rsidRPr="00A3780A">
        <w:tab/>
      </w:r>
      <w:r w:rsidRPr="00A3780A">
        <w:tab/>
        <w:t xml:space="preserve">Dans le Nota 2 </w:t>
      </w:r>
      <w:r>
        <w:t xml:space="preserve">à la page 3 </w:t>
      </w:r>
      <w:r w:rsidRPr="00A3780A">
        <w:t>du modèle de consignes écrites, remplacer «</w:t>
      </w:r>
      <w:r w:rsidRPr="00A3780A">
        <w:rPr>
          <w:iCs/>
          <w:lang w:eastAsia="fr-FR"/>
        </w:rPr>
        <w:t>ci-dessus</w:t>
      </w:r>
      <w:r w:rsidRPr="00A3780A">
        <w:t>» par «dans la colonne 3</w:t>
      </w:r>
      <w:r w:rsidR="00EE1870">
        <w:t xml:space="preserve"> du tableau</w:t>
      </w:r>
      <w:r w:rsidRPr="00A3780A">
        <w:t>».</w:t>
      </w:r>
    </w:p>
    <w:p w:rsidR="009E17BD" w:rsidRDefault="009E17BD" w:rsidP="009E17BD">
      <w:pPr>
        <w:pStyle w:val="SingleTxtG"/>
        <w:rPr>
          <w:i/>
        </w:rPr>
      </w:pPr>
      <w:r w:rsidRPr="00D972B4">
        <w:rPr>
          <w:i/>
        </w:rPr>
        <w:t xml:space="preserve">(Document de référence: </w:t>
      </w:r>
      <w:r>
        <w:rPr>
          <w:i/>
        </w:rPr>
        <w:t>document informel INF.47</w:t>
      </w:r>
      <w:r w:rsidRPr="00D972B4">
        <w:rPr>
          <w:i/>
        </w:rPr>
        <w:t>)</w:t>
      </w:r>
    </w:p>
    <w:p w:rsidR="006D4BB0" w:rsidRPr="00057D12" w:rsidRDefault="006D4BB0" w:rsidP="001F7026">
      <w:pPr>
        <w:pStyle w:val="SingleTxtG"/>
        <w:tabs>
          <w:tab w:val="left" w:pos="1985"/>
        </w:tabs>
        <w:rPr>
          <w:lang w:val="fr-FR"/>
        </w:rPr>
      </w:pPr>
      <w:r>
        <w:rPr>
          <w:lang w:val="fr-FR"/>
        </w:rPr>
        <w:t xml:space="preserve">5.4.3.4 (ADR) </w:t>
      </w:r>
      <w:r>
        <w:rPr>
          <w:lang w:val="fr-FR"/>
        </w:rPr>
        <w:tab/>
        <w:t>À la quatrième page du modèle de consignes écrites, dans le titre figurant sous le tableau, remplacer «</w:t>
      </w:r>
      <w:r w:rsidRPr="004D381B">
        <w:rPr>
          <w:lang w:val="fr-FR"/>
        </w:rPr>
        <w:t>du véhicule</w:t>
      </w:r>
      <w:r>
        <w:rPr>
          <w:lang w:val="fr-FR"/>
        </w:rPr>
        <w:t>» par «de l’unité de transport».</w:t>
      </w:r>
    </w:p>
    <w:p w:rsidR="006D4BB0" w:rsidRPr="0088237B" w:rsidRDefault="006D4BB0" w:rsidP="006D4BB0">
      <w:pPr>
        <w:pStyle w:val="SingleTxtG"/>
        <w:rPr>
          <w:i/>
        </w:rPr>
      </w:pPr>
      <w:r w:rsidRPr="0088237B">
        <w:rPr>
          <w:i/>
        </w:rPr>
        <w:t xml:space="preserve">(Document de référence: </w:t>
      </w:r>
      <w:r>
        <w:rPr>
          <w:i/>
        </w:rPr>
        <w:t>ECE/TRANS/WP.15/AC.1/2015/35</w:t>
      </w:r>
      <w:r w:rsidRPr="0088237B">
        <w:rPr>
          <w:i/>
        </w:rPr>
        <w:t>)</w:t>
      </w:r>
    </w:p>
    <w:p w:rsidR="004C73C2" w:rsidRPr="000A692B" w:rsidRDefault="004C73C2" w:rsidP="004C73C2">
      <w:pPr>
        <w:pStyle w:val="H1G"/>
        <w:rPr>
          <w:lang w:val="fr-FR"/>
        </w:rPr>
      </w:pPr>
      <w:r w:rsidRPr="00D345C7">
        <w:rPr>
          <w:lang w:val="fr-FR"/>
        </w:rPr>
        <w:tab/>
      </w:r>
      <w:r w:rsidRPr="00D345C7">
        <w:rPr>
          <w:lang w:val="fr-FR"/>
        </w:rPr>
        <w:tab/>
      </w:r>
      <w:r w:rsidRPr="000A692B">
        <w:rPr>
          <w:lang w:val="fr-FR"/>
        </w:rPr>
        <w:t>Chapitre 5.5</w:t>
      </w:r>
    </w:p>
    <w:p w:rsidR="004C73C2" w:rsidRDefault="004C73C2" w:rsidP="004C73C2">
      <w:pPr>
        <w:pStyle w:val="SingleTxtG"/>
        <w:tabs>
          <w:tab w:val="left" w:pos="1985"/>
        </w:tabs>
        <w:rPr>
          <w:lang w:val="fr-FR"/>
        </w:rPr>
      </w:pPr>
      <w:r w:rsidRPr="000A692B">
        <w:rPr>
          <w:lang w:val="fr-FR"/>
        </w:rPr>
        <w:t>5.5.2.1.1</w:t>
      </w:r>
      <w:r w:rsidRPr="000A692B">
        <w:rPr>
          <w:lang w:val="fr-FR"/>
        </w:rPr>
        <w:tab/>
      </w:r>
      <w:r w:rsidRPr="000A692B">
        <w:rPr>
          <w:lang w:val="fr-FR"/>
        </w:rPr>
        <w:tab/>
        <w:t>Supprimer le Nota.</w:t>
      </w:r>
    </w:p>
    <w:p w:rsidR="00E27817" w:rsidRPr="00866AE4" w:rsidRDefault="00E27817" w:rsidP="00087162">
      <w:pPr>
        <w:pStyle w:val="SingleTxtG"/>
        <w:tabs>
          <w:tab w:val="left" w:pos="1985"/>
        </w:tabs>
        <w:rPr>
          <w:lang w:val="fr-FR"/>
        </w:rPr>
      </w:pPr>
      <w:r w:rsidRPr="00224E96">
        <w:rPr>
          <w:lang w:val="fr-FR"/>
        </w:rPr>
        <w:t>5.5.3.6.1</w:t>
      </w:r>
      <w:r w:rsidRPr="00224E96">
        <w:rPr>
          <w:lang w:val="fr-FR"/>
        </w:rPr>
        <w:tab/>
      </w:r>
      <w:r w:rsidRPr="00866AE4">
        <w:rPr>
          <w:lang w:val="fr-FR"/>
        </w:rPr>
        <w:t xml:space="preserve">Dans </w:t>
      </w:r>
      <w:r>
        <w:rPr>
          <w:lang w:val="fr-FR"/>
        </w:rPr>
        <w:t>la deuxième phrase, remplacer «</w:t>
      </w:r>
      <w:r w:rsidRPr="00866AE4">
        <w:rPr>
          <w:lang w:val="fr-FR"/>
        </w:rPr>
        <w:t>Le marquage doit rester ap</w:t>
      </w:r>
      <w:r>
        <w:rPr>
          <w:lang w:val="fr-FR"/>
        </w:rPr>
        <w:t>posé» par «La marque doit rester apposée</w:t>
      </w:r>
      <w:r w:rsidRPr="00866AE4">
        <w:rPr>
          <w:lang w:val="fr-FR"/>
        </w:rPr>
        <w:t>».</w:t>
      </w:r>
    </w:p>
    <w:p w:rsidR="00E27817" w:rsidRPr="00866AE4" w:rsidRDefault="00E27817" w:rsidP="0037509E">
      <w:pPr>
        <w:pStyle w:val="SingleTxtG"/>
        <w:tabs>
          <w:tab w:val="left" w:pos="1985"/>
        </w:tabs>
        <w:rPr>
          <w:lang w:val="fr-FR"/>
        </w:rPr>
      </w:pPr>
      <w:r w:rsidRPr="00224E96">
        <w:rPr>
          <w:lang w:val="fr-FR"/>
        </w:rPr>
        <w:t>5.5.3.6.2</w:t>
      </w:r>
      <w:r w:rsidRPr="00224E96">
        <w:rPr>
          <w:lang w:val="fr-FR"/>
        </w:rPr>
        <w:tab/>
      </w:r>
      <w:r w:rsidRPr="00866AE4">
        <w:rPr>
          <w:lang w:val="fr-FR"/>
        </w:rPr>
        <w:t>Dans l’avant-</w:t>
      </w:r>
      <w:r>
        <w:rPr>
          <w:lang w:val="fr-FR"/>
        </w:rPr>
        <w:t>dernier paragraphe, remplacer «La marque doit être de forme</w:t>
      </w:r>
      <w:r w:rsidRPr="00866AE4">
        <w:rPr>
          <w:lang w:val="fr-FR"/>
        </w:rPr>
        <w:t xml:space="preserve">» par </w:t>
      </w:r>
      <w:r>
        <w:rPr>
          <w:lang w:val="fr-FR"/>
        </w:rPr>
        <w:t>«La marque doit avoir une forme</w:t>
      </w:r>
      <w:r w:rsidRPr="00866AE4">
        <w:rPr>
          <w:lang w:val="fr-FR"/>
        </w:rPr>
        <w:t>».</w:t>
      </w:r>
    </w:p>
    <w:p w:rsidR="00E27817" w:rsidRPr="007A5D50" w:rsidRDefault="00E27817" w:rsidP="00E27817">
      <w:pPr>
        <w:pStyle w:val="SingleTxtG"/>
        <w:tabs>
          <w:tab w:val="left" w:pos="1985"/>
        </w:tabs>
        <w:rPr>
          <w:i/>
          <w:lang w:val="fr-FR"/>
        </w:rPr>
      </w:pPr>
      <w:r w:rsidRPr="007A5D50">
        <w:rPr>
          <w:i/>
          <w:lang w:val="fr-FR"/>
        </w:rPr>
        <w:t>(Documents de référence: ECE/TRANS/WP.15/AC.1/2015/29 et document informel INF.8)</w:t>
      </w:r>
    </w:p>
    <w:p w:rsidR="00F5773F" w:rsidRPr="000A40F5" w:rsidRDefault="00F5773F" w:rsidP="00F5773F">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6.1</w:t>
      </w:r>
    </w:p>
    <w:p w:rsidR="00F5773F" w:rsidRPr="00866AE4" w:rsidRDefault="00F5773F" w:rsidP="00F5773F">
      <w:pPr>
        <w:pStyle w:val="SingleTxtG"/>
        <w:rPr>
          <w:lang w:val="fr-FR"/>
        </w:rPr>
      </w:pPr>
      <w:r w:rsidRPr="00224E96">
        <w:rPr>
          <w:lang w:val="fr-FR"/>
        </w:rPr>
        <w:t>6.1.3.7</w:t>
      </w:r>
      <w:r w:rsidRPr="00224E96">
        <w:rPr>
          <w:lang w:val="fr-FR"/>
        </w:rPr>
        <w:tab/>
      </w:r>
      <w:r w:rsidRPr="00224E96">
        <w:rPr>
          <w:lang w:val="fr-FR"/>
        </w:rPr>
        <w:tab/>
      </w:r>
      <w:r w:rsidR="00426B7A">
        <w:t>L’amendement ne s’applique pas au texte français.</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F5773F" w:rsidRPr="000A40F5" w:rsidRDefault="00F5773F" w:rsidP="00F5773F">
      <w:pPr>
        <w:pStyle w:val="SingleTxtG"/>
        <w:tabs>
          <w:tab w:val="left" w:pos="1843"/>
          <w:tab w:val="left" w:pos="1985"/>
          <w:tab w:val="left" w:pos="2268"/>
        </w:tabs>
        <w:rPr>
          <w:rFonts w:eastAsia="Calibri"/>
          <w:lang w:val="fr-FR"/>
        </w:rPr>
      </w:pPr>
      <w:r w:rsidRPr="000A40F5">
        <w:rPr>
          <w:lang w:val="fr-FR"/>
        </w:rPr>
        <w:t>6.1.3.14</w:t>
      </w:r>
      <w:r w:rsidRPr="000A40F5">
        <w:rPr>
          <w:lang w:val="fr-FR"/>
        </w:rPr>
        <w:tab/>
      </w:r>
      <w:r w:rsidRPr="000A40F5">
        <w:rPr>
          <w:lang w:val="fr-FR"/>
        </w:rPr>
        <w:tab/>
      </w:r>
      <w:r>
        <w:rPr>
          <w:lang w:val="fr-FR"/>
        </w:rPr>
        <w:t>Remplacer «</w:t>
      </w:r>
      <w:r>
        <w:rPr>
          <w:rFonts w:ascii="TimesNewRomanPSMT" w:hAnsi="TimesNewRomanPSMT" w:cs="TimesNewRomanPSMT"/>
          <w:lang w:val="fr-FR" w:eastAsia="fr-FR"/>
        </w:rPr>
        <w:t>du marquage</w:t>
      </w:r>
      <w:r>
        <w:rPr>
          <w:lang w:val="fr-FR"/>
        </w:rPr>
        <w:t>» par «</w:t>
      </w:r>
      <w:r>
        <w:rPr>
          <w:rFonts w:ascii="TimesNewRomanPSMT" w:hAnsi="TimesNewRomanPSMT" w:cs="TimesNewRomanPSMT"/>
          <w:lang w:val="fr-FR" w:eastAsia="fr-FR"/>
        </w:rPr>
        <w:t>des marques</w:t>
      </w:r>
      <w:r>
        <w:rPr>
          <w:lang w:val="fr-FR"/>
        </w:rPr>
        <w:t>».</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BE40E1" w:rsidRPr="00A5379B" w:rsidRDefault="00BE40E1" w:rsidP="00BE40E1">
      <w:pPr>
        <w:pStyle w:val="H1G"/>
      </w:pPr>
      <w:r w:rsidRPr="00A5379B">
        <w:tab/>
      </w:r>
      <w:r w:rsidRPr="00A5379B">
        <w:tab/>
        <w:t xml:space="preserve">Chapitre </w:t>
      </w:r>
      <w:r>
        <w:t>6.2</w:t>
      </w:r>
    </w:p>
    <w:p w:rsidR="00F5773F" w:rsidRPr="000A40F5" w:rsidRDefault="00F5773F" w:rsidP="00F5773F">
      <w:pPr>
        <w:pStyle w:val="SingleTxtG"/>
        <w:tabs>
          <w:tab w:val="left" w:pos="1843"/>
          <w:tab w:val="left" w:pos="1985"/>
          <w:tab w:val="left" w:pos="2268"/>
        </w:tabs>
        <w:rPr>
          <w:rFonts w:eastAsia="Calibri"/>
          <w:lang w:val="fr-FR"/>
        </w:rPr>
      </w:pPr>
      <w:r w:rsidRPr="000A40F5">
        <w:rPr>
          <w:lang w:val="fr-FR"/>
        </w:rPr>
        <w:t>6.2.3.5.2</w:t>
      </w:r>
      <w:r w:rsidRPr="000A40F5">
        <w:rPr>
          <w:lang w:val="fr-FR"/>
        </w:rPr>
        <w:tab/>
      </w:r>
      <w:r>
        <w:rPr>
          <w:lang w:val="fr-FR"/>
        </w:rPr>
        <w:t xml:space="preserve"> a)</w:t>
      </w:r>
      <w:r w:rsidRPr="000A40F5">
        <w:rPr>
          <w:lang w:val="fr-FR"/>
        </w:rPr>
        <w:tab/>
      </w:r>
      <w:r>
        <w:rPr>
          <w:lang w:val="fr-FR"/>
        </w:rPr>
        <w:t>Remplacer «marquage extérieurs» par «marques extérieures»</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F5773F" w:rsidRPr="004C676B" w:rsidRDefault="00F5773F" w:rsidP="00F5773F">
      <w:pPr>
        <w:pStyle w:val="SingleTxtG"/>
      </w:pPr>
      <w:r w:rsidRPr="004C676B">
        <w:t>6.2.3.9.1</w:t>
      </w:r>
      <w:r w:rsidRPr="004C676B">
        <w:tab/>
        <w:t>L’amendement ne s’applique pas au texte français.</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F5773F" w:rsidRPr="004C676B" w:rsidRDefault="00F5773F" w:rsidP="00F5773F">
      <w:pPr>
        <w:pStyle w:val="SingleTxtG"/>
      </w:pPr>
      <w:r w:rsidRPr="004C676B">
        <w:t>6.2.3.9.7.3 a)</w:t>
      </w:r>
      <w:r w:rsidRPr="004C676B">
        <w:tab/>
        <w:t>Remplacer «Ce marquage» par «Cette marque».</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F5773F" w:rsidRPr="004C676B" w:rsidRDefault="00F5773F" w:rsidP="00F5773F">
      <w:pPr>
        <w:pStyle w:val="SingleTxtG"/>
      </w:pPr>
      <w:r w:rsidRPr="004C676B">
        <w:t>6.2.3.10.1</w:t>
      </w:r>
      <w:r w:rsidRPr="004C676B">
        <w:tab/>
        <w:t>L’amendement ne s’applique pas au texte français.</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F5773F" w:rsidRPr="000A40F5" w:rsidRDefault="00F5773F" w:rsidP="00F5773F">
      <w:pPr>
        <w:pStyle w:val="SingleTxtG"/>
        <w:tabs>
          <w:tab w:val="left" w:pos="1843"/>
          <w:tab w:val="left" w:pos="1985"/>
          <w:tab w:val="left" w:pos="2268"/>
        </w:tabs>
        <w:rPr>
          <w:lang w:val="fr-FR"/>
        </w:rPr>
      </w:pPr>
      <w:r w:rsidRPr="000A40F5">
        <w:rPr>
          <w:rFonts w:eastAsia="Calibri"/>
          <w:lang w:val="fr-FR"/>
        </w:rPr>
        <w:t>6.2.3.11.4</w:t>
      </w:r>
      <w:r w:rsidRPr="000A40F5">
        <w:rPr>
          <w:rFonts w:eastAsia="Calibri"/>
          <w:lang w:val="fr-FR"/>
        </w:rPr>
        <w:tab/>
      </w:r>
      <w:r w:rsidRPr="000A40F5">
        <w:rPr>
          <w:rFonts w:eastAsia="Calibri"/>
          <w:lang w:val="fr-FR"/>
        </w:rPr>
        <w:tab/>
      </w:r>
      <w:r>
        <w:rPr>
          <w:rFonts w:eastAsia="Calibri"/>
          <w:lang w:val="fr-FR"/>
        </w:rPr>
        <w:t xml:space="preserve">Dans la dernière phrase, remplacer «Le marquage doit indiquer» par «Les marques doivent inclure». </w:t>
      </w:r>
    </w:p>
    <w:p w:rsidR="00F5773F" w:rsidRPr="007A5D50" w:rsidRDefault="00F5773F" w:rsidP="00F5773F">
      <w:pPr>
        <w:pStyle w:val="SingleTxtG"/>
        <w:tabs>
          <w:tab w:val="left" w:pos="1985"/>
        </w:tabs>
        <w:rPr>
          <w:i/>
          <w:lang w:val="fr-FR"/>
        </w:rPr>
      </w:pPr>
      <w:r w:rsidRPr="007A5D50">
        <w:rPr>
          <w:i/>
          <w:lang w:val="fr-FR"/>
        </w:rPr>
        <w:t>(Documents de référence: ECE/TRANS/WP.15/AC.1/2015/29 et document informel INF.8)</w:t>
      </w:r>
    </w:p>
    <w:p w:rsidR="00A3651D" w:rsidRPr="00A5379B" w:rsidRDefault="00A3651D" w:rsidP="00A3651D">
      <w:pPr>
        <w:pStyle w:val="SingleTxt"/>
        <w:tabs>
          <w:tab w:val="clear" w:pos="1267"/>
        </w:tabs>
        <w:ind w:left="1134"/>
      </w:pPr>
      <w:r w:rsidRPr="00A5379B">
        <w:t>6.2.</w:t>
      </w:r>
      <w:r>
        <w:t>4.1</w:t>
      </w:r>
      <w:r>
        <w:tab/>
      </w:r>
      <w:r>
        <w:tab/>
        <w:t>Dans le tableau, pour EN 1251-2:2000, dans la deuxième colonne, ajouter le Nota suivant: «</w:t>
      </w:r>
      <w:r w:rsidRPr="000C63DA">
        <w:rPr>
          <w:b/>
          <w:i/>
        </w:rPr>
        <w:t>NOTA:</w:t>
      </w:r>
      <w:r>
        <w:t xml:space="preserve"> </w:t>
      </w:r>
      <w:r w:rsidRPr="000C63DA">
        <w:rPr>
          <w:i/>
        </w:rPr>
        <w:t xml:space="preserve">La norme EN 1251-1:1998 à laquelle il est fait référence dans cette norme est également applicable aux récipients cryogéniques </w:t>
      </w:r>
      <w:r w:rsidRPr="000C63DA">
        <w:rPr>
          <w:i/>
        </w:rPr>
        <w:lastRenderedPageBreak/>
        <w:t>fermés pour le transport du No ONU 1972 (</w:t>
      </w:r>
      <w:r w:rsidR="00251A6C" w:rsidRPr="00251A6C">
        <w:rPr>
          <w:i/>
        </w:rPr>
        <w:t>MÉTHANE COMPRIMÉ ou GAZ NATUREL COMPRIMÉ</w:t>
      </w:r>
      <w:r w:rsidRPr="000C63DA">
        <w:rPr>
          <w:i/>
        </w:rPr>
        <w:t>).</w:t>
      </w:r>
      <w:r w:rsidRPr="000C63DA">
        <w:t>»</w:t>
      </w:r>
      <w:r>
        <w:t>.</w:t>
      </w:r>
    </w:p>
    <w:p w:rsidR="00A3651D" w:rsidRDefault="00A3651D" w:rsidP="00A3651D">
      <w:pPr>
        <w:pStyle w:val="SingleTxtG"/>
        <w:rPr>
          <w:i/>
        </w:rPr>
      </w:pPr>
      <w:r w:rsidRPr="00D972B4">
        <w:rPr>
          <w:i/>
        </w:rPr>
        <w:t xml:space="preserve">(Document de référence: </w:t>
      </w:r>
      <w:r>
        <w:rPr>
          <w:i/>
        </w:rPr>
        <w:t>document informel INF.50</w:t>
      </w:r>
      <w:r w:rsidRPr="00D972B4">
        <w:rPr>
          <w:i/>
        </w:rPr>
        <w:t>)</w:t>
      </w:r>
    </w:p>
    <w:p w:rsidR="00BE40E1" w:rsidRPr="00A5379B" w:rsidRDefault="00BE40E1" w:rsidP="00BE40E1">
      <w:pPr>
        <w:pStyle w:val="SingleTxt"/>
        <w:tabs>
          <w:tab w:val="clear" w:pos="1267"/>
        </w:tabs>
        <w:ind w:left="1134"/>
      </w:pPr>
      <w:r w:rsidRPr="00A5379B">
        <w:t>6.2.6.1.5</w:t>
      </w:r>
      <w:r>
        <w:tab/>
        <w:t>A</w:t>
      </w:r>
      <w:r w:rsidRPr="00A5379B">
        <w:t xml:space="preserve">jouter </w:t>
      </w:r>
      <w:r>
        <w:t>la nouvelle phrase suivante à la fin: «</w:t>
      </w:r>
      <w:r w:rsidRPr="00A5379B">
        <w:t xml:space="preserve">En outre, le produit de la pression d’épreuve et de la capacité en eau ne doit pas dépasser </w:t>
      </w:r>
      <w:r>
        <w:t>30</w:t>
      </w:r>
      <w:r w:rsidRPr="00A5379B">
        <w:t> bar</w:t>
      </w:r>
      <w:r>
        <w:t>.</w:t>
      </w:r>
      <w:r w:rsidRPr="00A5379B">
        <w:t xml:space="preserve">litres </w:t>
      </w:r>
      <w:r>
        <w:t>pour les gaz liquéfiés ou 54</w:t>
      </w:r>
      <w:r w:rsidRPr="00A5379B">
        <w:t> bar</w:t>
      </w:r>
      <w:r>
        <w:t>.</w:t>
      </w:r>
      <w:r w:rsidRPr="00A5379B">
        <w:t>litres</w:t>
      </w:r>
      <w:r>
        <w:t xml:space="preserve"> pour les gaz comprimés </w:t>
      </w:r>
      <w:r w:rsidRPr="00A5379B">
        <w:t xml:space="preserve">et la pression d’épreuve ne doit pas être supérieure à 250 bar pour les gaz liquéfiés ou </w:t>
      </w:r>
      <w:r>
        <w:t>450 bar pour les gaz comprimés.</w:t>
      </w:r>
      <w:r w:rsidRPr="00A5379B">
        <w:t>».</w:t>
      </w:r>
    </w:p>
    <w:p w:rsidR="00BE40E1" w:rsidRDefault="00BE40E1" w:rsidP="00BE40E1">
      <w:pPr>
        <w:pStyle w:val="SingleTxtG"/>
        <w:rPr>
          <w:i/>
        </w:rPr>
      </w:pPr>
      <w:r w:rsidRPr="00D972B4">
        <w:rPr>
          <w:i/>
        </w:rPr>
        <w:t xml:space="preserve"> (Document de référence: </w:t>
      </w:r>
      <w:r>
        <w:rPr>
          <w:i/>
        </w:rPr>
        <w:t>document informel INF.15 tel que modifié</w:t>
      </w:r>
      <w:r w:rsidRPr="00D972B4">
        <w:rPr>
          <w:i/>
        </w:rPr>
        <w:t>)</w:t>
      </w:r>
    </w:p>
    <w:p w:rsidR="008070E7" w:rsidRPr="00BF4C0B" w:rsidRDefault="008070E7" w:rsidP="008070E7">
      <w:pPr>
        <w:pStyle w:val="H1G"/>
        <w:tabs>
          <w:tab w:val="left" w:pos="1985"/>
        </w:tabs>
        <w:rPr>
          <w:lang w:val="fr-FR"/>
        </w:rPr>
      </w:pPr>
      <w:r>
        <w:rPr>
          <w:lang w:val="fr-FR"/>
        </w:rPr>
        <w:tab/>
      </w:r>
      <w:r>
        <w:rPr>
          <w:lang w:val="fr-FR"/>
        </w:rPr>
        <w:tab/>
      </w:r>
      <w:r w:rsidRPr="00BF4C0B">
        <w:rPr>
          <w:lang w:val="fr-FR"/>
        </w:rPr>
        <w:t>Chapitre 6.3</w:t>
      </w:r>
    </w:p>
    <w:p w:rsidR="008070E7" w:rsidRPr="00866AE4" w:rsidRDefault="008070E7" w:rsidP="008070E7">
      <w:pPr>
        <w:pStyle w:val="SingleTxtG"/>
        <w:rPr>
          <w:lang w:val="fr-FR"/>
        </w:rPr>
      </w:pPr>
      <w:r w:rsidRPr="00327193">
        <w:rPr>
          <w:lang w:val="fr-FR"/>
        </w:rPr>
        <w:t>6.3.4.3</w:t>
      </w:r>
      <w:r w:rsidRPr="00327193">
        <w:rPr>
          <w:lang w:val="fr-FR"/>
        </w:rPr>
        <w:tab/>
      </w:r>
      <w:r w:rsidRPr="00327193">
        <w:rPr>
          <w:lang w:val="fr-FR"/>
        </w:rPr>
        <w:tab/>
      </w:r>
      <w:r w:rsidR="00622095">
        <w:t>L’amendement ne s’applique pas au texte français.</w:t>
      </w:r>
    </w:p>
    <w:p w:rsidR="008070E7" w:rsidRPr="007A5D50" w:rsidRDefault="008070E7" w:rsidP="008070E7">
      <w:pPr>
        <w:pStyle w:val="SingleTxtG"/>
        <w:tabs>
          <w:tab w:val="left" w:pos="1985"/>
        </w:tabs>
        <w:rPr>
          <w:i/>
          <w:lang w:val="fr-FR"/>
        </w:rPr>
      </w:pPr>
      <w:r w:rsidRPr="007A5D50">
        <w:rPr>
          <w:i/>
          <w:lang w:val="fr-FR"/>
        </w:rPr>
        <w:t>(Documents de référence: ECE/TRANS/WP.15/AC.1/2015/29 et document informel INF.8)</w:t>
      </w:r>
    </w:p>
    <w:p w:rsidR="00F63896" w:rsidRDefault="00F63896" w:rsidP="00F63896">
      <w:pPr>
        <w:pStyle w:val="H1G"/>
      </w:pPr>
      <w:r>
        <w:tab/>
      </w:r>
      <w:r>
        <w:tab/>
        <w:t>Chapitre 6.4</w:t>
      </w:r>
    </w:p>
    <w:p w:rsidR="00F63896" w:rsidRDefault="00F63896" w:rsidP="00F63896">
      <w:pPr>
        <w:pStyle w:val="SingleTxtG"/>
        <w:tabs>
          <w:tab w:val="left" w:pos="1843"/>
        </w:tabs>
      </w:pPr>
      <w:r>
        <w:t>6.4.22.8</w:t>
      </w:r>
      <w:r w:rsidR="00327193">
        <w:t xml:space="preserve"> (RID/ADR)</w:t>
      </w:r>
      <w:r w:rsidR="00327193">
        <w:tab/>
      </w:r>
      <w:r>
        <w:t>Le premier amendement ne s’applique pas au texte français.</w:t>
      </w:r>
    </w:p>
    <w:p w:rsidR="00F63896" w:rsidRDefault="00F63896" w:rsidP="00F63896">
      <w:pPr>
        <w:pStyle w:val="SingleTxtG"/>
        <w:tabs>
          <w:tab w:val="left" w:pos="1843"/>
        </w:tabs>
      </w:pPr>
      <w:r>
        <w:t>6.4.22.8 a)</w:t>
      </w:r>
      <w:r w:rsidR="00327193" w:rsidRPr="00327193">
        <w:t xml:space="preserve"> </w:t>
      </w:r>
      <w:r w:rsidR="00327193">
        <w:t>(ADR)</w:t>
      </w:r>
      <w:r w:rsidR="00327193">
        <w:tab/>
      </w:r>
      <w:r>
        <w:t>Remplacer «du premier pays partie à l'ADR touché par l'envoi» par «d’un pays Partie contractante à l’ADR».</w:t>
      </w:r>
    </w:p>
    <w:p w:rsidR="00F63896" w:rsidRDefault="00F63896" w:rsidP="00F63896">
      <w:pPr>
        <w:pStyle w:val="SingleTxtG"/>
        <w:tabs>
          <w:tab w:val="left" w:pos="1843"/>
        </w:tabs>
      </w:pPr>
      <w:r>
        <w:t>6.4.22.8 b)</w:t>
      </w:r>
      <w:r w:rsidR="00327193">
        <w:t xml:space="preserve"> (ADR)</w:t>
      </w:r>
      <w:r>
        <w:tab/>
        <w:t>Remplacer «du premier pays partie contractante à l'ADR touché par l'envoi» par «d’un tel pays».</w:t>
      </w:r>
    </w:p>
    <w:p w:rsidR="00F63896" w:rsidRDefault="00F63896" w:rsidP="00F63896">
      <w:pPr>
        <w:pStyle w:val="SingleTxtG"/>
        <w:tabs>
          <w:tab w:val="left" w:pos="1843"/>
        </w:tabs>
      </w:pPr>
      <w:r>
        <w:t>6.4.22.8 a)</w:t>
      </w:r>
      <w:r w:rsidR="00327193" w:rsidRPr="00327193">
        <w:t xml:space="preserve"> </w:t>
      </w:r>
      <w:r w:rsidR="00327193">
        <w:t>(RID)</w:t>
      </w:r>
      <w:r>
        <w:tab/>
        <w:t>Remplacer «du premier Etat partie au RID touché par l'envoi» par «d’un Etat partie au RID».</w:t>
      </w:r>
    </w:p>
    <w:p w:rsidR="00F63896" w:rsidRDefault="00F63896" w:rsidP="00F63896">
      <w:pPr>
        <w:pStyle w:val="SingleTxtG"/>
        <w:tabs>
          <w:tab w:val="left" w:pos="1843"/>
        </w:tabs>
      </w:pPr>
      <w:r>
        <w:t>6.4.22.8 b)</w:t>
      </w:r>
      <w:r w:rsidR="00327193" w:rsidRPr="00327193">
        <w:t xml:space="preserve"> </w:t>
      </w:r>
      <w:r w:rsidR="00327193">
        <w:t>(RID)</w:t>
      </w:r>
      <w:r>
        <w:tab/>
        <w:t>Remplacer «du premier Etat partie au RID touché par l'envoi» par «d’un tel Etat».</w:t>
      </w:r>
    </w:p>
    <w:p w:rsidR="00F63896" w:rsidRDefault="00F63896" w:rsidP="00F63896">
      <w:pPr>
        <w:pStyle w:val="SingleTxtG"/>
        <w:rPr>
          <w:i/>
        </w:rPr>
      </w:pPr>
      <w:r>
        <w:rPr>
          <w:i/>
        </w:rPr>
        <w:t>(Document de référence: document informel INF.45 tel que modifié)</w:t>
      </w:r>
    </w:p>
    <w:p w:rsidR="00D2763D" w:rsidRPr="000A40F5" w:rsidRDefault="00D2763D" w:rsidP="00D2763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6.8</w:t>
      </w:r>
    </w:p>
    <w:p w:rsidR="00D2763D" w:rsidRPr="00866AE4" w:rsidRDefault="00D2763D" w:rsidP="00327193">
      <w:pPr>
        <w:pStyle w:val="SingleTxt"/>
        <w:tabs>
          <w:tab w:val="clear" w:pos="1267"/>
        </w:tabs>
        <w:ind w:left="1134"/>
        <w:rPr>
          <w:lang w:val="fr-FR"/>
        </w:rPr>
      </w:pPr>
      <w:r w:rsidRPr="00327193">
        <w:rPr>
          <w:lang w:val="fr-FR"/>
        </w:rPr>
        <w:t>6.8.2.5.2</w:t>
      </w:r>
      <w:r w:rsidR="00327193">
        <w:rPr>
          <w:lang w:val="fr-FR"/>
        </w:rPr>
        <w:t xml:space="preserve"> </w:t>
      </w:r>
      <w:r w:rsidRPr="00866AE4">
        <w:rPr>
          <w:lang w:val="fr-FR"/>
        </w:rPr>
        <w:t>(RID)</w:t>
      </w:r>
      <w:r w:rsidRPr="00866AE4">
        <w:rPr>
          <w:lang w:val="fr-FR"/>
        </w:rPr>
        <w:tab/>
        <w:t>Dans la colonne de gauche, au premier tiret, rempla</w:t>
      </w:r>
      <w:r>
        <w:rPr>
          <w:lang w:val="fr-FR"/>
        </w:rPr>
        <w:t>cer «marquage» par «marque</w:t>
      </w:r>
      <w:r w:rsidRPr="00866AE4">
        <w:rPr>
          <w:lang w:val="fr-FR"/>
        </w:rPr>
        <w:t>».</w:t>
      </w:r>
    </w:p>
    <w:p w:rsidR="00D2763D" w:rsidRPr="007A5D50" w:rsidRDefault="00D2763D" w:rsidP="00D2763D">
      <w:pPr>
        <w:pStyle w:val="SingleTxtG"/>
        <w:tabs>
          <w:tab w:val="left" w:pos="1985"/>
        </w:tabs>
        <w:rPr>
          <w:i/>
          <w:lang w:val="fr-FR"/>
        </w:rPr>
      </w:pPr>
      <w:r w:rsidRPr="007A5D50">
        <w:rPr>
          <w:i/>
          <w:lang w:val="fr-FR"/>
        </w:rPr>
        <w:t>(Documents de référence: ECE/TRANS/WP.15/AC.1/2015/29 et document informel INF.8)</w:t>
      </w:r>
    </w:p>
    <w:p w:rsidR="00452FD2" w:rsidRPr="00A5379B" w:rsidRDefault="00452FD2" w:rsidP="00D2763D">
      <w:pPr>
        <w:pStyle w:val="SingleTxt"/>
        <w:tabs>
          <w:tab w:val="clear" w:pos="1267"/>
        </w:tabs>
        <w:ind w:left="1134"/>
      </w:pPr>
      <w:r w:rsidRPr="00A5379B">
        <w:t>6.</w:t>
      </w:r>
      <w:r>
        <w:t>8.2.6.1</w:t>
      </w:r>
      <w:r w:rsidR="00327193">
        <w:t xml:space="preserve"> </w:t>
      </w:r>
      <w:r w:rsidR="00327193">
        <w:rPr>
          <w:lang w:val="fr-CH"/>
        </w:rPr>
        <w:t>(ADR)</w:t>
      </w:r>
      <w:r>
        <w:tab/>
        <w:t>Dans le tableau, pour EN 13530-2:2002 + A1:2004, dans la deuxième colonne, ajouter le Nota suivant: «</w:t>
      </w:r>
      <w:r w:rsidRPr="000C63DA">
        <w:rPr>
          <w:b/>
          <w:i/>
        </w:rPr>
        <w:t>NOTA:</w:t>
      </w:r>
      <w:r>
        <w:t xml:space="preserve"> </w:t>
      </w:r>
      <w:r w:rsidRPr="000C63DA">
        <w:rPr>
          <w:i/>
        </w:rPr>
        <w:t xml:space="preserve">La norme EN 1251-1:1998 à laquelle il est fait référence dans cette norme est également applicable aux </w:t>
      </w:r>
      <w:r>
        <w:rPr>
          <w:i/>
        </w:rPr>
        <w:t>citernes</w:t>
      </w:r>
      <w:r w:rsidRPr="000C63DA">
        <w:rPr>
          <w:i/>
        </w:rPr>
        <w:t xml:space="preserve"> pour le transport du No ONU 1972 (</w:t>
      </w:r>
      <w:r w:rsidR="0076202F" w:rsidRPr="00251A6C">
        <w:rPr>
          <w:i/>
        </w:rPr>
        <w:t>MÉTHANE COMPRIMÉ ou GAZ NATUREL COMPRIMÉ</w:t>
      </w:r>
      <w:r w:rsidRPr="000C63DA">
        <w:rPr>
          <w:i/>
        </w:rPr>
        <w:t>).</w:t>
      </w:r>
      <w:r w:rsidRPr="000C63DA">
        <w:t>»</w:t>
      </w:r>
      <w:r>
        <w:t>.</w:t>
      </w:r>
    </w:p>
    <w:p w:rsidR="0076202F" w:rsidRDefault="0076202F" w:rsidP="0076202F">
      <w:pPr>
        <w:pStyle w:val="SingleTxtG"/>
        <w:rPr>
          <w:i/>
        </w:rPr>
      </w:pPr>
      <w:r w:rsidRPr="00D972B4">
        <w:rPr>
          <w:i/>
        </w:rPr>
        <w:t xml:space="preserve">(Document de référence: </w:t>
      </w:r>
      <w:r>
        <w:rPr>
          <w:i/>
        </w:rPr>
        <w:t>document informel INF.50</w:t>
      </w:r>
      <w:r w:rsidRPr="00D972B4">
        <w:rPr>
          <w:i/>
        </w:rPr>
        <w:t>)</w:t>
      </w:r>
    </w:p>
    <w:p w:rsidR="00D2763D" w:rsidRPr="000A40F5" w:rsidRDefault="00D2763D" w:rsidP="00D2763D">
      <w:pPr>
        <w:pStyle w:val="SingleTxtG"/>
        <w:tabs>
          <w:tab w:val="left" w:pos="1843"/>
          <w:tab w:val="left" w:pos="1985"/>
          <w:tab w:val="left" w:pos="2268"/>
        </w:tabs>
        <w:rPr>
          <w:rFonts w:eastAsia="Calibri"/>
          <w:lang w:val="fr-FR"/>
        </w:rPr>
      </w:pPr>
      <w:r w:rsidRPr="000A40F5">
        <w:rPr>
          <w:lang w:val="fr-FR"/>
        </w:rPr>
        <w:t>6.8.3.4.15 e)</w:t>
      </w:r>
      <w:r w:rsidRPr="000A40F5">
        <w:rPr>
          <w:lang w:val="fr-FR"/>
        </w:rPr>
        <w:tab/>
      </w:r>
      <w:r>
        <w:rPr>
          <w:lang w:val="fr-FR"/>
        </w:rPr>
        <w:t>(ADR)</w:t>
      </w:r>
      <w:r w:rsidRPr="000A40F5">
        <w:rPr>
          <w:lang w:val="fr-FR"/>
        </w:rPr>
        <w:tab/>
      </w:r>
      <w:r w:rsidRPr="000A40F5">
        <w:rPr>
          <w:lang w:val="fr-FR"/>
        </w:rPr>
        <w:tab/>
      </w:r>
      <w:r>
        <w:rPr>
          <w:lang w:val="fr-FR"/>
        </w:rPr>
        <w:t>Remplacer «</w:t>
      </w:r>
      <w:r>
        <w:rPr>
          <w:rFonts w:ascii="TimesNewRomanPSMT" w:hAnsi="TimesNewRomanPSMT" w:cs="TimesNewRomanPSMT"/>
          <w:lang w:val="fr-FR" w:eastAsia="fr-FR"/>
        </w:rPr>
        <w:t>les inscriptions prescrites</w:t>
      </w:r>
      <w:r>
        <w:rPr>
          <w:lang w:val="fr-FR"/>
        </w:rPr>
        <w:t>» par «les marques prescrites».</w:t>
      </w:r>
    </w:p>
    <w:p w:rsidR="00D2763D" w:rsidRPr="007A5D50" w:rsidRDefault="00D2763D" w:rsidP="00D2763D">
      <w:pPr>
        <w:pStyle w:val="SingleTxtG"/>
        <w:tabs>
          <w:tab w:val="left" w:pos="1985"/>
        </w:tabs>
        <w:rPr>
          <w:i/>
          <w:lang w:val="fr-FR"/>
        </w:rPr>
      </w:pPr>
      <w:r w:rsidRPr="007A5D50">
        <w:rPr>
          <w:i/>
          <w:lang w:val="fr-FR"/>
        </w:rPr>
        <w:t>(Documents de référence: ECE/TRANS/WP.15/AC.1/2015/29 et document informel INF.8)</w:t>
      </w:r>
    </w:p>
    <w:p w:rsidR="00D2763D" w:rsidRPr="00866AE4" w:rsidRDefault="00D2763D" w:rsidP="00327193">
      <w:pPr>
        <w:pStyle w:val="SingleTxtG"/>
        <w:tabs>
          <w:tab w:val="left" w:pos="1843"/>
          <w:tab w:val="left" w:pos="1985"/>
          <w:tab w:val="left" w:pos="2268"/>
        </w:tabs>
        <w:rPr>
          <w:lang w:val="fr-FR"/>
        </w:rPr>
      </w:pPr>
      <w:r w:rsidRPr="00327193">
        <w:rPr>
          <w:lang w:val="fr-FR"/>
        </w:rPr>
        <w:t>6.8.3.5.11</w:t>
      </w:r>
      <w:r w:rsidRPr="00866AE4">
        <w:rPr>
          <w:lang w:val="fr-FR"/>
        </w:rPr>
        <w:tab/>
        <w:t>(RID)</w:t>
      </w:r>
      <w:r w:rsidRPr="00866AE4">
        <w:rPr>
          <w:lang w:val="fr-FR"/>
        </w:rPr>
        <w:tab/>
        <w:t>Dans la colonne de gauche, au premier tiret, rempla</w:t>
      </w:r>
      <w:r>
        <w:rPr>
          <w:lang w:val="fr-FR"/>
        </w:rPr>
        <w:t>cer «marquage» par «marque</w:t>
      </w:r>
      <w:r w:rsidRPr="00866AE4">
        <w:rPr>
          <w:lang w:val="fr-FR"/>
        </w:rPr>
        <w:t>».</w:t>
      </w:r>
    </w:p>
    <w:p w:rsidR="00D2763D" w:rsidRPr="007A5D50" w:rsidRDefault="00D2763D" w:rsidP="00D2763D">
      <w:pPr>
        <w:pStyle w:val="SingleTxtG"/>
        <w:tabs>
          <w:tab w:val="left" w:pos="1985"/>
        </w:tabs>
        <w:rPr>
          <w:i/>
          <w:lang w:val="fr-FR"/>
        </w:rPr>
      </w:pPr>
      <w:r w:rsidRPr="007A5D50">
        <w:rPr>
          <w:i/>
          <w:lang w:val="fr-FR"/>
        </w:rPr>
        <w:lastRenderedPageBreak/>
        <w:t>(Documents de référence: ECE/TRANS/WP.15/AC.1/2015/29 et document informel INF.8)</w:t>
      </w:r>
    </w:p>
    <w:p w:rsidR="0076202F" w:rsidRDefault="0076202F" w:rsidP="0076202F">
      <w:pPr>
        <w:pStyle w:val="SingleTxtG"/>
      </w:pPr>
      <w:r>
        <w:t>6.8.3.6</w:t>
      </w:r>
      <w:r>
        <w:tab/>
        <w:t xml:space="preserve"> (RID)</w:t>
      </w:r>
      <w:r>
        <w:tab/>
        <w:t>Supprimer «(Réservé)» et ajouter le nouveau texte suivant sous le titre:</w:t>
      </w:r>
    </w:p>
    <w:p w:rsidR="0076202F" w:rsidRPr="00BA1E4B" w:rsidRDefault="0076202F" w:rsidP="0076202F">
      <w:pPr>
        <w:pStyle w:val="SingleTxtG"/>
        <w:rPr>
          <w:i/>
        </w:rPr>
      </w:pPr>
      <w:r>
        <w:t>«</w:t>
      </w:r>
      <w:r w:rsidRPr="00BA1E4B">
        <w:rPr>
          <w:b/>
          <w:i/>
        </w:rPr>
        <w:t>NOTA:</w:t>
      </w:r>
      <w:r w:rsidRPr="00BA1E4B">
        <w:rPr>
          <w:i/>
        </w:rPr>
        <w:t xml:space="preserve"> Les personnes et organismes identifiés dans les normes comme ayant des responsabilités selon le RID doivent répondre aux prescriptions du RID.</w:t>
      </w:r>
    </w:p>
    <w:p w:rsidR="0076202F" w:rsidRDefault="0076202F" w:rsidP="0076202F">
      <w:pPr>
        <w:pStyle w:val="SingleTxtG"/>
      </w:pPr>
      <w:r w:rsidRPr="00BB6907">
        <w:t>Les certificats d’agrément de type doivent être délivrés conformément au 1.8.7.</w:t>
      </w:r>
      <w:r>
        <w:t xml:space="preserve"> La norme citée en référence dans le tableau ci-après doit être appliquée pour la délivrance des agréments de type comme indiqué dans la colonne (4) pour satisfaire aux prescriptions du chapitre 6.8 citées dans la colonne (3). </w:t>
      </w:r>
      <w:r w:rsidRPr="00BB6907">
        <w:t>Les normes doivent être appliquées conformément au 1.1.5.</w:t>
      </w:r>
      <w:r>
        <w:t xml:space="preserve"> La colonne (5) indique la date ultime à laquelle les agréments de type existants doivent être retirés conformément au 1.8.7.2.4; si aucune date n’est indiquée, l’agrément de type demeure valide jusqu’à sa date d’expiration.</w:t>
      </w:r>
    </w:p>
    <w:p w:rsidR="0076202F" w:rsidRDefault="0076202F" w:rsidP="0076202F">
      <w:pPr>
        <w:pStyle w:val="SingleTxtG"/>
      </w:pPr>
      <w:r>
        <w:t xml:space="preserve">Depuis le 1er janvier 2009, l’application des normes citées en référence est devenue obligatoire. Les exceptions sont traitées au 6.8.3.7. </w:t>
      </w:r>
    </w:p>
    <w:p w:rsidR="0076202F" w:rsidRDefault="0076202F" w:rsidP="0076202F">
      <w:pPr>
        <w:pStyle w:val="SingleTxtG"/>
      </w:pPr>
      <w:r>
        <w:t>Si plus d’une norme est citée en référence pour l’application des mêmes prescriptions, seule l’une d’entre elles doit être appliquée, mais dans sa totalité à moins qu’il n’en soit spécifié autrement dans le tableau ci-dessous.</w:t>
      </w:r>
    </w:p>
    <w:p w:rsidR="0076202F" w:rsidRDefault="0076202F" w:rsidP="0076202F">
      <w:pPr>
        <w:pStyle w:val="SingleTxtG"/>
      </w:pPr>
      <w:r>
        <w:t>Le champ d’application de chaque norme est défini dans l’article de champ d’application de la norme à moins qu’il n’en soit spécifié autrement dans le tableau ci-dessous.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314"/>
        <w:gridCol w:w="2678"/>
        <w:gridCol w:w="1843"/>
        <w:gridCol w:w="1270"/>
      </w:tblGrid>
      <w:tr w:rsidR="0076202F" w:rsidRPr="00B750E3" w:rsidTr="00297BC0">
        <w:trPr>
          <w:cantSplit/>
          <w:jc w:val="center"/>
        </w:trPr>
        <w:tc>
          <w:tcPr>
            <w:tcW w:w="1534" w:type="dxa"/>
            <w:vAlign w:val="center"/>
          </w:tcPr>
          <w:p w:rsidR="0076202F" w:rsidRPr="00B750E3" w:rsidRDefault="0076202F" w:rsidP="00297BC0">
            <w:pPr>
              <w:keepNext/>
              <w:keepLines/>
              <w:jc w:val="center"/>
              <w:rPr>
                <w:rFonts w:eastAsia="Arial Unicode MS"/>
                <w:sz w:val="18"/>
                <w:szCs w:val="18"/>
                <w:lang w:eastAsia="fr-FR"/>
              </w:rPr>
            </w:pPr>
            <w:r w:rsidRPr="00B750E3">
              <w:rPr>
                <w:bCs/>
                <w:iCs/>
                <w:sz w:val="18"/>
                <w:szCs w:val="18"/>
              </w:rPr>
              <w:br w:type="page"/>
            </w:r>
            <w:r w:rsidRPr="00B750E3">
              <w:rPr>
                <w:rFonts w:eastAsia="Arial Unicode MS"/>
                <w:sz w:val="18"/>
                <w:szCs w:val="18"/>
                <w:lang w:eastAsia="fr-FR"/>
              </w:rPr>
              <w:t>Référence</w:t>
            </w:r>
          </w:p>
        </w:tc>
        <w:tc>
          <w:tcPr>
            <w:tcW w:w="2314" w:type="dxa"/>
            <w:vAlign w:val="center"/>
          </w:tcPr>
          <w:p w:rsidR="0076202F" w:rsidRPr="00B750E3" w:rsidRDefault="0076202F" w:rsidP="00297BC0">
            <w:pPr>
              <w:keepNext/>
              <w:keepLines/>
              <w:jc w:val="center"/>
              <w:rPr>
                <w:rFonts w:eastAsia="Arial Unicode MS"/>
                <w:bCs/>
                <w:sz w:val="18"/>
                <w:szCs w:val="18"/>
                <w:lang w:eastAsia="fr-FR"/>
              </w:rPr>
            </w:pPr>
            <w:r w:rsidRPr="00B750E3">
              <w:rPr>
                <w:rFonts w:eastAsia="Arial Unicode MS"/>
                <w:bCs/>
                <w:sz w:val="18"/>
                <w:szCs w:val="18"/>
                <w:lang w:eastAsia="fr-FR"/>
              </w:rPr>
              <w:t>Titre du document</w:t>
            </w:r>
          </w:p>
        </w:tc>
        <w:tc>
          <w:tcPr>
            <w:tcW w:w="2678" w:type="dxa"/>
            <w:vAlign w:val="center"/>
          </w:tcPr>
          <w:p w:rsidR="0076202F" w:rsidRPr="00B750E3" w:rsidRDefault="0076202F" w:rsidP="00297BC0">
            <w:pPr>
              <w:keepNext/>
              <w:keepLines/>
              <w:jc w:val="center"/>
              <w:rPr>
                <w:bCs/>
                <w:sz w:val="18"/>
                <w:szCs w:val="18"/>
                <w:lang w:eastAsia="fr-FR"/>
              </w:rPr>
            </w:pPr>
            <w:r w:rsidRPr="00B750E3">
              <w:rPr>
                <w:bCs/>
                <w:sz w:val="18"/>
                <w:szCs w:val="18"/>
                <w:lang w:eastAsia="fr-FR"/>
              </w:rPr>
              <w:t>Sous-sections et paragraphes applicables</w:t>
            </w:r>
          </w:p>
        </w:tc>
        <w:tc>
          <w:tcPr>
            <w:tcW w:w="1843" w:type="dxa"/>
            <w:vAlign w:val="center"/>
          </w:tcPr>
          <w:p w:rsidR="0076202F" w:rsidRPr="00B750E3" w:rsidRDefault="0076202F" w:rsidP="00297BC0">
            <w:pPr>
              <w:keepNext/>
              <w:keepLines/>
              <w:jc w:val="center"/>
              <w:rPr>
                <w:bCs/>
                <w:sz w:val="18"/>
                <w:szCs w:val="18"/>
                <w:vertAlign w:val="superscript"/>
                <w:lang w:eastAsia="fr-FR"/>
              </w:rPr>
            </w:pPr>
            <w:r w:rsidRPr="00B750E3">
              <w:rPr>
                <w:sz w:val="18"/>
                <w:szCs w:val="18"/>
                <w:lang w:eastAsia="fr-FR"/>
              </w:rPr>
              <w:t>Applicable pour les nouveaux agréments de type ou pour les renouvellements</w:t>
            </w:r>
          </w:p>
        </w:tc>
        <w:tc>
          <w:tcPr>
            <w:tcW w:w="1270" w:type="dxa"/>
            <w:vAlign w:val="center"/>
          </w:tcPr>
          <w:p w:rsidR="0076202F" w:rsidRPr="00B750E3" w:rsidRDefault="0076202F" w:rsidP="00297BC0">
            <w:pPr>
              <w:keepNext/>
              <w:keepLines/>
              <w:jc w:val="center"/>
              <w:rPr>
                <w:sz w:val="18"/>
                <w:szCs w:val="18"/>
                <w:lang w:eastAsia="fr-FR"/>
              </w:rPr>
            </w:pPr>
            <w:r w:rsidRPr="00B750E3">
              <w:rPr>
                <w:sz w:val="18"/>
                <w:szCs w:val="18"/>
                <w:lang w:eastAsia="fr-FR"/>
              </w:rPr>
              <w:t>Date ultime de retrait des agréments de type existants</w:t>
            </w:r>
          </w:p>
        </w:tc>
      </w:tr>
      <w:tr w:rsidR="0076202F" w:rsidRPr="00B750E3" w:rsidTr="00297BC0">
        <w:trPr>
          <w:cantSplit/>
          <w:jc w:val="center"/>
        </w:trPr>
        <w:tc>
          <w:tcPr>
            <w:tcW w:w="1534" w:type="dxa"/>
          </w:tcPr>
          <w:p w:rsidR="0076202F" w:rsidRPr="00B750E3" w:rsidRDefault="0076202F" w:rsidP="00297BC0">
            <w:pPr>
              <w:keepNext/>
              <w:keepLines/>
              <w:jc w:val="center"/>
              <w:rPr>
                <w:rFonts w:eastAsia="Arial Unicode MS"/>
                <w:sz w:val="18"/>
                <w:szCs w:val="18"/>
                <w:lang w:eastAsia="fr-FR"/>
              </w:rPr>
            </w:pPr>
            <w:r w:rsidRPr="00B750E3">
              <w:rPr>
                <w:rFonts w:eastAsia="Arial Unicode MS"/>
                <w:sz w:val="18"/>
                <w:szCs w:val="18"/>
                <w:lang w:eastAsia="fr-FR"/>
              </w:rPr>
              <w:t>1)</w:t>
            </w:r>
          </w:p>
        </w:tc>
        <w:tc>
          <w:tcPr>
            <w:tcW w:w="2314" w:type="dxa"/>
          </w:tcPr>
          <w:p w:rsidR="0076202F" w:rsidRPr="00B750E3" w:rsidRDefault="0076202F" w:rsidP="00297BC0">
            <w:pPr>
              <w:keepNext/>
              <w:keepLines/>
              <w:jc w:val="center"/>
              <w:rPr>
                <w:rFonts w:eastAsia="Arial Unicode MS"/>
                <w:bCs/>
                <w:sz w:val="18"/>
                <w:szCs w:val="18"/>
                <w:lang w:eastAsia="fr-FR"/>
              </w:rPr>
            </w:pPr>
            <w:r w:rsidRPr="00B750E3">
              <w:rPr>
                <w:rFonts w:eastAsia="Arial Unicode MS"/>
                <w:bCs/>
                <w:sz w:val="18"/>
                <w:szCs w:val="18"/>
                <w:lang w:eastAsia="fr-FR"/>
              </w:rPr>
              <w:t>2)</w:t>
            </w:r>
          </w:p>
        </w:tc>
        <w:tc>
          <w:tcPr>
            <w:tcW w:w="2678" w:type="dxa"/>
          </w:tcPr>
          <w:p w:rsidR="0076202F" w:rsidRPr="00B750E3" w:rsidRDefault="0076202F" w:rsidP="00297BC0">
            <w:pPr>
              <w:keepNext/>
              <w:keepLines/>
              <w:jc w:val="center"/>
              <w:rPr>
                <w:bCs/>
                <w:sz w:val="18"/>
                <w:szCs w:val="18"/>
                <w:lang w:eastAsia="fr-FR"/>
              </w:rPr>
            </w:pPr>
            <w:r w:rsidRPr="00B750E3">
              <w:rPr>
                <w:bCs/>
                <w:sz w:val="18"/>
                <w:szCs w:val="18"/>
                <w:lang w:eastAsia="fr-FR"/>
              </w:rPr>
              <w:t>3)</w:t>
            </w:r>
          </w:p>
        </w:tc>
        <w:tc>
          <w:tcPr>
            <w:tcW w:w="1843" w:type="dxa"/>
          </w:tcPr>
          <w:p w:rsidR="0076202F" w:rsidRPr="00B750E3" w:rsidRDefault="0076202F" w:rsidP="00297BC0">
            <w:pPr>
              <w:keepNext/>
              <w:keepLines/>
              <w:jc w:val="center"/>
              <w:rPr>
                <w:bCs/>
                <w:sz w:val="18"/>
                <w:szCs w:val="18"/>
                <w:lang w:eastAsia="fr-FR"/>
              </w:rPr>
            </w:pPr>
            <w:r w:rsidRPr="00B750E3">
              <w:rPr>
                <w:bCs/>
                <w:sz w:val="18"/>
                <w:szCs w:val="18"/>
                <w:lang w:eastAsia="fr-FR"/>
              </w:rPr>
              <w:t>4)</w:t>
            </w:r>
          </w:p>
        </w:tc>
        <w:tc>
          <w:tcPr>
            <w:tcW w:w="1270" w:type="dxa"/>
          </w:tcPr>
          <w:p w:rsidR="0076202F" w:rsidRPr="00B750E3" w:rsidRDefault="0076202F" w:rsidP="00297BC0">
            <w:pPr>
              <w:keepNext/>
              <w:keepLines/>
              <w:jc w:val="center"/>
              <w:rPr>
                <w:bCs/>
                <w:sz w:val="18"/>
                <w:szCs w:val="18"/>
                <w:lang w:eastAsia="fr-FR"/>
              </w:rPr>
            </w:pPr>
            <w:r w:rsidRPr="00B750E3">
              <w:rPr>
                <w:bCs/>
                <w:sz w:val="18"/>
                <w:szCs w:val="18"/>
                <w:lang w:eastAsia="fr-FR"/>
              </w:rPr>
              <w:t>5)</w:t>
            </w:r>
          </w:p>
        </w:tc>
      </w:tr>
      <w:tr w:rsidR="0076202F" w:rsidRPr="00B750E3" w:rsidTr="00297BC0">
        <w:trPr>
          <w:cantSplit/>
          <w:jc w:val="center"/>
        </w:trPr>
        <w:tc>
          <w:tcPr>
            <w:tcW w:w="1534" w:type="dxa"/>
          </w:tcPr>
          <w:p w:rsidR="0076202F" w:rsidRPr="00B750E3" w:rsidRDefault="0076202F" w:rsidP="00297BC0">
            <w:pPr>
              <w:rPr>
                <w:sz w:val="18"/>
                <w:szCs w:val="18"/>
                <w:lang w:eastAsia="fr-FR"/>
              </w:rPr>
            </w:pPr>
            <w:r w:rsidRPr="00B750E3">
              <w:rPr>
                <w:sz w:val="18"/>
                <w:szCs w:val="18"/>
                <w:lang w:eastAsia="fr-FR"/>
              </w:rPr>
              <w:t>EN 13807:2003</w:t>
            </w:r>
          </w:p>
        </w:tc>
        <w:tc>
          <w:tcPr>
            <w:tcW w:w="2314" w:type="dxa"/>
          </w:tcPr>
          <w:p w:rsidR="0076202F" w:rsidRPr="00B750E3" w:rsidRDefault="0076202F" w:rsidP="00297BC0">
            <w:pPr>
              <w:rPr>
                <w:sz w:val="18"/>
                <w:szCs w:val="18"/>
                <w:lang w:eastAsia="fr-FR"/>
              </w:rPr>
            </w:pPr>
            <w:r w:rsidRPr="00B750E3">
              <w:rPr>
                <w:sz w:val="18"/>
                <w:szCs w:val="18"/>
                <w:lang w:eastAsia="fr-FR"/>
              </w:rPr>
              <w:t>Bouteilles à gaz transportables − véhicules-batteries − conception, fabrication, identification et essai</w:t>
            </w:r>
          </w:p>
          <w:p w:rsidR="0076202F" w:rsidRPr="00B750E3" w:rsidRDefault="0076202F" w:rsidP="00297BC0">
            <w:pPr>
              <w:rPr>
                <w:sz w:val="18"/>
                <w:szCs w:val="18"/>
                <w:lang w:eastAsia="fr-FR"/>
              </w:rPr>
            </w:pPr>
            <w:r w:rsidRPr="00B750E3">
              <w:rPr>
                <w:b/>
                <w:i/>
                <w:sz w:val="18"/>
                <w:szCs w:val="18"/>
              </w:rPr>
              <w:t>NOTA:</w:t>
            </w:r>
            <w:r w:rsidRPr="00B750E3">
              <w:rPr>
                <w:sz w:val="18"/>
                <w:szCs w:val="18"/>
              </w:rPr>
              <w:t xml:space="preserve"> </w:t>
            </w:r>
            <w:r w:rsidRPr="00B750E3">
              <w:rPr>
                <w:i/>
                <w:sz w:val="18"/>
                <w:szCs w:val="18"/>
              </w:rPr>
              <w:t>Le cas échéant, cette norme peut également être appliquée aux CGEM constitués de récipients à pression.</w:t>
            </w:r>
          </w:p>
        </w:tc>
        <w:tc>
          <w:tcPr>
            <w:tcW w:w="2678" w:type="dxa"/>
          </w:tcPr>
          <w:p w:rsidR="0076202F" w:rsidRPr="00B750E3" w:rsidRDefault="0076202F" w:rsidP="00297BC0">
            <w:pPr>
              <w:rPr>
                <w:sz w:val="18"/>
                <w:szCs w:val="18"/>
                <w:lang w:eastAsia="fr-FR"/>
              </w:rPr>
            </w:pPr>
            <w:r w:rsidRPr="00B750E3">
              <w:rPr>
                <w:sz w:val="18"/>
                <w:szCs w:val="18"/>
                <w:lang w:eastAsia="fr-FR"/>
              </w:rPr>
              <w:t>6.8.3.1.4 et 6.8.3.1.5, 6.8.3.2.18 à 6.8.3.2.26, 6.8.3.4.10 à 6.8.3.4.12 et 6.8.3.5.10 à 6.8.3.5.13</w:t>
            </w:r>
          </w:p>
        </w:tc>
        <w:tc>
          <w:tcPr>
            <w:tcW w:w="1843" w:type="dxa"/>
          </w:tcPr>
          <w:p w:rsidR="0076202F" w:rsidRPr="00B750E3" w:rsidRDefault="0076202F" w:rsidP="00297BC0">
            <w:pPr>
              <w:jc w:val="center"/>
              <w:rPr>
                <w:sz w:val="18"/>
                <w:szCs w:val="18"/>
                <w:lang w:eastAsia="fr-FR"/>
              </w:rPr>
            </w:pPr>
            <w:r w:rsidRPr="00B750E3">
              <w:rPr>
                <w:sz w:val="18"/>
                <w:szCs w:val="18"/>
                <w:lang w:eastAsia="fr-FR"/>
              </w:rPr>
              <w:t>Jusqu’à nouvel ordre</w:t>
            </w:r>
          </w:p>
        </w:tc>
        <w:tc>
          <w:tcPr>
            <w:tcW w:w="1270" w:type="dxa"/>
          </w:tcPr>
          <w:p w:rsidR="0076202F" w:rsidRPr="00B750E3" w:rsidRDefault="0076202F" w:rsidP="00297BC0">
            <w:pPr>
              <w:rPr>
                <w:sz w:val="18"/>
                <w:szCs w:val="18"/>
                <w:lang w:eastAsia="fr-FR"/>
              </w:rPr>
            </w:pPr>
          </w:p>
        </w:tc>
      </w:tr>
    </w:tbl>
    <w:p w:rsidR="0076202F" w:rsidRDefault="0076202F" w:rsidP="0076202F">
      <w:pPr>
        <w:pStyle w:val="SingleTxtG"/>
      </w:pPr>
      <w:r>
        <w:t>».</w:t>
      </w:r>
    </w:p>
    <w:p w:rsidR="0076202F" w:rsidRDefault="0076202F" w:rsidP="0076202F">
      <w:pPr>
        <w:pStyle w:val="SingleTxtG"/>
        <w:rPr>
          <w:i/>
        </w:rPr>
      </w:pPr>
      <w:r w:rsidRPr="00D972B4">
        <w:rPr>
          <w:i/>
        </w:rPr>
        <w:t xml:space="preserve">(Document de référence: </w:t>
      </w:r>
      <w:r>
        <w:rPr>
          <w:i/>
        </w:rPr>
        <w:t>document informel INF.50</w:t>
      </w:r>
      <w:r w:rsidRPr="00D972B4">
        <w:rPr>
          <w:i/>
        </w:rPr>
        <w:t>)</w:t>
      </w:r>
    </w:p>
    <w:p w:rsidR="00452FD2" w:rsidRPr="00A5379B" w:rsidRDefault="00452FD2" w:rsidP="00D2763D">
      <w:pPr>
        <w:pStyle w:val="SingleTxt"/>
        <w:tabs>
          <w:tab w:val="clear" w:pos="1267"/>
        </w:tabs>
        <w:ind w:left="1134"/>
      </w:pPr>
      <w:r w:rsidRPr="00A5379B">
        <w:t>6.</w:t>
      </w:r>
      <w:r>
        <w:t>8.3.6</w:t>
      </w:r>
      <w:r w:rsidR="00327193">
        <w:t xml:space="preserve"> </w:t>
      </w:r>
      <w:r w:rsidR="00327193">
        <w:rPr>
          <w:lang w:val="fr-CH"/>
        </w:rPr>
        <w:t>(ADR)</w:t>
      </w:r>
      <w:r>
        <w:tab/>
        <w:t>Dans le tableau, pour EN 13807:2003, dans la deuxième colonne, ajouter le Nota suivant: «</w:t>
      </w:r>
      <w:r w:rsidRPr="000C63DA">
        <w:rPr>
          <w:b/>
          <w:i/>
        </w:rPr>
        <w:t>NOTA:</w:t>
      </w:r>
      <w:r>
        <w:t xml:space="preserve"> </w:t>
      </w:r>
      <w:r>
        <w:rPr>
          <w:i/>
        </w:rPr>
        <w:t>Le cas échéant, cette norme peut également être appliquée aux CGEM constitués de récipients à pression</w:t>
      </w:r>
      <w:r w:rsidRPr="000C63DA">
        <w:rPr>
          <w:i/>
        </w:rPr>
        <w:t>.</w:t>
      </w:r>
      <w:r w:rsidRPr="000C63DA">
        <w:t>»</w:t>
      </w:r>
      <w:r>
        <w:t>.</w:t>
      </w:r>
    </w:p>
    <w:p w:rsidR="00452FD2" w:rsidRDefault="00452FD2" w:rsidP="00452FD2">
      <w:pPr>
        <w:pStyle w:val="SingleTxtG"/>
        <w:rPr>
          <w:i/>
        </w:rPr>
      </w:pPr>
      <w:r w:rsidRPr="00D972B4">
        <w:rPr>
          <w:i/>
        </w:rPr>
        <w:t xml:space="preserve">(Document de référence: </w:t>
      </w:r>
      <w:r>
        <w:rPr>
          <w:i/>
        </w:rPr>
        <w:t>document informel INF.50</w:t>
      </w:r>
      <w:r w:rsidRPr="00D972B4">
        <w:rPr>
          <w:i/>
        </w:rPr>
        <w:t>)</w:t>
      </w:r>
    </w:p>
    <w:p w:rsidR="00D2763D" w:rsidRDefault="00D2763D" w:rsidP="00D2763D">
      <w:pPr>
        <w:pStyle w:val="SingleTxtG"/>
        <w:tabs>
          <w:tab w:val="left" w:pos="1843"/>
          <w:tab w:val="left" w:pos="1985"/>
          <w:tab w:val="left" w:pos="2268"/>
        </w:tabs>
        <w:rPr>
          <w:rFonts w:eastAsia="Calibri"/>
          <w:lang w:val="fr-FR"/>
        </w:rPr>
      </w:pPr>
      <w:r w:rsidRPr="000A40F5">
        <w:rPr>
          <w:rFonts w:eastAsia="Calibri"/>
          <w:lang w:val="fr-FR"/>
        </w:rPr>
        <w:t xml:space="preserve">6.8.4, </w:t>
      </w:r>
      <w:r>
        <w:rPr>
          <w:rFonts w:eastAsia="Calibri"/>
          <w:lang w:val="fr-FR"/>
        </w:rPr>
        <w:t>disposition spéciale</w:t>
      </w:r>
      <w:r w:rsidRPr="000A40F5">
        <w:rPr>
          <w:rFonts w:eastAsia="Calibri"/>
          <w:lang w:val="fr-FR"/>
        </w:rPr>
        <w:t xml:space="preserve"> TT8</w:t>
      </w:r>
      <w:r w:rsidRPr="000A40F5">
        <w:rPr>
          <w:rFonts w:eastAsia="Calibri"/>
          <w:lang w:val="fr-FR"/>
        </w:rPr>
        <w:tab/>
      </w:r>
      <w:r>
        <w:rPr>
          <w:rFonts w:eastAsia="Calibri"/>
          <w:lang w:val="fr-FR"/>
        </w:rPr>
        <w:t>Dans le troisième paragraphe, remplacer «</w:t>
      </w:r>
      <w:r>
        <w:rPr>
          <w:rFonts w:ascii="TimesNewRomanPSMT" w:hAnsi="TimesNewRomanPSMT" w:cs="TimesNewRomanPSMT"/>
          <w:lang w:val="fr-FR" w:eastAsia="fr-FR"/>
        </w:rPr>
        <w:t>Si le marquage de la matière sur la citerne ou sur le panneau de la citerne est retiré</w:t>
      </w:r>
      <w:r>
        <w:rPr>
          <w:rFonts w:eastAsia="Calibri"/>
          <w:lang w:val="fr-FR"/>
        </w:rPr>
        <w:t>» par «</w:t>
      </w:r>
      <w:r>
        <w:rPr>
          <w:rFonts w:ascii="TimesNewRomanPSMT" w:hAnsi="TimesNewRomanPSMT" w:cs="TimesNewRomanPSMT"/>
          <w:lang w:val="fr-FR" w:eastAsia="fr-FR"/>
        </w:rPr>
        <w:t>Si la marque de la matière sur la citerne ou sur le panneau de la citerne est retirée</w:t>
      </w:r>
      <w:r>
        <w:rPr>
          <w:rFonts w:eastAsia="Calibri"/>
          <w:lang w:val="fr-FR"/>
        </w:rPr>
        <w:t>».</w:t>
      </w:r>
    </w:p>
    <w:p w:rsidR="00D2763D" w:rsidRPr="007A5D50" w:rsidRDefault="00D2763D" w:rsidP="00D2763D">
      <w:pPr>
        <w:pStyle w:val="SingleTxtG"/>
        <w:tabs>
          <w:tab w:val="left" w:pos="1985"/>
        </w:tabs>
        <w:rPr>
          <w:i/>
          <w:lang w:val="fr-FR"/>
        </w:rPr>
      </w:pPr>
      <w:r w:rsidRPr="007A5D50">
        <w:rPr>
          <w:i/>
          <w:lang w:val="fr-FR"/>
        </w:rPr>
        <w:t>(Documents de référence: ECE/TRANS/WP.15/AC.1/2015/29 et document informel INF.8)</w:t>
      </w:r>
    </w:p>
    <w:p w:rsidR="008713D1" w:rsidRDefault="008713D1" w:rsidP="008713D1">
      <w:pPr>
        <w:pStyle w:val="H1G"/>
      </w:pPr>
      <w:r>
        <w:tab/>
      </w:r>
      <w:r>
        <w:tab/>
        <w:t>Chapitre 7.3</w:t>
      </w:r>
    </w:p>
    <w:p w:rsidR="008713D1" w:rsidRDefault="008713D1" w:rsidP="008713D1">
      <w:pPr>
        <w:pStyle w:val="SingleTxtG"/>
        <w:spacing w:after="0"/>
        <w:rPr>
          <w:lang w:val="fr-FR"/>
        </w:rPr>
      </w:pPr>
      <w:r>
        <w:rPr>
          <w:lang w:val="fr-FR"/>
        </w:rPr>
        <w:t>7.3.1.1 b)</w:t>
      </w:r>
      <w:r>
        <w:rPr>
          <w:lang w:val="fr-FR"/>
        </w:rPr>
        <w:tab/>
        <w:t>Remplacer «les lettres "AP"» par «le code "AP"».</w:t>
      </w:r>
    </w:p>
    <w:p w:rsidR="008713D1" w:rsidRPr="00301384" w:rsidRDefault="008713D1" w:rsidP="008713D1">
      <w:pPr>
        <w:pStyle w:val="SingleTxtG"/>
        <w:rPr>
          <w:i/>
        </w:rPr>
      </w:pPr>
      <w:r w:rsidRPr="00301384">
        <w:rPr>
          <w:i/>
        </w:rPr>
        <w:lastRenderedPageBreak/>
        <w:t xml:space="preserve">(Document de référence: </w:t>
      </w:r>
      <w:r>
        <w:rPr>
          <w:i/>
        </w:rPr>
        <w:t>ECE/TRANS/WP.15/AC.1/2015/33</w:t>
      </w:r>
      <w:r w:rsidRPr="00301384">
        <w:rPr>
          <w:i/>
        </w:rPr>
        <w:t>)</w:t>
      </w:r>
    </w:p>
    <w:p w:rsidR="006D4BB0" w:rsidRDefault="006D4BB0" w:rsidP="006D4BB0">
      <w:pPr>
        <w:pStyle w:val="SingleTxtG"/>
        <w:spacing w:after="0"/>
      </w:pPr>
      <w:r>
        <w:t>7.3.3.2.3, AP4</w:t>
      </w:r>
      <w:r>
        <w:tab/>
        <w:t>Remplacer «chargement» par «remplissage».</w:t>
      </w:r>
    </w:p>
    <w:p w:rsidR="006D4BB0" w:rsidRPr="00D972B4" w:rsidRDefault="006D4BB0" w:rsidP="006D4BB0">
      <w:pPr>
        <w:pStyle w:val="SingleTxtG"/>
        <w:rPr>
          <w:i/>
        </w:rPr>
      </w:pPr>
      <w:r w:rsidRPr="00D972B4">
        <w:rPr>
          <w:i/>
        </w:rPr>
        <w:t>(Document de référence: ECE/TRANS/WP.15/AC.1/2015/</w:t>
      </w:r>
      <w:r>
        <w:rPr>
          <w:i/>
        </w:rPr>
        <w:t>37</w:t>
      </w:r>
      <w:r w:rsidRPr="00D972B4">
        <w:rPr>
          <w:i/>
        </w:rPr>
        <w:t>)</w:t>
      </w:r>
    </w:p>
    <w:p w:rsidR="006D4BB0" w:rsidRDefault="006D4BB0" w:rsidP="006D4BB0">
      <w:pPr>
        <w:pStyle w:val="H1G"/>
      </w:pPr>
      <w:r>
        <w:tab/>
      </w:r>
      <w:r>
        <w:tab/>
        <w:t>Chapitre 7.5</w:t>
      </w:r>
    </w:p>
    <w:p w:rsidR="006D4BB0" w:rsidRPr="00D972B4" w:rsidRDefault="001F7026" w:rsidP="0076202F">
      <w:pPr>
        <w:pStyle w:val="SingleTxtG"/>
      </w:pPr>
      <w:r>
        <w:t xml:space="preserve">7.5 </w:t>
      </w:r>
      <w:r w:rsidR="00327193">
        <w:t>(RID</w:t>
      </w:r>
      <w:r w:rsidR="006D4BB0">
        <w:t xml:space="preserve">) </w:t>
      </w:r>
      <w:r w:rsidR="00A609AA">
        <w:tab/>
      </w:r>
      <w:r w:rsidR="006D4BB0">
        <w:t>Supprimer le Nota après le titre du chapitre.</w:t>
      </w:r>
    </w:p>
    <w:p w:rsidR="006D4BB0" w:rsidRPr="00D972B4" w:rsidRDefault="006D4BB0" w:rsidP="0076202F">
      <w:pPr>
        <w:pStyle w:val="SingleTxtG"/>
      </w:pPr>
      <w:r>
        <w:t>7.5.1.2</w:t>
      </w:r>
      <w:r w:rsidR="00327193">
        <w:t xml:space="preserve"> (RID)</w:t>
      </w:r>
      <w:r>
        <w:tab/>
      </w:r>
      <w:r>
        <w:tab/>
        <w:t>Au deuxième tiret, remplacer «grands conteneurs» par «conteneurs» et ajouter «CGEM,» après «conteneurs pour vrac,».</w:t>
      </w:r>
    </w:p>
    <w:p w:rsidR="006D4BB0" w:rsidRPr="00D972B4" w:rsidRDefault="006D4BB0" w:rsidP="0076202F">
      <w:pPr>
        <w:pStyle w:val="SingleTxtG"/>
      </w:pPr>
      <w:r>
        <w:t>7.5.1</w:t>
      </w:r>
      <w:r w:rsidR="00327193">
        <w:t xml:space="preserve"> (ADR)</w:t>
      </w:r>
      <w:r>
        <w:tab/>
      </w:r>
      <w:r>
        <w:tab/>
        <w:t>Supprimer le Nota après le titre.</w:t>
      </w:r>
    </w:p>
    <w:p w:rsidR="006D4BB0" w:rsidRPr="00D972B4" w:rsidRDefault="006D4BB0" w:rsidP="0076202F">
      <w:pPr>
        <w:pStyle w:val="SingleTxtG"/>
      </w:pPr>
      <w:r>
        <w:t>7.5.1.1</w:t>
      </w:r>
      <w:r w:rsidR="00327193">
        <w:t xml:space="preserve"> (ADR)</w:t>
      </w:r>
      <w:r>
        <w:tab/>
        <w:t>Remplacer «grands conteneurs» par «conteneurs» et ajouter «CGEM,» après «conteneurs pour vrac,».</w:t>
      </w:r>
    </w:p>
    <w:p w:rsidR="006D4BB0" w:rsidRPr="00D972B4" w:rsidRDefault="006D4BB0" w:rsidP="0076202F">
      <w:pPr>
        <w:pStyle w:val="SingleTxtG"/>
      </w:pPr>
      <w:r>
        <w:t>7.5.1.2</w:t>
      </w:r>
      <w:r w:rsidR="00327193">
        <w:t xml:space="preserve"> (ADR)</w:t>
      </w:r>
      <w:r>
        <w:tab/>
      </w:r>
      <w:r w:rsidR="003D611C">
        <w:t xml:space="preserve">Au deuxième tiret, </w:t>
      </w:r>
      <w:r>
        <w:t>remplacer «grands conteneurs» par «conteneurs» et ajouter «CGEM,» après «conteneurs pour vrac,». Dans le dernier paragraphe, remplacer «grand conteneur» par «conteneur» et ajouter «un CGEM,» après «un conteneur-citerne,».</w:t>
      </w:r>
    </w:p>
    <w:p w:rsidR="006D4BB0" w:rsidRPr="00D972B4" w:rsidRDefault="006D4BB0" w:rsidP="006D4BB0">
      <w:pPr>
        <w:pStyle w:val="SingleTxtG"/>
        <w:rPr>
          <w:i/>
        </w:rPr>
      </w:pPr>
      <w:r w:rsidRPr="00D972B4">
        <w:rPr>
          <w:i/>
        </w:rPr>
        <w:t>(Document de référence: ECE/TRANS/WP.15/AC.1/2015/</w:t>
      </w:r>
      <w:r>
        <w:rPr>
          <w:i/>
        </w:rPr>
        <w:t>37</w:t>
      </w:r>
      <w:r w:rsidRPr="00D972B4">
        <w:rPr>
          <w:i/>
        </w:rPr>
        <w:t>)</w:t>
      </w:r>
    </w:p>
    <w:p w:rsidR="00170C8B" w:rsidRPr="000A40F5" w:rsidRDefault="00170C8B" w:rsidP="00170C8B">
      <w:pPr>
        <w:pStyle w:val="SingleTxtG"/>
        <w:tabs>
          <w:tab w:val="left" w:pos="1843"/>
          <w:tab w:val="left" w:pos="1985"/>
          <w:tab w:val="left" w:pos="2268"/>
        </w:tabs>
        <w:rPr>
          <w:rFonts w:eastAsia="Calibri"/>
          <w:lang w:val="fr-FR"/>
        </w:rPr>
      </w:pPr>
      <w:r w:rsidRPr="000A40F5">
        <w:rPr>
          <w:rFonts w:eastAsia="Calibri"/>
          <w:lang w:val="fr-FR"/>
        </w:rPr>
        <w:t>7.5.1.5</w:t>
      </w:r>
      <w:r w:rsidRPr="000A40F5">
        <w:rPr>
          <w:rFonts w:eastAsia="Calibri"/>
          <w:lang w:val="fr-FR"/>
        </w:rPr>
        <w:tab/>
      </w:r>
      <w:r>
        <w:rPr>
          <w:lang w:val="fr-FR"/>
        </w:rPr>
        <w:t xml:space="preserve">Remplacer «ces marquages» par «ces marques». </w:t>
      </w:r>
    </w:p>
    <w:p w:rsidR="00170C8B" w:rsidRPr="007A5D50" w:rsidRDefault="00170C8B" w:rsidP="00170C8B">
      <w:pPr>
        <w:pStyle w:val="SingleTxtG"/>
        <w:tabs>
          <w:tab w:val="left" w:pos="1985"/>
        </w:tabs>
        <w:rPr>
          <w:i/>
          <w:lang w:val="fr-FR"/>
        </w:rPr>
      </w:pPr>
      <w:r w:rsidRPr="007A5D50">
        <w:rPr>
          <w:i/>
          <w:lang w:val="fr-FR"/>
        </w:rPr>
        <w:t>(Documents de référence: ECE/TRANS/WP.15/AC.1/2015/29 et document informel INF.8)</w:t>
      </w:r>
    </w:p>
    <w:p w:rsidR="006D4BB0" w:rsidRDefault="006D4BB0" w:rsidP="006D4BB0">
      <w:pPr>
        <w:pStyle w:val="SingleTxtG"/>
        <w:spacing w:after="0"/>
      </w:pPr>
      <w:r>
        <w:t>7.5.7.4 (ADR)</w:t>
      </w:r>
      <w:r>
        <w:tab/>
      </w:r>
      <w:r>
        <w:tab/>
        <w:t>Remplacer «déchargement» par «enlèvement».</w:t>
      </w:r>
    </w:p>
    <w:p w:rsidR="006D4BB0" w:rsidRDefault="006D4BB0" w:rsidP="006D4BB0">
      <w:pPr>
        <w:pStyle w:val="SingleTxtG"/>
        <w:rPr>
          <w:i/>
        </w:rPr>
      </w:pPr>
      <w:r w:rsidRPr="00D972B4">
        <w:rPr>
          <w:i/>
        </w:rPr>
        <w:t>(Document de référence: ECE/TRANS/WP.15/AC.1/2015/</w:t>
      </w:r>
      <w:r>
        <w:rPr>
          <w:i/>
        </w:rPr>
        <w:t>37</w:t>
      </w:r>
      <w:r w:rsidRPr="00D972B4">
        <w:rPr>
          <w:i/>
        </w:rPr>
        <w:t>)</w:t>
      </w:r>
    </w:p>
    <w:p w:rsidR="006D4BB0" w:rsidRDefault="006D4BB0" w:rsidP="006D4BB0">
      <w:pPr>
        <w:pStyle w:val="SingleTxtG"/>
        <w:rPr>
          <w:i/>
        </w:rPr>
      </w:pPr>
      <w:r w:rsidRPr="00E066CF">
        <w:t>7.5.11, C</w:t>
      </w:r>
      <w:r>
        <w:t>W/CV</w:t>
      </w:r>
      <w:r w:rsidRPr="00E066CF">
        <w:t>36</w:t>
      </w:r>
      <w:r w:rsidRPr="00E066CF">
        <w:tab/>
      </w:r>
      <w:r>
        <w:t>Après la dernière phrase, ajouter «</w:t>
      </w:r>
      <w:r w:rsidRPr="00E066CF">
        <w:t xml:space="preserve">Pour les Nos ONU 2211 et 3314, cette marque n'est pas nécessaire si le </w:t>
      </w:r>
      <w:r>
        <w:t xml:space="preserve">véhicule/wagon ou </w:t>
      </w:r>
      <w:r w:rsidRPr="00E066CF">
        <w:t>conteneur est déjà marqué conformément à la disposition spéciale 965 du code IMDG.</w:t>
      </w:r>
      <w:r>
        <w:t>».</w:t>
      </w:r>
    </w:p>
    <w:p w:rsidR="006D4BB0" w:rsidRDefault="006D4BB0" w:rsidP="006D4BB0">
      <w:pPr>
        <w:pStyle w:val="SingleTxtG"/>
      </w:pPr>
      <w:r w:rsidRPr="00D972B4">
        <w:rPr>
          <w:i/>
        </w:rPr>
        <w:t>(Document de référence: ECE/TRANS/WP.15/AC.1/2015/</w:t>
      </w:r>
      <w:r>
        <w:rPr>
          <w:i/>
        </w:rPr>
        <w:t>52 tel que modifié</w:t>
      </w:r>
      <w:r w:rsidRPr="00D972B4">
        <w:rPr>
          <w:i/>
        </w:rPr>
        <w:t>)</w:t>
      </w:r>
    </w:p>
    <w:p w:rsidR="001B7272" w:rsidRPr="000A40F5" w:rsidRDefault="001B7272" w:rsidP="001B7272">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8.1</w:t>
      </w:r>
      <w:r>
        <w:rPr>
          <w:lang w:val="fr-FR"/>
        </w:rPr>
        <w:t xml:space="preserve"> </w:t>
      </w:r>
      <w:r w:rsidR="00F06BC3">
        <w:rPr>
          <w:lang w:val="fr-FR"/>
        </w:rPr>
        <w:t>(ADR)</w:t>
      </w:r>
    </w:p>
    <w:p w:rsidR="001B7272" w:rsidRDefault="001B7272" w:rsidP="001B7272">
      <w:pPr>
        <w:pStyle w:val="SingleTxtG"/>
        <w:tabs>
          <w:tab w:val="left" w:pos="1843"/>
          <w:tab w:val="left" w:pos="1985"/>
          <w:tab w:val="left" w:pos="2268"/>
        </w:tabs>
        <w:rPr>
          <w:lang w:val="fr-FR"/>
        </w:rPr>
      </w:pPr>
      <w:r w:rsidRPr="000A40F5">
        <w:rPr>
          <w:rFonts w:eastAsia="Calibri"/>
          <w:lang w:val="fr-FR"/>
        </w:rPr>
        <w:t>8.1.4.4</w:t>
      </w:r>
      <w:r w:rsidRPr="000A40F5">
        <w:rPr>
          <w:rFonts w:eastAsia="Calibri"/>
          <w:lang w:val="fr-FR"/>
        </w:rPr>
        <w:tab/>
      </w:r>
      <w:r w:rsidRPr="000A40F5">
        <w:rPr>
          <w:lang w:val="fr-FR"/>
        </w:rPr>
        <w:t xml:space="preserve">L’amendement ne s’applique </w:t>
      </w:r>
      <w:r>
        <w:rPr>
          <w:lang w:val="fr-FR"/>
        </w:rPr>
        <w:t>pas au texte français.</w:t>
      </w:r>
    </w:p>
    <w:p w:rsidR="001B7272" w:rsidRPr="007A5D50" w:rsidRDefault="001B7272" w:rsidP="001B7272">
      <w:pPr>
        <w:pStyle w:val="SingleTxtG"/>
        <w:tabs>
          <w:tab w:val="left" w:pos="1985"/>
        </w:tabs>
        <w:rPr>
          <w:i/>
          <w:lang w:val="fr-FR"/>
        </w:rPr>
      </w:pPr>
      <w:r w:rsidRPr="007A5D50">
        <w:rPr>
          <w:i/>
          <w:lang w:val="fr-FR"/>
        </w:rPr>
        <w:t>(Documents de référence: ECE/TRANS/WP.15/AC.1/2015/29 et document informel INF.8)</w:t>
      </w:r>
    </w:p>
    <w:p w:rsidR="0023108D" w:rsidRPr="0006699B" w:rsidRDefault="0023108D" w:rsidP="0023108D">
      <w:pPr>
        <w:pStyle w:val="H1G"/>
        <w:tabs>
          <w:tab w:val="left" w:pos="1985"/>
        </w:tabs>
        <w:rPr>
          <w:lang w:val="fr-FR"/>
        </w:rPr>
      </w:pPr>
      <w:r w:rsidRPr="000A40F5">
        <w:rPr>
          <w:lang w:val="fr-FR"/>
        </w:rPr>
        <w:tab/>
      </w:r>
      <w:r w:rsidRPr="000A40F5">
        <w:rPr>
          <w:lang w:val="fr-FR"/>
        </w:rPr>
        <w:tab/>
      </w:r>
      <w:r w:rsidRPr="0006699B">
        <w:rPr>
          <w:lang w:val="fr-FR"/>
        </w:rPr>
        <w:t xml:space="preserve">Chapitre 9.1 </w:t>
      </w:r>
      <w:r w:rsidR="00F06BC3">
        <w:rPr>
          <w:lang w:val="fr-FR"/>
        </w:rPr>
        <w:t>(ADR)</w:t>
      </w:r>
    </w:p>
    <w:p w:rsidR="0023108D" w:rsidRDefault="0023108D" w:rsidP="0023108D">
      <w:pPr>
        <w:pStyle w:val="SingleTxtG"/>
        <w:tabs>
          <w:tab w:val="left" w:pos="1985"/>
        </w:tabs>
        <w:rPr>
          <w:lang w:val="fr-FR"/>
        </w:rPr>
      </w:pPr>
      <w:r w:rsidRPr="0006699B">
        <w:rPr>
          <w:lang w:val="fr-FR"/>
        </w:rPr>
        <w:t>9.1.2.2</w:t>
      </w:r>
      <w:r w:rsidRPr="0006699B">
        <w:rPr>
          <w:lang w:val="fr-FR"/>
        </w:rPr>
        <w:tab/>
        <w:t>Remplacer «le marquage d'homologation de type apposé» par «la marque d'homologation de type apposée».</w:t>
      </w:r>
    </w:p>
    <w:p w:rsidR="0023108D" w:rsidRPr="007A5D50" w:rsidRDefault="0023108D" w:rsidP="0023108D">
      <w:pPr>
        <w:pStyle w:val="SingleTxtG"/>
        <w:tabs>
          <w:tab w:val="left" w:pos="1985"/>
        </w:tabs>
        <w:rPr>
          <w:i/>
          <w:lang w:val="fr-FR"/>
        </w:rPr>
      </w:pPr>
      <w:r w:rsidRPr="007A5D50">
        <w:rPr>
          <w:i/>
          <w:lang w:val="fr-FR"/>
        </w:rPr>
        <w:t>(Documents de référence: ECE/TRANS/WP.15/AC.1/2015/29 et document informel INF.8)</w:t>
      </w:r>
    </w:p>
    <w:p w:rsidR="00BE40E1" w:rsidRPr="00A5379B" w:rsidRDefault="00BE40E1" w:rsidP="00BE40E1">
      <w:pPr>
        <w:pStyle w:val="H1G"/>
      </w:pPr>
      <w:r w:rsidRPr="00A5379B">
        <w:tab/>
      </w:r>
      <w:r w:rsidRPr="00A5379B">
        <w:tab/>
        <w:t xml:space="preserve">Chapitre </w:t>
      </w:r>
      <w:r>
        <w:t>9.7, correction (ADR)</w:t>
      </w:r>
    </w:p>
    <w:p w:rsidR="00BE40E1" w:rsidRPr="00A5379B" w:rsidRDefault="00BE40E1" w:rsidP="00BE40E1">
      <w:pPr>
        <w:pStyle w:val="SingleTxt"/>
        <w:tabs>
          <w:tab w:val="clear" w:pos="1267"/>
        </w:tabs>
        <w:ind w:left="1134"/>
      </w:pPr>
      <w:r>
        <w:t>9.7.3</w:t>
      </w:r>
      <w:r>
        <w:tab/>
        <w:t>La correction ne s’applique pas au texte français.</w:t>
      </w:r>
    </w:p>
    <w:p w:rsidR="00BE40E1" w:rsidRDefault="00BE40E1" w:rsidP="00BE40E1">
      <w:pPr>
        <w:pStyle w:val="SingleTxtG"/>
        <w:rPr>
          <w:i/>
        </w:rPr>
      </w:pPr>
      <w:r w:rsidRPr="00D972B4">
        <w:rPr>
          <w:i/>
        </w:rPr>
        <w:t xml:space="preserve">(Document de référence: </w:t>
      </w:r>
      <w:r>
        <w:rPr>
          <w:i/>
        </w:rPr>
        <w:t>document informel INF.50</w:t>
      </w:r>
      <w:r w:rsidRPr="00D972B4">
        <w:rPr>
          <w:i/>
        </w:rPr>
        <w:t>)</w:t>
      </w:r>
    </w:p>
    <w:p w:rsidR="00AB5D98" w:rsidRPr="00D44543" w:rsidRDefault="00D44543" w:rsidP="00D44543">
      <w:pPr>
        <w:spacing w:before="240"/>
        <w:ind w:left="1134" w:right="1134"/>
        <w:jc w:val="center"/>
        <w:rPr>
          <w:u w:val="single"/>
        </w:rPr>
      </w:pPr>
      <w:r>
        <w:rPr>
          <w:u w:val="single"/>
          <w:lang w:val="fr-FR"/>
        </w:rPr>
        <w:tab/>
      </w:r>
      <w:r>
        <w:rPr>
          <w:u w:val="single"/>
          <w:lang w:val="fr-FR"/>
        </w:rPr>
        <w:tab/>
      </w:r>
      <w:r>
        <w:rPr>
          <w:u w:val="single"/>
          <w:lang w:val="fr-FR"/>
        </w:rPr>
        <w:tab/>
      </w:r>
    </w:p>
    <w:sectPr w:rsidR="00AB5D98" w:rsidRPr="00D44543" w:rsidSect="000A27E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FE" w:rsidRDefault="001222FE"/>
  </w:endnote>
  <w:endnote w:type="continuationSeparator" w:id="0">
    <w:p w:rsidR="001222FE" w:rsidRDefault="001222FE"/>
  </w:endnote>
  <w:endnote w:type="continuationNotice" w:id="1">
    <w:p w:rsidR="001222FE" w:rsidRDefault="0012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3" w:rsidRPr="000A27E9" w:rsidRDefault="00DE621B" w:rsidP="000A27E9">
    <w:pPr>
      <w:pStyle w:val="Footer"/>
      <w:tabs>
        <w:tab w:val="right" w:pos="9638"/>
      </w:tabs>
      <w:rPr>
        <w:sz w:val="18"/>
      </w:rPr>
    </w:pPr>
    <w:r w:rsidRPr="000A27E9">
      <w:rPr>
        <w:b/>
        <w:sz w:val="18"/>
      </w:rPr>
      <w:fldChar w:fldCharType="begin"/>
    </w:r>
    <w:r w:rsidR="00253123" w:rsidRPr="000A27E9">
      <w:rPr>
        <w:b/>
        <w:sz w:val="18"/>
      </w:rPr>
      <w:instrText xml:space="preserve"> PAGE  \* MERGEFORMAT </w:instrText>
    </w:r>
    <w:r w:rsidRPr="000A27E9">
      <w:rPr>
        <w:b/>
        <w:sz w:val="18"/>
      </w:rPr>
      <w:fldChar w:fldCharType="separate"/>
    </w:r>
    <w:r w:rsidR="004846C6">
      <w:rPr>
        <w:b/>
        <w:noProof/>
        <w:sz w:val="18"/>
      </w:rPr>
      <w:t>2</w:t>
    </w:r>
    <w:r w:rsidRPr="000A27E9">
      <w:rPr>
        <w:b/>
        <w:sz w:val="18"/>
      </w:rPr>
      <w:fldChar w:fldCharType="end"/>
    </w:r>
    <w:r w:rsidR="0025312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3" w:rsidRPr="000A27E9" w:rsidRDefault="00253123" w:rsidP="000A27E9">
    <w:pPr>
      <w:pStyle w:val="Footer"/>
      <w:tabs>
        <w:tab w:val="right" w:pos="9638"/>
      </w:tabs>
      <w:rPr>
        <w:sz w:val="18"/>
      </w:rPr>
    </w:pPr>
    <w:r>
      <w:tab/>
    </w:r>
    <w:r w:rsidR="00DE621B" w:rsidRPr="000A27E9">
      <w:rPr>
        <w:b/>
        <w:sz w:val="18"/>
      </w:rPr>
      <w:fldChar w:fldCharType="begin"/>
    </w:r>
    <w:r w:rsidRPr="000A27E9">
      <w:rPr>
        <w:b/>
        <w:sz w:val="18"/>
      </w:rPr>
      <w:instrText xml:space="preserve"> PAGE  \* MERGEFORMAT </w:instrText>
    </w:r>
    <w:r w:rsidR="00DE621B" w:rsidRPr="000A27E9">
      <w:rPr>
        <w:b/>
        <w:sz w:val="18"/>
      </w:rPr>
      <w:fldChar w:fldCharType="separate"/>
    </w:r>
    <w:r w:rsidR="004846C6">
      <w:rPr>
        <w:b/>
        <w:noProof/>
        <w:sz w:val="18"/>
      </w:rPr>
      <w:t>25</w:t>
    </w:r>
    <w:r w:rsidR="00DE621B" w:rsidRPr="000A27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3" w:rsidRPr="000A27E9" w:rsidRDefault="00253123">
    <w:pPr>
      <w:pStyle w:val="Footer"/>
      <w:rPr>
        <w:sz w:val="20"/>
      </w:rPr>
    </w:pPr>
    <w:r>
      <w:rPr>
        <w:sz w:val="20"/>
      </w:rPr>
      <w:t>GE.</w:t>
    </w:r>
    <w:r w:rsidR="00442E35">
      <w:rPr>
        <w:noProof/>
        <w:sz w:val="18"/>
        <w:lang w:val="fr-FR" w:eastAsia="fr-FR"/>
      </w:rPr>
      <w:t>1</w:t>
    </w:r>
    <w:r w:rsidR="004846C6">
      <w:rPr>
        <w:noProof/>
        <w:sz w:val="18"/>
        <w:lang w:val="en-GB" w:eastAsia="en-GB"/>
      </w:rPr>
      <w:drawing>
        <wp:anchor distT="0" distB="0" distL="114300" distR="114300" simplePos="0" relativeHeight="251657728" behindDoc="0" locked="0" layoutInCell="1" allowOverlap="1">
          <wp:simplePos x="0" y="0"/>
          <wp:positionH relativeFrom="column">
            <wp:posOffset>5193030</wp:posOffset>
          </wp:positionH>
          <wp:positionV relativeFrom="paragraph">
            <wp:posOffset>59055</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E35">
      <w:rPr>
        <w:noProof/>
        <w:sz w:val="18"/>
        <w:lang w:val="fr-FR" w:eastAsia="fr-FR"/>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FE" w:rsidRPr="00D27D5E" w:rsidRDefault="001222FE" w:rsidP="00D27D5E">
      <w:pPr>
        <w:tabs>
          <w:tab w:val="right" w:pos="2155"/>
        </w:tabs>
        <w:spacing w:after="80"/>
        <w:ind w:left="680"/>
        <w:rPr>
          <w:u w:val="single"/>
        </w:rPr>
      </w:pPr>
      <w:r>
        <w:rPr>
          <w:u w:val="single"/>
        </w:rPr>
        <w:tab/>
      </w:r>
    </w:p>
  </w:footnote>
  <w:footnote w:type="continuationSeparator" w:id="0">
    <w:p w:rsidR="001222FE" w:rsidRPr="00A80554" w:rsidRDefault="001222FE" w:rsidP="00A80554">
      <w:pPr>
        <w:tabs>
          <w:tab w:val="left" w:pos="2155"/>
        </w:tabs>
        <w:spacing w:after="80"/>
        <w:ind w:left="680"/>
        <w:rPr>
          <w:u w:val="single"/>
        </w:rPr>
      </w:pPr>
      <w:r w:rsidRPr="00A80554">
        <w:rPr>
          <w:u w:val="single"/>
        </w:rPr>
        <w:tab/>
      </w:r>
    </w:p>
  </w:footnote>
  <w:footnote w:type="continuationNotice" w:id="1">
    <w:p w:rsidR="001222FE" w:rsidRDefault="001222FE"/>
  </w:footnote>
  <w:footnote w:id="2">
    <w:p w:rsidR="00253123" w:rsidRDefault="00253123" w:rsidP="003A0A8B">
      <w:pPr>
        <w:pStyle w:val="FootnoteText"/>
        <w:widowControl w:val="0"/>
        <w:tabs>
          <w:tab w:val="clear" w:pos="1021"/>
          <w:tab w:val="right" w:pos="1020"/>
        </w:tabs>
      </w:pPr>
      <w:r>
        <w:tab/>
      </w:r>
      <w:r>
        <w:rPr>
          <w:rStyle w:val="FootnoteReference"/>
        </w:rPr>
        <w:footnoteRef/>
      </w:r>
      <w:r>
        <w:tab/>
      </w:r>
      <w:r>
        <w:rPr>
          <w:lang w:val="fr-FR"/>
        </w:rPr>
        <w:t>Diffusé par l'Organisation intergouvernementale pour les transports internationaux ferroviaires (OTIF) sous la cote OTIF/RID/RC/</w:t>
      </w:r>
      <w:r>
        <w:rPr>
          <w:color w:val="000000"/>
          <w:lang w:val="fr-FR"/>
        </w:rPr>
        <w:t xml:space="preserve">2015-B. </w:t>
      </w:r>
      <w:r>
        <w:rPr>
          <w:lang w:val="fr-FR"/>
        </w:rPr>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 xml:space="preserve">. </w:t>
      </w:r>
    </w:p>
  </w:footnote>
  <w:footnote w:id="3">
    <w:p w:rsidR="00253123" w:rsidRDefault="00253123" w:rsidP="003A0A8B">
      <w:pPr>
        <w:pStyle w:val="FootnoteText"/>
        <w:widowControl w:val="0"/>
        <w:tabs>
          <w:tab w:val="clear" w:pos="1021"/>
          <w:tab w:val="right" w:pos="1020"/>
        </w:tabs>
      </w:pPr>
      <w:r>
        <w:tab/>
      </w:r>
      <w:r>
        <w:rPr>
          <w:rStyle w:val="FootnoteReference"/>
        </w:rPr>
        <w:footnoteRef/>
      </w:r>
      <w:r>
        <w:tab/>
      </w:r>
      <w:r>
        <w:rPr>
          <w:lang w:val="fr-FR"/>
        </w:rPr>
        <w:t>Diffusé par l'Organisation intergouvernementale pour les transports internationaux ferroviaires (OTIF) sous la cote OTIF/RID/RC/</w:t>
      </w:r>
      <w:r>
        <w:rPr>
          <w:color w:val="000000"/>
          <w:lang w:val="fr-FR"/>
        </w:rPr>
        <w:t xml:space="preserve">2015-B/Add.1.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3" w:rsidRPr="000A27E9" w:rsidRDefault="00253123">
    <w:pPr>
      <w:pStyle w:val="Header"/>
    </w:pPr>
    <w:r>
      <w:t>ECE/TRANS/WP.15/140/Add.1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3" w:rsidRPr="000A27E9" w:rsidRDefault="00253123" w:rsidP="000A27E9">
    <w:pPr>
      <w:pStyle w:val="Header"/>
      <w:jc w:val="right"/>
    </w:pPr>
    <w:r>
      <w:t>ECE/TRANS/WP.15/140/Add.1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E9"/>
    <w:rsid w:val="000148D9"/>
    <w:rsid w:val="00016AC5"/>
    <w:rsid w:val="00030ADE"/>
    <w:rsid w:val="000312C0"/>
    <w:rsid w:val="00032AD5"/>
    <w:rsid w:val="0005304D"/>
    <w:rsid w:val="00053872"/>
    <w:rsid w:val="0006786D"/>
    <w:rsid w:val="00080A13"/>
    <w:rsid w:val="00082E23"/>
    <w:rsid w:val="0008539B"/>
    <w:rsid w:val="00087162"/>
    <w:rsid w:val="000964C7"/>
    <w:rsid w:val="000A27E9"/>
    <w:rsid w:val="000B34CA"/>
    <w:rsid w:val="000C6F40"/>
    <w:rsid w:val="000E1A67"/>
    <w:rsid w:val="000E5974"/>
    <w:rsid w:val="000F41F2"/>
    <w:rsid w:val="000F5DA4"/>
    <w:rsid w:val="00102A02"/>
    <w:rsid w:val="001222FE"/>
    <w:rsid w:val="00135C0D"/>
    <w:rsid w:val="001432DE"/>
    <w:rsid w:val="00144C49"/>
    <w:rsid w:val="00154636"/>
    <w:rsid w:val="00160540"/>
    <w:rsid w:val="00165FD1"/>
    <w:rsid w:val="00170C8B"/>
    <w:rsid w:val="0017182C"/>
    <w:rsid w:val="001722B5"/>
    <w:rsid w:val="00177007"/>
    <w:rsid w:val="00177C8C"/>
    <w:rsid w:val="00186EE9"/>
    <w:rsid w:val="00192EEB"/>
    <w:rsid w:val="001A20FB"/>
    <w:rsid w:val="001B1C98"/>
    <w:rsid w:val="001B509D"/>
    <w:rsid w:val="001B6F40"/>
    <w:rsid w:val="001B7272"/>
    <w:rsid w:val="001D7F8A"/>
    <w:rsid w:val="001E01B4"/>
    <w:rsid w:val="001E3FEB"/>
    <w:rsid w:val="001E4A02"/>
    <w:rsid w:val="001F7026"/>
    <w:rsid w:val="002002B1"/>
    <w:rsid w:val="002036DE"/>
    <w:rsid w:val="0021178F"/>
    <w:rsid w:val="00223B89"/>
    <w:rsid w:val="00224A0E"/>
    <w:rsid w:val="00224E96"/>
    <w:rsid w:val="00225A8C"/>
    <w:rsid w:val="0023108D"/>
    <w:rsid w:val="00232C61"/>
    <w:rsid w:val="00251A6C"/>
    <w:rsid w:val="00253123"/>
    <w:rsid w:val="0025313C"/>
    <w:rsid w:val="002659F1"/>
    <w:rsid w:val="00271C7C"/>
    <w:rsid w:val="00276259"/>
    <w:rsid w:val="00287E79"/>
    <w:rsid w:val="002928F9"/>
    <w:rsid w:val="00297BC0"/>
    <w:rsid w:val="002A4564"/>
    <w:rsid w:val="002A5D07"/>
    <w:rsid w:val="002B56D3"/>
    <w:rsid w:val="002C53DB"/>
    <w:rsid w:val="002C7BB6"/>
    <w:rsid w:val="002D091E"/>
    <w:rsid w:val="002D1CDE"/>
    <w:rsid w:val="003016B7"/>
    <w:rsid w:val="003044BB"/>
    <w:rsid w:val="003106F9"/>
    <w:rsid w:val="00327193"/>
    <w:rsid w:val="00330F9C"/>
    <w:rsid w:val="00340C35"/>
    <w:rsid w:val="003515AA"/>
    <w:rsid w:val="003673E2"/>
    <w:rsid w:val="00367E6A"/>
    <w:rsid w:val="00370E0F"/>
    <w:rsid w:val="00374106"/>
    <w:rsid w:val="0037509E"/>
    <w:rsid w:val="00386C54"/>
    <w:rsid w:val="00387999"/>
    <w:rsid w:val="003976D5"/>
    <w:rsid w:val="003A0A8B"/>
    <w:rsid w:val="003D1DF3"/>
    <w:rsid w:val="003D468A"/>
    <w:rsid w:val="003D46A7"/>
    <w:rsid w:val="003D611C"/>
    <w:rsid w:val="003D6C68"/>
    <w:rsid w:val="003D76E4"/>
    <w:rsid w:val="003E4A20"/>
    <w:rsid w:val="00414425"/>
    <w:rsid w:val="004159D0"/>
    <w:rsid w:val="004249E7"/>
    <w:rsid w:val="00426B7A"/>
    <w:rsid w:val="00426DA1"/>
    <w:rsid w:val="004320DA"/>
    <w:rsid w:val="00434168"/>
    <w:rsid w:val="00434445"/>
    <w:rsid w:val="00442E35"/>
    <w:rsid w:val="00445786"/>
    <w:rsid w:val="00445D56"/>
    <w:rsid w:val="004478B6"/>
    <w:rsid w:val="00452FD2"/>
    <w:rsid w:val="00456550"/>
    <w:rsid w:val="004846C6"/>
    <w:rsid w:val="00497A70"/>
    <w:rsid w:val="004C73C2"/>
    <w:rsid w:val="004D53B7"/>
    <w:rsid w:val="004E1252"/>
    <w:rsid w:val="004F7E6B"/>
    <w:rsid w:val="00514102"/>
    <w:rsid w:val="00531F7E"/>
    <w:rsid w:val="00533A22"/>
    <w:rsid w:val="00534716"/>
    <w:rsid w:val="00543D5E"/>
    <w:rsid w:val="00571F41"/>
    <w:rsid w:val="00577F83"/>
    <w:rsid w:val="00580013"/>
    <w:rsid w:val="0059410B"/>
    <w:rsid w:val="00595BE4"/>
    <w:rsid w:val="005B09DE"/>
    <w:rsid w:val="005B738F"/>
    <w:rsid w:val="005B76A3"/>
    <w:rsid w:val="005C03A3"/>
    <w:rsid w:val="005E1AB6"/>
    <w:rsid w:val="005E5D1F"/>
    <w:rsid w:val="005E72C2"/>
    <w:rsid w:val="00603391"/>
    <w:rsid w:val="006049FD"/>
    <w:rsid w:val="00611D43"/>
    <w:rsid w:val="00612D48"/>
    <w:rsid w:val="00616B45"/>
    <w:rsid w:val="00622095"/>
    <w:rsid w:val="006233B0"/>
    <w:rsid w:val="0062788F"/>
    <w:rsid w:val="00630D9B"/>
    <w:rsid w:val="00631953"/>
    <w:rsid w:val="006439EC"/>
    <w:rsid w:val="006532A5"/>
    <w:rsid w:val="00685BEB"/>
    <w:rsid w:val="006A047B"/>
    <w:rsid w:val="006B4590"/>
    <w:rsid w:val="006C340C"/>
    <w:rsid w:val="006D4BB0"/>
    <w:rsid w:val="006E5FC7"/>
    <w:rsid w:val="0070347C"/>
    <w:rsid w:val="00706BA6"/>
    <w:rsid w:val="00714618"/>
    <w:rsid w:val="007176C1"/>
    <w:rsid w:val="00724517"/>
    <w:rsid w:val="00741503"/>
    <w:rsid w:val="0076202F"/>
    <w:rsid w:val="00781E65"/>
    <w:rsid w:val="00783835"/>
    <w:rsid w:val="00783F37"/>
    <w:rsid w:val="00784D7C"/>
    <w:rsid w:val="00785B3D"/>
    <w:rsid w:val="00786F68"/>
    <w:rsid w:val="007901EE"/>
    <w:rsid w:val="00790F2F"/>
    <w:rsid w:val="00795E9A"/>
    <w:rsid w:val="007965B3"/>
    <w:rsid w:val="00797482"/>
    <w:rsid w:val="0079773A"/>
    <w:rsid w:val="007A3615"/>
    <w:rsid w:val="007A6076"/>
    <w:rsid w:val="007F55CB"/>
    <w:rsid w:val="008070E7"/>
    <w:rsid w:val="00812C1A"/>
    <w:rsid w:val="00814F5E"/>
    <w:rsid w:val="008261AF"/>
    <w:rsid w:val="008317F6"/>
    <w:rsid w:val="00831EF9"/>
    <w:rsid w:val="008376DA"/>
    <w:rsid w:val="00842398"/>
    <w:rsid w:val="00844750"/>
    <w:rsid w:val="008713D1"/>
    <w:rsid w:val="008717DC"/>
    <w:rsid w:val="008B44C4"/>
    <w:rsid w:val="008B7055"/>
    <w:rsid w:val="008B7879"/>
    <w:rsid w:val="008C2211"/>
    <w:rsid w:val="008D3919"/>
    <w:rsid w:val="008D7CF2"/>
    <w:rsid w:val="008E7FAE"/>
    <w:rsid w:val="008F0CCC"/>
    <w:rsid w:val="00905C78"/>
    <w:rsid w:val="00911BF7"/>
    <w:rsid w:val="00920D8B"/>
    <w:rsid w:val="00926E87"/>
    <w:rsid w:val="0093391B"/>
    <w:rsid w:val="00941A27"/>
    <w:rsid w:val="00952FDB"/>
    <w:rsid w:val="009533C2"/>
    <w:rsid w:val="00957EF0"/>
    <w:rsid w:val="009613D5"/>
    <w:rsid w:val="00977EC8"/>
    <w:rsid w:val="009803D5"/>
    <w:rsid w:val="009920C9"/>
    <w:rsid w:val="00996A47"/>
    <w:rsid w:val="009A64D5"/>
    <w:rsid w:val="009B18A3"/>
    <w:rsid w:val="009C71D9"/>
    <w:rsid w:val="009D3A8C"/>
    <w:rsid w:val="009E01B8"/>
    <w:rsid w:val="009E110C"/>
    <w:rsid w:val="009E17BD"/>
    <w:rsid w:val="009E27E5"/>
    <w:rsid w:val="009E7956"/>
    <w:rsid w:val="009F6DB0"/>
    <w:rsid w:val="00A00571"/>
    <w:rsid w:val="00A1547F"/>
    <w:rsid w:val="00A2492E"/>
    <w:rsid w:val="00A25BF6"/>
    <w:rsid w:val="00A27297"/>
    <w:rsid w:val="00A31F07"/>
    <w:rsid w:val="00A3651D"/>
    <w:rsid w:val="00A366B4"/>
    <w:rsid w:val="00A41235"/>
    <w:rsid w:val="00A60918"/>
    <w:rsid w:val="00A609AA"/>
    <w:rsid w:val="00A70163"/>
    <w:rsid w:val="00A80554"/>
    <w:rsid w:val="00A967DF"/>
    <w:rsid w:val="00AA36B6"/>
    <w:rsid w:val="00AA72C3"/>
    <w:rsid w:val="00AB5D98"/>
    <w:rsid w:val="00AC1DFF"/>
    <w:rsid w:val="00AC67A1"/>
    <w:rsid w:val="00AC7977"/>
    <w:rsid w:val="00AD40CD"/>
    <w:rsid w:val="00AE352C"/>
    <w:rsid w:val="00AE3A31"/>
    <w:rsid w:val="00B0230D"/>
    <w:rsid w:val="00B0649E"/>
    <w:rsid w:val="00B32E2D"/>
    <w:rsid w:val="00B4466B"/>
    <w:rsid w:val="00B55EA9"/>
    <w:rsid w:val="00B61990"/>
    <w:rsid w:val="00B6602A"/>
    <w:rsid w:val="00B725D7"/>
    <w:rsid w:val="00B801D1"/>
    <w:rsid w:val="00B85D99"/>
    <w:rsid w:val="00B93E72"/>
    <w:rsid w:val="00B94939"/>
    <w:rsid w:val="00B9538D"/>
    <w:rsid w:val="00BB1B8C"/>
    <w:rsid w:val="00BE2818"/>
    <w:rsid w:val="00BE40E1"/>
    <w:rsid w:val="00BF0556"/>
    <w:rsid w:val="00BF06B0"/>
    <w:rsid w:val="00C01657"/>
    <w:rsid w:val="00C016D2"/>
    <w:rsid w:val="00C16B17"/>
    <w:rsid w:val="00C24B53"/>
    <w:rsid w:val="00C261F8"/>
    <w:rsid w:val="00C3243D"/>
    <w:rsid w:val="00C33100"/>
    <w:rsid w:val="00C67155"/>
    <w:rsid w:val="00C761AE"/>
    <w:rsid w:val="00C940E9"/>
    <w:rsid w:val="00CA3EDE"/>
    <w:rsid w:val="00CB22E5"/>
    <w:rsid w:val="00CB6267"/>
    <w:rsid w:val="00CC7512"/>
    <w:rsid w:val="00CD1A71"/>
    <w:rsid w:val="00CD1FBB"/>
    <w:rsid w:val="00CD6ACC"/>
    <w:rsid w:val="00CF2FC5"/>
    <w:rsid w:val="00D016B5"/>
    <w:rsid w:val="00D034F1"/>
    <w:rsid w:val="00D11B17"/>
    <w:rsid w:val="00D151B3"/>
    <w:rsid w:val="00D2763D"/>
    <w:rsid w:val="00D27D5E"/>
    <w:rsid w:val="00D44543"/>
    <w:rsid w:val="00D55FD4"/>
    <w:rsid w:val="00D60301"/>
    <w:rsid w:val="00D90F5C"/>
    <w:rsid w:val="00DA2852"/>
    <w:rsid w:val="00DA415B"/>
    <w:rsid w:val="00DA536C"/>
    <w:rsid w:val="00DA57D4"/>
    <w:rsid w:val="00DB4793"/>
    <w:rsid w:val="00DE01E3"/>
    <w:rsid w:val="00DE621B"/>
    <w:rsid w:val="00DE6D90"/>
    <w:rsid w:val="00DF002F"/>
    <w:rsid w:val="00E0244D"/>
    <w:rsid w:val="00E27817"/>
    <w:rsid w:val="00E402A8"/>
    <w:rsid w:val="00E4343D"/>
    <w:rsid w:val="00E52AD9"/>
    <w:rsid w:val="00E52E41"/>
    <w:rsid w:val="00E55D71"/>
    <w:rsid w:val="00E81E94"/>
    <w:rsid w:val="00E82607"/>
    <w:rsid w:val="00E8402C"/>
    <w:rsid w:val="00E873B1"/>
    <w:rsid w:val="00EA31C2"/>
    <w:rsid w:val="00EA658D"/>
    <w:rsid w:val="00ED23F0"/>
    <w:rsid w:val="00ED2C7B"/>
    <w:rsid w:val="00EE1870"/>
    <w:rsid w:val="00EE2088"/>
    <w:rsid w:val="00EE2EA3"/>
    <w:rsid w:val="00EE4B8F"/>
    <w:rsid w:val="00EE705B"/>
    <w:rsid w:val="00EF2DF2"/>
    <w:rsid w:val="00EF33BF"/>
    <w:rsid w:val="00F01516"/>
    <w:rsid w:val="00F01857"/>
    <w:rsid w:val="00F06BC3"/>
    <w:rsid w:val="00F24056"/>
    <w:rsid w:val="00F365D5"/>
    <w:rsid w:val="00F57129"/>
    <w:rsid w:val="00F5773F"/>
    <w:rsid w:val="00F63896"/>
    <w:rsid w:val="00F709EB"/>
    <w:rsid w:val="00FA5A79"/>
    <w:rsid w:val="00FA6422"/>
    <w:rsid w:val="00FB00CB"/>
    <w:rsid w:val="00FB0BFE"/>
    <w:rsid w:val="00FB4C51"/>
    <w:rsid w:val="00FC3FF0"/>
    <w:rsid w:val="00FE7E17"/>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3A0A8B"/>
    <w:rPr>
      <w:sz w:val="18"/>
      <w:lang w:val="fr-CH" w:eastAsia="en-US"/>
    </w:rPr>
  </w:style>
  <w:style w:type="character" w:customStyle="1" w:styleId="HChGChar">
    <w:name w:val="_ H _Ch_G Char"/>
    <w:link w:val="HChG"/>
    <w:rsid w:val="003A0A8B"/>
    <w:rPr>
      <w:b/>
      <w:sz w:val="28"/>
      <w:lang w:val="fr-CH" w:eastAsia="en-US"/>
    </w:rPr>
  </w:style>
  <w:style w:type="character" w:customStyle="1" w:styleId="H23GChar">
    <w:name w:val="_ H_2/3_G Char"/>
    <w:link w:val="H23G"/>
    <w:rsid w:val="003A0A8B"/>
    <w:rPr>
      <w:b/>
      <w:lang w:val="fr-CH" w:eastAsia="en-US"/>
    </w:rPr>
  </w:style>
  <w:style w:type="character" w:customStyle="1" w:styleId="H1GChar">
    <w:name w:val="_ H_1_G Char"/>
    <w:link w:val="H1G"/>
    <w:locked/>
    <w:rsid w:val="003A0A8B"/>
    <w:rPr>
      <w:b/>
      <w:sz w:val="24"/>
      <w:lang w:val="fr-CH" w:eastAsia="en-US"/>
    </w:rPr>
  </w:style>
  <w:style w:type="character" w:customStyle="1" w:styleId="SingleTxtGCar">
    <w:name w:val="_ Single Txt_G Car"/>
    <w:link w:val="SingleTxtG"/>
    <w:rsid w:val="003A0A8B"/>
    <w:rPr>
      <w:lang w:val="fr-CH" w:eastAsia="en-US"/>
    </w:rPr>
  </w:style>
  <w:style w:type="character" w:styleId="CommentReference">
    <w:name w:val="annotation reference"/>
    <w:uiPriority w:val="99"/>
    <w:rsid w:val="002C53DB"/>
    <w:rPr>
      <w:sz w:val="16"/>
      <w:szCs w:val="16"/>
    </w:rPr>
  </w:style>
  <w:style w:type="paragraph" w:styleId="CommentText">
    <w:name w:val="annotation text"/>
    <w:basedOn w:val="Normal"/>
    <w:link w:val="CommentTextChar"/>
    <w:uiPriority w:val="99"/>
    <w:rsid w:val="002C53DB"/>
    <w:pPr>
      <w:spacing w:line="240" w:lineRule="auto"/>
    </w:pPr>
  </w:style>
  <w:style w:type="character" w:customStyle="1" w:styleId="CommentTextChar">
    <w:name w:val="Comment Text Char"/>
    <w:link w:val="CommentText"/>
    <w:uiPriority w:val="99"/>
    <w:rsid w:val="002C53DB"/>
    <w:rPr>
      <w:lang w:val="fr-CH" w:eastAsia="en-US"/>
    </w:rPr>
  </w:style>
  <w:style w:type="paragraph" w:styleId="CommentSubject">
    <w:name w:val="annotation subject"/>
    <w:basedOn w:val="CommentText"/>
    <w:next w:val="CommentText"/>
    <w:link w:val="CommentSubjectChar"/>
    <w:rsid w:val="002C53DB"/>
    <w:rPr>
      <w:b/>
      <w:bCs/>
    </w:rPr>
  </w:style>
  <w:style w:type="character" w:customStyle="1" w:styleId="CommentSubjectChar">
    <w:name w:val="Comment Subject Char"/>
    <w:link w:val="CommentSubject"/>
    <w:rsid w:val="002C53DB"/>
    <w:rPr>
      <w:b/>
      <w:bCs/>
      <w:lang w:val="fr-CH" w:eastAsia="en-US"/>
    </w:rPr>
  </w:style>
  <w:style w:type="paragraph" w:styleId="Revision">
    <w:name w:val="Revision"/>
    <w:hidden/>
    <w:uiPriority w:val="99"/>
    <w:semiHidden/>
    <w:rsid w:val="002C53DB"/>
    <w:rPr>
      <w:lang w:val="fr-CH" w:eastAsia="en-US"/>
    </w:rPr>
  </w:style>
  <w:style w:type="paragraph" w:styleId="BalloonText">
    <w:name w:val="Balloon Text"/>
    <w:basedOn w:val="Normal"/>
    <w:link w:val="BalloonTextChar"/>
    <w:rsid w:val="002C53DB"/>
    <w:pPr>
      <w:spacing w:line="240" w:lineRule="auto"/>
    </w:pPr>
    <w:rPr>
      <w:rFonts w:ascii="Tahoma" w:hAnsi="Tahoma" w:cs="Tahoma"/>
      <w:sz w:val="16"/>
      <w:szCs w:val="16"/>
    </w:rPr>
  </w:style>
  <w:style w:type="character" w:customStyle="1" w:styleId="BalloonTextChar">
    <w:name w:val="Balloon Text Char"/>
    <w:link w:val="BalloonText"/>
    <w:rsid w:val="002C53DB"/>
    <w:rPr>
      <w:rFonts w:ascii="Tahoma" w:hAnsi="Tahoma" w:cs="Tahoma"/>
      <w:sz w:val="16"/>
      <w:szCs w:val="16"/>
      <w:lang w:val="fr-CH" w:eastAsia="en-US"/>
    </w:rPr>
  </w:style>
  <w:style w:type="paragraph" w:customStyle="1" w:styleId="SingleTxt">
    <w:name w:val="__Single Txt"/>
    <w:basedOn w:val="Normal"/>
    <w:qFormat/>
    <w:rsid w:val="008B70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customStyle="1" w:styleId="SingleTxtGChar">
    <w:name w:val="_ Single Txt_G Char"/>
    <w:rsid w:val="00E4343D"/>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3A0A8B"/>
    <w:rPr>
      <w:sz w:val="18"/>
      <w:lang w:val="fr-CH" w:eastAsia="en-US"/>
    </w:rPr>
  </w:style>
  <w:style w:type="character" w:customStyle="1" w:styleId="HChGChar">
    <w:name w:val="_ H _Ch_G Char"/>
    <w:link w:val="HChG"/>
    <w:rsid w:val="003A0A8B"/>
    <w:rPr>
      <w:b/>
      <w:sz w:val="28"/>
      <w:lang w:val="fr-CH" w:eastAsia="en-US"/>
    </w:rPr>
  </w:style>
  <w:style w:type="character" w:customStyle="1" w:styleId="H23GChar">
    <w:name w:val="_ H_2/3_G Char"/>
    <w:link w:val="H23G"/>
    <w:rsid w:val="003A0A8B"/>
    <w:rPr>
      <w:b/>
      <w:lang w:val="fr-CH" w:eastAsia="en-US"/>
    </w:rPr>
  </w:style>
  <w:style w:type="character" w:customStyle="1" w:styleId="H1GChar">
    <w:name w:val="_ H_1_G Char"/>
    <w:link w:val="H1G"/>
    <w:locked/>
    <w:rsid w:val="003A0A8B"/>
    <w:rPr>
      <w:b/>
      <w:sz w:val="24"/>
      <w:lang w:val="fr-CH" w:eastAsia="en-US"/>
    </w:rPr>
  </w:style>
  <w:style w:type="character" w:customStyle="1" w:styleId="SingleTxtGCar">
    <w:name w:val="_ Single Txt_G Car"/>
    <w:link w:val="SingleTxtG"/>
    <w:rsid w:val="003A0A8B"/>
    <w:rPr>
      <w:lang w:val="fr-CH" w:eastAsia="en-US"/>
    </w:rPr>
  </w:style>
  <w:style w:type="character" w:styleId="CommentReference">
    <w:name w:val="annotation reference"/>
    <w:uiPriority w:val="99"/>
    <w:rsid w:val="002C53DB"/>
    <w:rPr>
      <w:sz w:val="16"/>
      <w:szCs w:val="16"/>
    </w:rPr>
  </w:style>
  <w:style w:type="paragraph" w:styleId="CommentText">
    <w:name w:val="annotation text"/>
    <w:basedOn w:val="Normal"/>
    <w:link w:val="CommentTextChar"/>
    <w:uiPriority w:val="99"/>
    <w:rsid w:val="002C53DB"/>
    <w:pPr>
      <w:spacing w:line="240" w:lineRule="auto"/>
    </w:pPr>
  </w:style>
  <w:style w:type="character" w:customStyle="1" w:styleId="CommentTextChar">
    <w:name w:val="Comment Text Char"/>
    <w:link w:val="CommentText"/>
    <w:uiPriority w:val="99"/>
    <w:rsid w:val="002C53DB"/>
    <w:rPr>
      <w:lang w:val="fr-CH" w:eastAsia="en-US"/>
    </w:rPr>
  </w:style>
  <w:style w:type="paragraph" w:styleId="CommentSubject">
    <w:name w:val="annotation subject"/>
    <w:basedOn w:val="CommentText"/>
    <w:next w:val="CommentText"/>
    <w:link w:val="CommentSubjectChar"/>
    <w:rsid w:val="002C53DB"/>
    <w:rPr>
      <w:b/>
      <w:bCs/>
    </w:rPr>
  </w:style>
  <w:style w:type="character" w:customStyle="1" w:styleId="CommentSubjectChar">
    <w:name w:val="Comment Subject Char"/>
    <w:link w:val="CommentSubject"/>
    <w:rsid w:val="002C53DB"/>
    <w:rPr>
      <w:b/>
      <w:bCs/>
      <w:lang w:val="fr-CH" w:eastAsia="en-US"/>
    </w:rPr>
  </w:style>
  <w:style w:type="paragraph" w:styleId="Revision">
    <w:name w:val="Revision"/>
    <w:hidden/>
    <w:uiPriority w:val="99"/>
    <w:semiHidden/>
    <w:rsid w:val="002C53DB"/>
    <w:rPr>
      <w:lang w:val="fr-CH" w:eastAsia="en-US"/>
    </w:rPr>
  </w:style>
  <w:style w:type="paragraph" w:styleId="BalloonText">
    <w:name w:val="Balloon Text"/>
    <w:basedOn w:val="Normal"/>
    <w:link w:val="BalloonTextChar"/>
    <w:rsid w:val="002C53DB"/>
    <w:pPr>
      <w:spacing w:line="240" w:lineRule="auto"/>
    </w:pPr>
    <w:rPr>
      <w:rFonts w:ascii="Tahoma" w:hAnsi="Tahoma" w:cs="Tahoma"/>
      <w:sz w:val="16"/>
      <w:szCs w:val="16"/>
    </w:rPr>
  </w:style>
  <w:style w:type="character" w:customStyle="1" w:styleId="BalloonTextChar">
    <w:name w:val="Balloon Text Char"/>
    <w:link w:val="BalloonText"/>
    <w:rsid w:val="002C53DB"/>
    <w:rPr>
      <w:rFonts w:ascii="Tahoma" w:hAnsi="Tahoma" w:cs="Tahoma"/>
      <w:sz w:val="16"/>
      <w:szCs w:val="16"/>
      <w:lang w:val="fr-CH" w:eastAsia="en-US"/>
    </w:rPr>
  </w:style>
  <w:style w:type="paragraph" w:customStyle="1" w:styleId="SingleTxt">
    <w:name w:val="__Single Txt"/>
    <w:basedOn w:val="Normal"/>
    <w:qFormat/>
    <w:rsid w:val="008B70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customStyle="1" w:styleId="SingleTxtGChar">
    <w:name w:val="_ Single Txt_G Char"/>
    <w:rsid w:val="00E4343D"/>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33E5-AEF0-409D-96AF-ABC2B1F7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0</TotalTime>
  <Pages>25</Pages>
  <Words>9396</Words>
  <Characters>53561</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barrio-champeau</cp:lastModifiedBy>
  <cp:revision>2</cp:revision>
  <cp:lastPrinted>2015-11-02T17:54:00Z</cp:lastPrinted>
  <dcterms:created xsi:type="dcterms:W3CDTF">2015-11-04T09:00:00Z</dcterms:created>
  <dcterms:modified xsi:type="dcterms:W3CDTF">2015-11-04T09:00:00Z</dcterms:modified>
</cp:coreProperties>
</file>