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D8" w:rsidRPr="00F02BB3" w:rsidRDefault="003A5BD8" w:rsidP="003A5BD8">
      <w:pPr>
        <w:spacing w:before="120" w:after="0" w:line="240" w:lineRule="atLeast"/>
        <w:rPr>
          <w:b/>
          <w:bCs/>
          <w:sz w:val="28"/>
          <w:szCs w:val="28"/>
        </w:rPr>
      </w:pPr>
      <w:r w:rsidRPr="00F02BB3">
        <w:rPr>
          <w:b/>
          <w:bCs/>
          <w:noProof/>
          <w:sz w:val="28"/>
          <w:szCs w:val="28"/>
        </w:rPr>
        <w:t>Economic Commission for Europe</w:t>
      </w:r>
    </w:p>
    <w:p w:rsidR="003A5BD8" w:rsidRPr="00F02BB3" w:rsidRDefault="003A5BD8" w:rsidP="003A5BD8">
      <w:pPr>
        <w:spacing w:before="120" w:after="0" w:line="240" w:lineRule="atLeast"/>
        <w:rPr>
          <w:sz w:val="28"/>
          <w:szCs w:val="28"/>
        </w:rPr>
      </w:pPr>
      <w:r w:rsidRPr="00F02BB3">
        <w:rPr>
          <w:noProof/>
          <w:sz w:val="28"/>
          <w:szCs w:val="28"/>
        </w:rPr>
        <w:t>Inland Transport Committee</w:t>
      </w:r>
    </w:p>
    <w:p w:rsidR="003A5BD8" w:rsidRPr="00F02BB3" w:rsidRDefault="003A5BD8" w:rsidP="003A5BD8">
      <w:pPr>
        <w:tabs>
          <w:tab w:val="right" w:pos="9639"/>
        </w:tabs>
        <w:spacing w:before="120" w:after="0" w:line="240" w:lineRule="atLeast"/>
        <w:rPr>
          <w:b/>
          <w:bCs/>
        </w:rPr>
      </w:pPr>
      <w:r w:rsidRPr="00F02BB3">
        <w:rPr>
          <w:b/>
          <w:bCs/>
          <w:noProof/>
        </w:rPr>
        <w:t>Working Party on the Transport of Dangerous Goods</w:t>
      </w:r>
    </w:p>
    <w:p w:rsidR="003A5BD8" w:rsidRPr="00F02BB3" w:rsidRDefault="003A5BD8" w:rsidP="003A5BD8">
      <w:pPr>
        <w:spacing w:before="120" w:after="0" w:line="240" w:lineRule="atLeast"/>
        <w:rPr>
          <w:b/>
          <w:bCs/>
          <w:sz w:val="20"/>
          <w:szCs w:val="20"/>
        </w:rPr>
      </w:pPr>
      <w:r w:rsidRPr="00F02BB3">
        <w:rPr>
          <w:b/>
          <w:bCs/>
          <w:noProof/>
          <w:sz w:val="20"/>
          <w:szCs w:val="20"/>
        </w:rPr>
        <w:t>Ninety-</w:t>
      </w:r>
      <w:r w:rsidR="005E0EFB">
        <w:rPr>
          <w:b/>
          <w:bCs/>
          <w:noProof/>
          <w:sz w:val="20"/>
          <w:szCs w:val="20"/>
        </w:rPr>
        <w:t>ninth</w:t>
      </w:r>
      <w:r w:rsidRPr="00F02BB3">
        <w:rPr>
          <w:b/>
          <w:bCs/>
          <w:noProof/>
          <w:sz w:val="20"/>
          <w:szCs w:val="20"/>
        </w:rPr>
        <w:t xml:space="preserve"> session</w:t>
      </w:r>
      <w:r w:rsidRPr="00F02BB3">
        <w:rPr>
          <w:b/>
          <w:bCs/>
          <w:sz w:val="20"/>
          <w:szCs w:val="20"/>
        </w:rPr>
        <w:t xml:space="preserve"> </w:t>
      </w:r>
      <w:r w:rsidR="00BF321D">
        <w:rPr>
          <w:b/>
          <w:bCs/>
          <w:sz w:val="20"/>
          <w:szCs w:val="20"/>
        </w:rPr>
        <w:tab/>
      </w:r>
      <w:r w:rsidR="00BF321D">
        <w:rPr>
          <w:b/>
          <w:bCs/>
          <w:sz w:val="20"/>
          <w:szCs w:val="20"/>
        </w:rPr>
        <w:tab/>
      </w:r>
      <w:r w:rsidR="00BF321D">
        <w:rPr>
          <w:b/>
          <w:bCs/>
          <w:sz w:val="20"/>
          <w:szCs w:val="20"/>
        </w:rPr>
        <w:tab/>
      </w:r>
      <w:r w:rsidR="00BF321D">
        <w:rPr>
          <w:b/>
          <w:bCs/>
          <w:sz w:val="20"/>
          <w:szCs w:val="20"/>
        </w:rPr>
        <w:tab/>
      </w:r>
      <w:r w:rsidR="00BF321D">
        <w:rPr>
          <w:b/>
          <w:bCs/>
          <w:sz w:val="20"/>
          <w:szCs w:val="20"/>
        </w:rPr>
        <w:tab/>
      </w:r>
      <w:r w:rsidR="00BF321D">
        <w:rPr>
          <w:b/>
          <w:bCs/>
          <w:sz w:val="20"/>
          <w:szCs w:val="20"/>
        </w:rPr>
        <w:tab/>
      </w:r>
      <w:r w:rsidR="00BF321D">
        <w:rPr>
          <w:b/>
          <w:bCs/>
          <w:sz w:val="20"/>
          <w:szCs w:val="20"/>
        </w:rPr>
        <w:tab/>
      </w:r>
      <w:r w:rsidR="00BF321D">
        <w:rPr>
          <w:b/>
          <w:bCs/>
          <w:sz w:val="20"/>
          <w:szCs w:val="20"/>
        </w:rPr>
        <w:tab/>
      </w:r>
      <w:r>
        <w:rPr>
          <w:b/>
          <w:bCs/>
          <w:sz w:val="20"/>
          <w:szCs w:val="20"/>
        </w:rPr>
        <w:tab/>
      </w:r>
      <w:r w:rsidR="003504E3">
        <w:rPr>
          <w:b/>
          <w:bCs/>
          <w:sz w:val="20"/>
          <w:szCs w:val="20"/>
        </w:rPr>
        <w:t>16</w:t>
      </w:r>
      <w:bookmarkStart w:id="0" w:name="_GoBack"/>
      <w:bookmarkEnd w:id="0"/>
      <w:r w:rsidR="00161120">
        <w:rPr>
          <w:b/>
          <w:bCs/>
          <w:sz w:val="20"/>
          <w:szCs w:val="20"/>
        </w:rPr>
        <w:t xml:space="preserve"> October</w:t>
      </w:r>
      <w:r w:rsidR="00F50600">
        <w:rPr>
          <w:b/>
          <w:bCs/>
          <w:sz w:val="20"/>
          <w:szCs w:val="20"/>
        </w:rPr>
        <w:t xml:space="preserve"> </w:t>
      </w:r>
      <w:r w:rsidR="00B116DA">
        <w:rPr>
          <w:b/>
          <w:sz w:val="20"/>
          <w:szCs w:val="20"/>
        </w:rPr>
        <w:t>2015</w:t>
      </w:r>
    </w:p>
    <w:p w:rsidR="003A5BD8" w:rsidRPr="00F02BB3" w:rsidRDefault="003A5BD8" w:rsidP="003A5BD8">
      <w:pPr>
        <w:spacing w:after="0"/>
        <w:rPr>
          <w:sz w:val="20"/>
          <w:szCs w:val="20"/>
        </w:rPr>
      </w:pPr>
      <w:r w:rsidRPr="00F02BB3">
        <w:rPr>
          <w:sz w:val="20"/>
          <w:szCs w:val="20"/>
        </w:rPr>
        <w:t xml:space="preserve">Geneva, </w:t>
      </w:r>
      <w:r w:rsidR="00A91916">
        <w:rPr>
          <w:sz w:val="20"/>
          <w:szCs w:val="20"/>
        </w:rPr>
        <w:t>9</w:t>
      </w:r>
      <w:r w:rsidR="00B116DA">
        <w:rPr>
          <w:sz w:val="20"/>
          <w:szCs w:val="20"/>
        </w:rPr>
        <w:t>-</w:t>
      </w:r>
      <w:r w:rsidR="00A91916">
        <w:rPr>
          <w:sz w:val="20"/>
          <w:szCs w:val="20"/>
        </w:rPr>
        <w:t>13</w:t>
      </w:r>
      <w:r w:rsidR="00B116DA">
        <w:rPr>
          <w:sz w:val="20"/>
          <w:szCs w:val="20"/>
        </w:rPr>
        <w:t xml:space="preserve"> </w:t>
      </w:r>
      <w:r w:rsidR="00A91916">
        <w:rPr>
          <w:sz w:val="20"/>
          <w:szCs w:val="20"/>
        </w:rPr>
        <w:t>November</w:t>
      </w:r>
      <w:r w:rsidR="00B116DA">
        <w:rPr>
          <w:sz w:val="20"/>
          <w:szCs w:val="20"/>
        </w:rPr>
        <w:t xml:space="preserve"> 2015</w:t>
      </w:r>
    </w:p>
    <w:p w:rsidR="003A5BD8" w:rsidRDefault="003A5BD8" w:rsidP="003A5BD8">
      <w:pPr>
        <w:spacing w:after="0"/>
        <w:rPr>
          <w:bCs/>
          <w:noProof/>
          <w:sz w:val="20"/>
          <w:szCs w:val="20"/>
        </w:rPr>
      </w:pPr>
      <w:r w:rsidRPr="00D22F04">
        <w:rPr>
          <w:sz w:val="20"/>
          <w:szCs w:val="20"/>
        </w:rPr>
        <w:t>Item</w:t>
      </w:r>
      <w:r w:rsidR="009213E0" w:rsidRPr="00D22F04">
        <w:rPr>
          <w:sz w:val="20"/>
          <w:szCs w:val="20"/>
        </w:rPr>
        <w:t xml:space="preserve"> </w:t>
      </w:r>
      <w:r w:rsidR="00757AF5">
        <w:rPr>
          <w:sz w:val="20"/>
          <w:szCs w:val="20"/>
        </w:rPr>
        <w:t>5</w:t>
      </w:r>
      <w:r w:rsidRPr="00D22F04">
        <w:rPr>
          <w:sz w:val="20"/>
          <w:szCs w:val="20"/>
        </w:rPr>
        <w:t xml:space="preserve"> of the provisional agenda</w:t>
      </w:r>
      <w:r w:rsidRPr="00D22F04">
        <w:rPr>
          <w:sz w:val="20"/>
          <w:szCs w:val="20"/>
        </w:rPr>
        <w:br/>
      </w:r>
      <w:r w:rsidR="00757AF5" w:rsidRPr="00757AF5">
        <w:rPr>
          <w:b/>
          <w:sz w:val="20"/>
          <w:szCs w:val="20"/>
        </w:rPr>
        <w:t>Work of the RID/ADR/ADN Joint Meeting</w:t>
      </w:r>
    </w:p>
    <w:p w:rsidR="007F29A4" w:rsidRPr="007D4221" w:rsidRDefault="003A5BD8" w:rsidP="007F29A4">
      <w:pPr>
        <w:pStyle w:val="HChG"/>
      </w:pPr>
      <w:r w:rsidRPr="00F02BB3">
        <w:tab/>
      </w:r>
      <w:r w:rsidRPr="00F02BB3">
        <w:tab/>
      </w:r>
      <w:r w:rsidR="007F29A4" w:rsidRPr="007D4221">
        <w:t>Amendments to sub-section 1.4.2.2 Carrier</w:t>
      </w:r>
    </w:p>
    <w:p w:rsidR="007F29A4" w:rsidRPr="007D4221" w:rsidRDefault="007F29A4" w:rsidP="007F29A4">
      <w:pPr>
        <w:pStyle w:val="H1G"/>
      </w:pPr>
      <w:r w:rsidRPr="007D4221">
        <w:tab/>
      </w:r>
      <w:r w:rsidRPr="007D4221">
        <w:tab/>
        <w:t>Transmitted by the Government of Romania</w:t>
      </w:r>
    </w:p>
    <w:p w:rsidR="007F29A4" w:rsidRPr="007D4221" w:rsidRDefault="007F29A4" w:rsidP="007F29A4">
      <w:pPr>
        <w:pStyle w:val="HChG"/>
      </w:pPr>
      <w:r w:rsidRPr="007D4221">
        <w:tab/>
      </w:r>
      <w:r w:rsidRPr="007D4221">
        <w:tab/>
        <w:t>Introduction</w:t>
      </w:r>
    </w:p>
    <w:p w:rsidR="007F29A4" w:rsidRPr="002336BD" w:rsidRDefault="002336BD" w:rsidP="00536D51">
      <w:pPr>
        <w:pStyle w:val="SingleTxtG"/>
        <w:rPr>
          <w:sz w:val="20"/>
          <w:szCs w:val="20"/>
        </w:rPr>
      </w:pPr>
      <w:r>
        <w:rPr>
          <w:sz w:val="20"/>
          <w:szCs w:val="20"/>
        </w:rPr>
        <w:t>1.</w:t>
      </w:r>
      <w:r>
        <w:rPr>
          <w:sz w:val="20"/>
          <w:szCs w:val="20"/>
        </w:rPr>
        <w:tab/>
      </w:r>
      <w:r w:rsidR="007F29A4" w:rsidRPr="002336BD">
        <w:rPr>
          <w:sz w:val="20"/>
          <w:szCs w:val="20"/>
        </w:rPr>
        <w:t>Romania provides below:</w:t>
      </w:r>
    </w:p>
    <w:p w:rsidR="007F29A4" w:rsidRPr="002336BD" w:rsidRDefault="00536D51" w:rsidP="00536D51">
      <w:pPr>
        <w:pStyle w:val="SingleTxtG"/>
        <w:suppressAutoHyphens/>
        <w:spacing w:line="240" w:lineRule="atLeast"/>
        <w:ind w:firstLine="567"/>
        <w:rPr>
          <w:sz w:val="20"/>
          <w:szCs w:val="20"/>
        </w:rPr>
      </w:pPr>
      <w:r>
        <w:rPr>
          <w:sz w:val="20"/>
          <w:szCs w:val="20"/>
        </w:rPr>
        <w:t>-</w:t>
      </w:r>
      <w:r>
        <w:rPr>
          <w:sz w:val="20"/>
          <w:szCs w:val="20"/>
        </w:rPr>
        <w:tab/>
      </w:r>
      <w:r w:rsidR="007F29A4" w:rsidRPr="002336BD">
        <w:rPr>
          <w:sz w:val="20"/>
          <w:szCs w:val="20"/>
        </w:rPr>
        <w:t>the updated proposals regarding the amendments to the sub-section 1.4.2.2 of ADR taking into account the comments received at the last session of the Joint Meeting RID/ADR/ADN on document ECE/TRANS/WP.15/AC.1/2015/34, and</w:t>
      </w:r>
    </w:p>
    <w:p w:rsidR="007F29A4" w:rsidRPr="002336BD" w:rsidRDefault="00536D51" w:rsidP="00536D51">
      <w:pPr>
        <w:pStyle w:val="SingleTxtG"/>
        <w:suppressAutoHyphens/>
        <w:spacing w:line="240" w:lineRule="atLeast"/>
        <w:ind w:firstLine="567"/>
        <w:rPr>
          <w:sz w:val="20"/>
          <w:szCs w:val="20"/>
        </w:rPr>
      </w:pPr>
      <w:r>
        <w:rPr>
          <w:sz w:val="20"/>
          <w:szCs w:val="20"/>
        </w:rPr>
        <w:t>-</w:t>
      </w:r>
      <w:r>
        <w:rPr>
          <w:sz w:val="20"/>
          <w:szCs w:val="20"/>
        </w:rPr>
        <w:tab/>
      </w:r>
      <w:proofErr w:type="gramStart"/>
      <w:r w:rsidR="007F29A4" w:rsidRPr="002336BD">
        <w:rPr>
          <w:sz w:val="20"/>
          <w:szCs w:val="20"/>
        </w:rPr>
        <w:t>the</w:t>
      </w:r>
      <w:proofErr w:type="gramEnd"/>
      <w:r w:rsidR="007F29A4" w:rsidRPr="002336BD">
        <w:rPr>
          <w:sz w:val="20"/>
          <w:szCs w:val="20"/>
        </w:rPr>
        <w:t xml:space="preserve"> consolidated text of the sub-section 1.4.2.2 of ADR containing the updated proposals – in Annex.</w:t>
      </w:r>
    </w:p>
    <w:p w:rsidR="007F29A4" w:rsidRPr="00780669" w:rsidRDefault="007F29A4" w:rsidP="007F29A4">
      <w:pPr>
        <w:pStyle w:val="SingleTxtG"/>
        <w:rPr>
          <w:sz w:val="20"/>
          <w:szCs w:val="20"/>
          <w:lang w:eastAsia="ro-RO"/>
        </w:rPr>
      </w:pPr>
      <w:r w:rsidRPr="00780669">
        <w:rPr>
          <w:sz w:val="20"/>
          <w:szCs w:val="20"/>
          <w:lang w:eastAsia="ro-RO"/>
        </w:rPr>
        <w:t>2.</w:t>
      </w:r>
      <w:r w:rsidRPr="00780669">
        <w:rPr>
          <w:sz w:val="20"/>
          <w:szCs w:val="20"/>
          <w:lang w:eastAsia="ro-RO"/>
        </w:rPr>
        <w:tab/>
      </w:r>
      <w:proofErr w:type="gramStart"/>
      <w:r w:rsidRPr="00780669">
        <w:rPr>
          <w:sz w:val="20"/>
          <w:szCs w:val="20"/>
          <w:lang w:eastAsia="ro-RO"/>
        </w:rPr>
        <w:t>As</w:t>
      </w:r>
      <w:proofErr w:type="gramEnd"/>
      <w:r w:rsidRPr="00780669">
        <w:rPr>
          <w:sz w:val="20"/>
          <w:szCs w:val="20"/>
          <w:lang w:eastAsia="ro-RO"/>
        </w:rPr>
        <w:t xml:space="preserve"> stipulated in the report of the September 2015 session of the Joint meeting:</w:t>
      </w:r>
    </w:p>
    <w:p w:rsidR="007F29A4" w:rsidRPr="00780669" w:rsidRDefault="007F29A4" w:rsidP="007F29A4">
      <w:pPr>
        <w:pStyle w:val="SingleTxtG"/>
        <w:rPr>
          <w:sz w:val="20"/>
          <w:szCs w:val="20"/>
          <w:lang w:eastAsia="ro-RO"/>
        </w:rPr>
      </w:pPr>
      <w:r w:rsidRPr="00780669">
        <w:rPr>
          <w:sz w:val="20"/>
          <w:szCs w:val="20"/>
          <w:lang w:eastAsia="ro-RO"/>
        </w:rPr>
        <w:t>“</w:t>
      </w:r>
      <w:r w:rsidRPr="00780669">
        <w:rPr>
          <w:i/>
          <w:sz w:val="20"/>
          <w:szCs w:val="20"/>
          <w:lang w:eastAsia="ro-RO"/>
        </w:rPr>
        <w:t>Several delegations said that the obligations of the carrier differed according to the mode of transport and that the differences were justified. It was not necessary to harmonise the wording of RID, ADR and ADN.</w:t>
      </w:r>
      <w:proofErr w:type="gramStart"/>
      <w:r w:rsidRPr="00780669">
        <w:rPr>
          <w:sz w:val="20"/>
          <w:szCs w:val="20"/>
          <w:lang w:eastAsia="ro-RO"/>
        </w:rPr>
        <w:t>”.</w:t>
      </w:r>
      <w:proofErr w:type="gramEnd"/>
    </w:p>
    <w:p w:rsidR="007F29A4" w:rsidRPr="00780669" w:rsidRDefault="007F29A4" w:rsidP="007F29A4">
      <w:pPr>
        <w:pStyle w:val="SingleTxtG"/>
        <w:rPr>
          <w:sz w:val="20"/>
          <w:szCs w:val="20"/>
          <w:lang w:eastAsia="ro-RO"/>
        </w:rPr>
      </w:pPr>
      <w:r w:rsidRPr="00780669">
        <w:rPr>
          <w:sz w:val="20"/>
          <w:szCs w:val="20"/>
          <w:lang w:eastAsia="ro-RO"/>
        </w:rPr>
        <w:t>3.</w:t>
      </w:r>
      <w:r w:rsidRPr="00780669">
        <w:rPr>
          <w:sz w:val="20"/>
          <w:szCs w:val="20"/>
          <w:lang w:eastAsia="ro-RO"/>
        </w:rPr>
        <w:tab/>
        <w:t>Our proposals presented below deal mainly with the obligations related to the equipment (including fire-fighting equipment) and the instruction in writing from a comprehensive analysis of the sub-section.</w:t>
      </w:r>
    </w:p>
    <w:p w:rsidR="007F29A4" w:rsidRPr="00780669" w:rsidRDefault="007F29A4" w:rsidP="007F29A4">
      <w:pPr>
        <w:pStyle w:val="SingleTxtG"/>
        <w:rPr>
          <w:sz w:val="20"/>
          <w:szCs w:val="20"/>
          <w:lang w:eastAsia="ro-RO"/>
        </w:rPr>
      </w:pPr>
      <w:r w:rsidRPr="00780669">
        <w:rPr>
          <w:sz w:val="20"/>
          <w:szCs w:val="20"/>
          <w:lang w:eastAsia="ro-RO"/>
        </w:rPr>
        <w:t>4.</w:t>
      </w:r>
      <w:r w:rsidRPr="00780669">
        <w:rPr>
          <w:sz w:val="20"/>
          <w:szCs w:val="20"/>
          <w:lang w:eastAsia="ro-RO"/>
        </w:rPr>
        <w:tab/>
        <w:t xml:space="preserve">We propose also to replace </w:t>
      </w:r>
      <w:r w:rsidRPr="00780669">
        <w:rPr>
          <w:b/>
          <w:i/>
          <w:sz w:val="20"/>
          <w:szCs w:val="20"/>
          <w:lang w:eastAsia="ro-RO"/>
        </w:rPr>
        <w:t>vehicle</w:t>
      </w:r>
      <w:r w:rsidRPr="00780669">
        <w:rPr>
          <w:sz w:val="20"/>
          <w:szCs w:val="20"/>
          <w:lang w:eastAsia="ro-RO"/>
        </w:rPr>
        <w:t xml:space="preserve"> by </w:t>
      </w:r>
      <w:r w:rsidRPr="00780669">
        <w:rPr>
          <w:b/>
          <w:i/>
          <w:sz w:val="20"/>
          <w:szCs w:val="20"/>
          <w:lang w:eastAsia="ro-RO"/>
        </w:rPr>
        <w:t>transport uni</w:t>
      </w:r>
      <w:r w:rsidRPr="00780669">
        <w:rPr>
          <w:i/>
          <w:sz w:val="20"/>
          <w:szCs w:val="20"/>
          <w:lang w:eastAsia="ro-RO"/>
        </w:rPr>
        <w:t>t</w:t>
      </w:r>
      <w:r w:rsidRPr="00780669">
        <w:rPr>
          <w:sz w:val="20"/>
          <w:szCs w:val="20"/>
          <w:lang w:eastAsia="ro-RO"/>
        </w:rPr>
        <w:t xml:space="preserve"> in several places (paragraphs (c), (f), (h) and final phrase), for the consistency of the text of the sub-section with the other provisions of ADR starting from the definition of </w:t>
      </w:r>
      <w:r w:rsidRPr="00780669">
        <w:rPr>
          <w:b/>
          <w:i/>
          <w:sz w:val="20"/>
          <w:szCs w:val="20"/>
          <w:lang w:eastAsia="ro-RO"/>
        </w:rPr>
        <w:t>transport unit</w:t>
      </w:r>
      <w:r w:rsidRPr="00780669">
        <w:rPr>
          <w:sz w:val="20"/>
          <w:szCs w:val="20"/>
          <w:lang w:eastAsia="ro-RO"/>
        </w:rPr>
        <w:t xml:space="preserve"> which </w:t>
      </w:r>
      <w:r w:rsidRPr="00780669">
        <w:rPr>
          <w:b/>
          <w:i/>
          <w:sz w:val="20"/>
          <w:szCs w:val="20"/>
          <w:lang w:eastAsia="ro-RO"/>
        </w:rPr>
        <w:t>means a motor vehicle without an attached trailer, or a combination consisting of a motor vehicle and an attached trailer</w:t>
      </w:r>
      <w:r w:rsidRPr="00780669">
        <w:rPr>
          <w:sz w:val="20"/>
          <w:szCs w:val="20"/>
          <w:lang w:eastAsia="ro-RO"/>
        </w:rPr>
        <w:t>.</w:t>
      </w:r>
    </w:p>
    <w:p w:rsidR="007F29A4" w:rsidRPr="00780669" w:rsidRDefault="007F29A4" w:rsidP="007F29A4">
      <w:pPr>
        <w:pStyle w:val="SingleTxtG"/>
        <w:rPr>
          <w:sz w:val="20"/>
          <w:szCs w:val="20"/>
          <w:lang w:eastAsia="ro-RO"/>
        </w:rPr>
      </w:pPr>
      <w:r w:rsidRPr="00780669">
        <w:rPr>
          <w:sz w:val="20"/>
          <w:szCs w:val="20"/>
          <w:lang w:eastAsia="ro-RO"/>
        </w:rPr>
        <w:t>5.</w:t>
      </w:r>
      <w:r w:rsidRPr="00780669">
        <w:rPr>
          <w:sz w:val="20"/>
          <w:szCs w:val="20"/>
          <w:lang w:eastAsia="ro-RO"/>
        </w:rPr>
        <w:tab/>
        <w:t xml:space="preserve">In paragraphs (c), (f) and in the ending phrase of 1.4.2.2.1 is proposed the term </w:t>
      </w:r>
      <w:r w:rsidRPr="00780669">
        <w:rPr>
          <w:b/>
          <w:sz w:val="20"/>
          <w:szCs w:val="20"/>
          <w:lang w:eastAsia="ro-RO"/>
        </w:rPr>
        <w:t>cargo</w:t>
      </w:r>
      <w:r w:rsidRPr="00780669">
        <w:rPr>
          <w:sz w:val="20"/>
          <w:szCs w:val="20"/>
          <w:lang w:eastAsia="ro-RO"/>
        </w:rPr>
        <w:t xml:space="preserve"> in square brackets because the use of the term </w:t>
      </w:r>
      <w:r w:rsidRPr="00780669">
        <w:rPr>
          <w:b/>
          <w:sz w:val="20"/>
          <w:szCs w:val="20"/>
          <w:lang w:eastAsia="ro-RO"/>
        </w:rPr>
        <w:t>cargo transport unit</w:t>
      </w:r>
      <w:r w:rsidRPr="00780669">
        <w:rPr>
          <w:sz w:val="20"/>
          <w:szCs w:val="20"/>
          <w:lang w:eastAsia="ro-RO"/>
        </w:rPr>
        <w:t xml:space="preserve"> instead of the term </w:t>
      </w:r>
      <w:r w:rsidRPr="00780669">
        <w:rPr>
          <w:b/>
          <w:sz w:val="20"/>
          <w:szCs w:val="20"/>
          <w:lang w:eastAsia="ro-RO"/>
        </w:rPr>
        <w:t>transport unit</w:t>
      </w:r>
      <w:r w:rsidRPr="00780669">
        <w:rPr>
          <w:sz w:val="20"/>
          <w:szCs w:val="20"/>
          <w:lang w:eastAsia="ro-RO"/>
        </w:rPr>
        <w:t xml:space="preserve"> may extend the obligations of the carrier. At the paragraph 26 of the Report of the September session of the Joint meeting RID/ADR/ADN was noted that </w:t>
      </w:r>
      <w:r w:rsidRPr="00780669">
        <w:rPr>
          <w:i/>
          <w:sz w:val="20"/>
          <w:szCs w:val="20"/>
          <w:lang w:eastAsia="ro-RO"/>
        </w:rPr>
        <w:t xml:space="preserve">was decided to amend the definition of </w:t>
      </w:r>
      <w:r w:rsidRPr="00780669">
        <w:rPr>
          <w:b/>
          <w:i/>
          <w:sz w:val="20"/>
          <w:szCs w:val="20"/>
          <w:lang w:eastAsia="ro-RO"/>
        </w:rPr>
        <w:t>cargo transport unit</w:t>
      </w:r>
      <w:r w:rsidRPr="00780669">
        <w:rPr>
          <w:i/>
          <w:sz w:val="20"/>
          <w:szCs w:val="20"/>
          <w:lang w:eastAsia="ro-RO"/>
        </w:rPr>
        <w:t xml:space="preserve"> to cover all units that could be used in the frame work of RID/ADR/ADN and to delete the NOTE currently included in the definition</w:t>
      </w:r>
      <w:r w:rsidRPr="00780669">
        <w:rPr>
          <w:sz w:val="20"/>
          <w:szCs w:val="20"/>
          <w:lang w:eastAsia="ro-RO"/>
        </w:rPr>
        <w:t>.</w:t>
      </w:r>
    </w:p>
    <w:p w:rsidR="007F29A4" w:rsidRPr="00780669" w:rsidRDefault="007F29A4" w:rsidP="007F29A4">
      <w:pPr>
        <w:pStyle w:val="SingleTxtG"/>
        <w:rPr>
          <w:sz w:val="20"/>
          <w:szCs w:val="20"/>
          <w:lang w:eastAsia="ro-RO"/>
        </w:rPr>
      </w:pPr>
      <w:r w:rsidRPr="00780669">
        <w:rPr>
          <w:sz w:val="20"/>
          <w:szCs w:val="20"/>
          <w:lang w:eastAsia="ro-RO"/>
        </w:rPr>
        <w:t>6.</w:t>
      </w:r>
      <w:r w:rsidRPr="00780669">
        <w:rPr>
          <w:sz w:val="20"/>
          <w:szCs w:val="20"/>
          <w:lang w:eastAsia="ro-RO"/>
        </w:rPr>
        <w:tab/>
        <w:t>During the reading of the report at the last session of WP.15, IRU asked the Working Party to keep between square brackets the new text adopted for 1.4.2.2.6 in ADR (similar to RID) because the obligations of the carrier are mainly provided under 1.4.2.2.1 from (a) to (g) and this one is out of this area - in another paragraph.</w:t>
      </w:r>
    </w:p>
    <w:p w:rsidR="007F29A4" w:rsidRPr="00780669" w:rsidRDefault="006D6B3C" w:rsidP="006D6B3C">
      <w:pPr>
        <w:pStyle w:val="HChG"/>
        <w:rPr>
          <w:lang w:eastAsia="ro-RO"/>
        </w:rPr>
      </w:pPr>
      <w:r>
        <w:rPr>
          <w:lang w:eastAsia="ro-RO"/>
        </w:rPr>
        <w:lastRenderedPageBreak/>
        <w:tab/>
      </w:r>
      <w:r>
        <w:rPr>
          <w:lang w:eastAsia="ro-RO"/>
        </w:rPr>
        <w:tab/>
      </w:r>
      <w:r w:rsidR="007F29A4" w:rsidRPr="00780669">
        <w:rPr>
          <w:lang w:eastAsia="ro-RO"/>
        </w:rPr>
        <w:t>Proposals</w:t>
      </w:r>
    </w:p>
    <w:p w:rsidR="007F29A4" w:rsidRPr="00780669" w:rsidRDefault="007F29A4" w:rsidP="007F29A4">
      <w:pPr>
        <w:pStyle w:val="SingleTxtG"/>
        <w:rPr>
          <w:b/>
          <w:sz w:val="20"/>
          <w:szCs w:val="20"/>
          <w:lang w:eastAsia="ro-RO"/>
        </w:rPr>
      </w:pPr>
      <w:r w:rsidRPr="00780669">
        <w:rPr>
          <w:b/>
          <w:sz w:val="20"/>
          <w:szCs w:val="20"/>
          <w:lang w:eastAsia="ro-RO"/>
        </w:rPr>
        <w:t>Paragraph (c)</w:t>
      </w:r>
    </w:p>
    <w:p w:rsidR="007F29A4" w:rsidRPr="00780669" w:rsidRDefault="007F29A4" w:rsidP="007F29A4">
      <w:pPr>
        <w:pStyle w:val="SingleTxtG"/>
        <w:rPr>
          <w:sz w:val="20"/>
          <w:szCs w:val="20"/>
          <w:lang w:eastAsia="ro-RO"/>
        </w:rPr>
      </w:pPr>
      <w:r w:rsidRPr="00780669">
        <w:rPr>
          <w:sz w:val="20"/>
          <w:szCs w:val="20"/>
          <w:lang w:eastAsia="ro-RO"/>
        </w:rPr>
        <w:t>7.</w:t>
      </w:r>
      <w:r w:rsidRPr="00780669">
        <w:rPr>
          <w:sz w:val="20"/>
          <w:szCs w:val="20"/>
          <w:lang w:eastAsia="ro-RO"/>
        </w:rPr>
        <w:tab/>
        <w:t xml:space="preserve">The final phrase of 1.4.2.2.1 provides an instrument by means of a </w:t>
      </w:r>
      <w:r w:rsidRPr="00780669">
        <w:rPr>
          <w:b/>
          <w:i/>
          <w:sz w:val="20"/>
          <w:szCs w:val="20"/>
          <w:u w:val="single"/>
          <w:lang w:eastAsia="ro-RO"/>
        </w:rPr>
        <w:t>visual inspection</w:t>
      </w:r>
      <w:r w:rsidRPr="00780669">
        <w:rPr>
          <w:sz w:val="20"/>
          <w:szCs w:val="20"/>
          <w:lang w:eastAsia="ro-RO"/>
        </w:rPr>
        <w:t xml:space="preserve"> to check the upper obligations listed.  In this regard we propose the deletion of the term </w:t>
      </w:r>
      <w:r w:rsidRPr="00780669">
        <w:rPr>
          <w:b/>
          <w:i/>
          <w:sz w:val="20"/>
          <w:szCs w:val="20"/>
          <w:u w:val="single"/>
          <w:lang w:eastAsia="ro-RO"/>
        </w:rPr>
        <w:t>visually</w:t>
      </w:r>
      <w:r w:rsidRPr="00780669">
        <w:rPr>
          <w:sz w:val="20"/>
          <w:szCs w:val="20"/>
          <w:lang w:eastAsia="ro-RO"/>
        </w:rPr>
        <w:t xml:space="preserve"> in paragraph (c) because it seems superfluous in the context of the ending phrase of the paragraph which covers all the obligations, as follows:</w:t>
      </w:r>
    </w:p>
    <w:p w:rsidR="007F29A4" w:rsidRPr="00780669" w:rsidRDefault="007F29A4" w:rsidP="007F29A4">
      <w:pPr>
        <w:pStyle w:val="SingleTxtG"/>
        <w:rPr>
          <w:sz w:val="20"/>
          <w:szCs w:val="20"/>
          <w:lang w:eastAsia="ro-RO"/>
        </w:rPr>
      </w:pPr>
      <w:r w:rsidRPr="00780669">
        <w:rPr>
          <w:sz w:val="20"/>
          <w:szCs w:val="20"/>
          <w:lang w:eastAsia="ro-RO"/>
        </w:rPr>
        <w:t>“</w:t>
      </w:r>
      <w:r w:rsidRPr="00780669">
        <w:rPr>
          <w:i/>
          <w:sz w:val="20"/>
          <w:szCs w:val="20"/>
          <w:lang w:eastAsia="ro-RO"/>
        </w:rPr>
        <w:t xml:space="preserve">Where appropriate, this shall be done on the basis of the transport documents and accompanying documents, </w:t>
      </w:r>
      <w:r w:rsidRPr="00780669">
        <w:rPr>
          <w:i/>
          <w:sz w:val="20"/>
          <w:szCs w:val="20"/>
          <w:u w:val="single"/>
          <w:lang w:eastAsia="ro-RO"/>
        </w:rPr>
        <w:t xml:space="preserve">by a </w:t>
      </w:r>
      <w:r w:rsidRPr="00780669">
        <w:rPr>
          <w:b/>
          <w:i/>
          <w:sz w:val="20"/>
          <w:szCs w:val="20"/>
          <w:u w:val="single"/>
          <w:lang w:eastAsia="ro-RO"/>
        </w:rPr>
        <w:t>visual inspection</w:t>
      </w:r>
      <w:r w:rsidRPr="00780669">
        <w:rPr>
          <w:i/>
          <w:sz w:val="20"/>
          <w:szCs w:val="20"/>
          <w:u w:val="single"/>
          <w:lang w:eastAsia="ro-RO"/>
        </w:rPr>
        <w:t xml:space="preserve"> of the vehicle or the containers and, where appropriate, the load</w:t>
      </w:r>
      <w:r w:rsidRPr="00780669">
        <w:rPr>
          <w:i/>
          <w:sz w:val="20"/>
          <w:szCs w:val="20"/>
          <w:lang w:eastAsia="ro-RO"/>
        </w:rPr>
        <w:t>.</w:t>
      </w:r>
      <w:proofErr w:type="gramStart"/>
      <w:r w:rsidRPr="00780669">
        <w:rPr>
          <w:sz w:val="20"/>
          <w:szCs w:val="20"/>
          <w:lang w:eastAsia="ro-RO"/>
        </w:rPr>
        <w:t>”.</w:t>
      </w:r>
      <w:proofErr w:type="gramEnd"/>
    </w:p>
    <w:p w:rsidR="007F29A4" w:rsidRPr="00780669" w:rsidRDefault="007F29A4" w:rsidP="007F29A4">
      <w:pPr>
        <w:pStyle w:val="SingleTxtG"/>
        <w:rPr>
          <w:sz w:val="20"/>
          <w:szCs w:val="20"/>
          <w:lang w:eastAsia="ro-RO"/>
        </w:rPr>
      </w:pPr>
      <w:r w:rsidRPr="00780669">
        <w:rPr>
          <w:sz w:val="20"/>
          <w:szCs w:val="20"/>
          <w:lang w:eastAsia="ro-RO"/>
        </w:rPr>
        <w:t>8.</w:t>
      </w:r>
      <w:r w:rsidRPr="00780669">
        <w:rPr>
          <w:sz w:val="20"/>
          <w:szCs w:val="20"/>
          <w:lang w:eastAsia="ro-RO"/>
        </w:rPr>
        <w:tab/>
        <w:t xml:space="preserve">The current text of the paragraph (c), as it is worded concerning the missing equipment, not cover the equipment for personal use of the members of the vehicle crew or the equipment required for certain classes. The fire-fighting equipment </w:t>
      </w:r>
      <w:r w:rsidRPr="00780669">
        <w:rPr>
          <w:sz w:val="20"/>
          <w:szCs w:val="20"/>
          <w:u w:val="single"/>
          <w:lang w:eastAsia="ro-RO"/>
        </w:rPr>
        <w:t>might be</w:t>
      </w:r>
      <w:r w:rsidRPr="00780669">
        <w:rPr>
          <w:sz w:val="20"/>
          <w:szCs w:val="20"/>
          <w:lang w:eastAsia="ro-RO"/>
        </w:rPr>
        <w:t xml:space="preserve"> clear contained here as well. By including all equipment together the treatment will be similar.</w:t>
      </w:r>
    </w:p>
    <w:p w:rsidR="007F29A4" w:rsidRPr="00780669" w:rsidRDefault="006D6B3C" w:rsidP="006D6B3C">
      <w:pPr>
        <w:pStyle w:val="H1G"/>
        <w:rPr>
          <w:lang w:eastAsia="ro-RO"/>
        </w:rPr>
      </w:pPr>
      <w:r>
        <w:rPr>
          <w:lang w:eastAsia="ro-RO"/>
        </w:rPr>
        <w:tab/>
      </w:r>
      <w:r>
        <w:rPr>
          <w:lang w:eastAsia="ro-RO"/>
        </w:rPr>
        <w:tab/>
      </w:r>
      <w:r w:rsidR="007F29A4" w:rsidRPr="00780669">
        <w:rPr>
          <w:lang w:eastAsia="ro-RO"/>
        </w:rPr>
        <w:t>Proposal 1</w:t>
      </w:r>
    </w:p>
    <w:p w:rsidR="007F29A4" w:rsidRPr="00780669" w:rsidRDefault="007F29A4" w:rsidP="007F29A4">
      <w:pPr>
        <w:pStyle w:val="SingleTxtG"/>
        <w:rPr>
          <w:b/>
          <w:sz w:val="20"/>
          <w:szCs w:val="20"/>
          <w:lang w:eastAsia="ro-RO"/>
        </w:rPr>
      </w:pPr>
      <w:r w:rsidRPr="00780669">
        <w:rPr>
          <w:sz w:val="20"/>
          <w:szCs w:val="20"/>
          <w:lang w:eastAsia="ro-RO"/>
        </w:rPr>
        <w:t>9.</w:t>
      </w:r>
      <w:r w:rsidRPr="00780669">
        <w:rPr>
          <w:sz w:val="20"/>
          <w:szCs w:val="20"/>
          <w:lang w:eastAsia="ro-RO"/>
        </w:rPr>
        <w:tab/>
        <w:t>Amend the text of the paragraph (c) of sub-section 1.4.2.2 to read as follows:</w:t>
      </w:r>
    </w:p>
    <w:p w:rsidR="007F29A4" w:rsidRPr="00780669" w:rsidRDefault="007F29A4" w:rsidP="007F29A4">
      <w:pPr>
        <w:widowControl w:val="0"/>
        <w:tabs>
          <w:tab w:val="left" w:pos="1134"/>
        </w:tabs>
        <w:ind w:left="1134" w:right="1134"/>
        <w:jc w:val="both"/>
        <w:rPr>
          <w:sz w:val="20"/>
          <w:szCs w:val="20"/>
        </w:rPr>
      </w:pPr>
      <w:r w:rsidRPr="00780669">
        <w:rPr>
          <w:sz w:val="20"/>
          <w:szCs w:val="20"/>
        </w:rPr>
        <w:t>(c)</w:t>
      </w:r>
      <w:r w:rsidRPr="00780669">
        <w:rPr>
          <w:sz w:val="20"/>
          <w:szCs w:val="20"/>
        </w:rPr>
        <w:tab/>
        <w:t xml:space="preserve">Ascertain </w:t>
      </w:r>
      <w:r w:rsidRPr="00780669">
        <w:rPr>
          <w:strike/>
          <w:color w:val="FF0000"/>
          <w:sz w:val="20"/>
          <w:szCs w:val="20"/>
        </w:rPr>
        <w:t>visually</w:t>
      </w:r>
      <w:r w:rsidRPr="00780669">
        <w:rPr>
          <w:sz w:val="20"/>
          <w:szCs w:val="20"/>
        </w:rPr>
        <w:t xml:space="preserve"> that </w:t>
      </w:r>
      <w:r w:rsidRPr="00780669">
        <w:rPr>
          <w:color w:val="00B050"/>
          <w:sz w:val="20"/>
          <w:szCs w:val="20"/>
          <w:u w:val="single"/>
        </w:rPr>
        <w:t>both the equipment prescribed in the instructions in writing and the fire-fighting equipment according to ADR are on board the transport unit and</w:t>
      </w:r>
      <w:r w:rsidRPr="00780669">
        <w:rPr>
          <w:sz w:val="20"/>
          <w:szCs w:val="20"/>
        </w:rPr>
        <w:t xml:space="preserve">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vehicles</w:t>
      </w:r>
      <w:r w:rsidRPr="00780669">
        <w:rPr>
          <w:sz w:val="20"/>
          <w:szCs w:val="20"/>
        </w:rPr>
        <w:t xml:space="preserve"> and loads have no obvious defects, leakages or cracks, missing equipment, etc.;</w:t>
      </w:r>
    </w:p>
    <w:p w:rsidR="007F29A4" w:rsidRPr="00780669" w:rsidRDefault="007F29A4" w:rsidP="007F29A4">
      <w:pPr>
        <w:pStyle w:val="SingleTxtG"/>
        <w:rPr>
          <w:b/>
          <w:sz w:val="20"/>
          <w:szCs w:val="20"/>
          <w:lang w:eastAsia="ro-RO"/>
        </w:rPr>
      </w:pPr>
      <w:r w:rsidRPr="00780669">
        <w:rPr>
          <w:b/>
          <w:sz w:val="20"/>
          <w:szCs w:val="20"/>
          <w:lang w:eastAsia="ro-RO"/>
        </w:rPr>
        <w:t>Paragraph (f)</w:t>
      </w:r>
    </w:p>
    <w:p w:rsidR="007F29A4" w:rsidRPr="00780669" w:rsidRDefault="007F29A4" w:rsidP="007F29A4">
      <w:pPr>
        <w:pStyle w:val="SingleTxtG"/>
        <w:rPr>
          <w:sz w:val="20"/>
          <w:szCs w:val="20"/>
          <w:lang w:eastAsia="ro-RO"/>
        </w:rPr>
      </w:pPr>
      <w:r w:rsidRPr="00780669">
        <w:rPr>
          <w:sz w:val="20"/>
          <w:szCs w:val="20"/>
          <w:lang w:eastAsia="ro-RO"/>
        </w:rPr>
        <w:t>10.</w:t>
      </w:r>
      <w:r w:rsidRPr="00780669">
        <w:rPr>
          <w:sz w:val="20"/>
          <w:szCs w:val="20"/>
          <w:lang w:eastAsia="ro-RO"/>
        </w:rPr>
        <w:tab/>
        <w:t xml:space="preserve">The rewording of the text of paragraph (f) regarding the </w:t>
      </w:r>
      <w:r w:rsidRPr="00780669">
        <w:rPr>
          <w:b/>
          <w:i/>
          <w:sz w:val="20"/>
          <w:szCs w:val="20"/>
          <w:lang w:eastAsia="ro-RO"/>
        </w:rPr>
        <w:t>marks and orange-coloured</w:t>
      </w:r>
      <w:r w:rsidRPr="00780669">
        <w:rPr>
          <w:sz w:val="20"/>
          <w:szCs w:val="20"/>
          <w:lang w:eastAsia="ro-RO"/>
        </w:rPr>
        <w:t xml:space="preserve"> </w:t>
      </w:r>
      <w:r w:rsidRPr="00780669">
        <w:rPr>
          <w:b/>
          <w:i/>
          <w:sz w:val="20"/>
          <w:szCs w:val="20"/>
          <w:lang w:eastAsia="ro-RO"/>
        </w:rPr>
        <w:t>plates</w:t>
      </w:r>
      <w:r w:rsidRPr="00780669">
        <w:rPr>
          <w:sz w:val="20"/>
          <w:szCs w:val="20"/>
          <w:lang w:eastAsia="ro-RO"/>
        </w:rPr>
        <w:t xml:space="preserve"> was adopted at the last session of the Joint meeting in basis of the informal document INF.48 submitted by the United Kingdom. </w:t>
      </w:r>
    </w:p>
    <w:p w:rsidR="007F29A4" w:rsidRPr="00780669" w:rsidRDefault="006D6B3C" w:rsidP="006D6B3C">
      <w:pPr>
        <w:pStyle w:val="H1G"/>
        <w:rPr>
          <w:lang w:eastAsia="ro-RO"/>
        </w:rPr>
      </w:pPr>
      <w:r>
        <w:rPr>
          <w:lang w:eastAsia="ro-RO"/>
        </w:rPr>
        <w:tab/>
      </w:r>
      <w:r>
        <w:rPr>
          <w:lang w:eastAsia="ro-RO"/>
        </w:rPr>
        <w:tab/>
      </w:r>
      <w:r w:rsidR="007F29A4" w:rsidRPr="00780669">
        <w:rPr>
          <w:lang w:eastAsia="ro-RO"/>
        </w:rPr>
        <w:t>Proposal 2</w:t>
      </w:r>
    </w:p>
    <w:p w:rsidR="007F29A4" w:rsidRPr="00780669" w:rsidRDefault="007F29A4" w:rsidP="007F29A4">
      <w:pPr>
        <w:pStyle w:val="SingleTxtG"/>
        <w:rPr>
          <w:b/>
          <w:sz w:val="20"/>
          <w:szCs w:val="20"/>
          <w:lang w:eastAsia="ro-RO"/>
        </w:rPr>
      </w:pPr>
      <w:r w:rsidRPr="00780669">
        <w:rPr>
          <w:sz w:val="20"/>
          <w:szCs w:val="20"/>
          <w:lang w:eastAsia="ro-RO"/>
        </w:rPr>
        <w:t>11.</w:t>
      </w:r>
      <w:r w:rsidRPr="00780669">
        <w:rPr>
          <w:sz w:val="20"/>
          <w:szCs w:val="20"/>
          <w:lang w:eastAsia="ro-RO"/>
        </w:rPr>
        <w:tab/>
        <w:t>Amend the text of the paragraph (f) of sub-section 1.4.2.2 to read as follows:</w:t>
      </w:r>
    </w:p>
    <w:p w:rsidR="007F29A4" w:rsidRPr="00780669" w:rsidRDefault="007F29A4" w:rsidP="007F29A4">
      <w:pPr>
        <w:widowControl w:val="0"/>
        <w:tabs>
          <w:tab w:val="left" w:pos="1134"/>
        </w:tabs>
        <w:ind w:left="1134" w:right="1134"/>
        <w:jc w:val="both"/>
        <w:rPr>
          <w:sz w:val="20"/>
          <w:szCs w:val="20"/>
        </w:rPr>
      </w:pPr>
      <w:r w:rsidRPr="00780669">
        <w:rPr>
          <w:sz w:val="20"/>
          <w:szCs w:val="20"/>
        </w:rPr>
        <w:t>(f)</w:t>
      </w:r>
      <w:r w:rsidRPr="00780669">
        <w:rPr>
          <w:sz w:val="20"/>
          <w:szCs w:val="20"/>
        </w:rPr>
        <w:tab/>
        <w:t xml:space="preserve">Ascertain that the placards, marks and orange-coloured plates prescribed for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vehicles</w:t>
      </w:r>
      <w:r w:rsidRPr="00780669">
        <w:rPr>
          <w:sz w:val="20"/>
          <w:szCs w:val="20"/>
        </w:rPr>
        <w:t xml:space="preserve"> in Chapter 5.3 have been affixed;</w:t>
      </w:r>
    </w:p>
    <w:p w:rsidR="007F29A4" w:rsidRPr="00780669" w:rsidRDefault="007F29A4" w:rsidP="007F29A4">
      <w:pPr>
        <w:pStyle w:val="SingleTxtG"/>
        <w:rPr>
          <w:b/>
          <w:sz w:val="20"/>
          <w:szCs w:val="20"/>
          <w:lang w:eastAsia="ro-RO"/>
        </w:rPr>
      </w:pPr>
      <w:r w:rsidRPr="00780669">
        <w:rPr>
          <w:b/>
          <w:sz w:val="20"/>
          <w:szCs w:val="20"/>
          <w:lang w:eastAsia="ro-RO"/>
        </w:rPr>
        <w:t>Paragraph (g)</w:t>
      </w:r>
    </w:p>
    <w:p w:rsidR="007F29A4" w:rsidRPr="00780669" w:rsidRDefault="007F29A4" w:rsidP="007F29A4">
      <w:pPr>
        <w:pStyle w:val="SingleTxtG"/>
        <w:rPr>
          <w:sz w:val="20"/>
          <w:szCs w:val="20"/>
        </w:rPr>
      </w:pPr>
      <w:r w:rsidRPr="00780669">
        <w:rPr>
          <w:sz w:val="20"/>
          <w:szCs w:val="20"/>
        </w:rPr>
        <w:t>12.</w:t>
      </w:r>
      <w:r w:rsidRPr="00780669">
        <w:rPr>
          <w:sz w:val="20"/>
          <w:szCs w:val="20"/>
        </w:rPr>
        <w:tab/>
        <w:t>We propose that the obligation of 1.4.2.2.6 adopted at the May 2015 session of WP.15 to be reworded and inserted here.</w:t>
      </w:r>
    </w:p>
    <w:p w:rsidR="007F29A4" w:rsidRPr="00780669" w:rsidRDefault="007F29A4" w:rsidP="007F29A4">
      <w:pPr>
        <w:pStyle w:val="SingleTxtG"/>
        <w:rPr>
          <w:sz w:val="20"/>
          <w:szCs w:val="20"/>
        </w:rPr>
      </w:pPr>
      <w:r w:rsidRPr="00780669">
        <w:rPr>
          <w:sz w:val="20"/>
          <w:szCs w:val="20"/>
        </w:rPr>
        <w:t>13.</w:t>
      </w:r>
      <w:r w:rsidRPr="00780669">
        <w:rPr>
          <w:sz w:val="20"/>
          <w:szCs w:val="20"/>
        </w:rPr>
        <w:tab/>
        <w:t xml:space="preserve">Comparing the obligation of the </w:t>
      </w:r>
      <w:r w:rsidRPr="00780669">
        <w:rPr>
          <w:i/>
          <w:sz w:val="20"/>
          <w:szCs w:val="20"/>
        </w:rPr>
        <w:t>carrier</w:t>
      </w:r>
      <w:r w:rsidRPr="00780669">
        <w:rPr>
          <w:sz w:val="20"/>
          <w:szCs w:val="20"/>
        </w:rPr>
        <w:t xml:space="preserve"> and of the </w:t>
      </w:r>
      <w:r w:rsidRPr="00780669">
        <w:rPr>
          <w:i/>
          <w:sz w:val="20"/>
          <w:szCs w:val="20"/>
        </w:rPr>
        <w:t>consignor</w:t>
      </w:r>
      <w:r w:rsidRPr="00780669">
        <w:rPr>
          <w:sz w:val="20"/>
          <w:szCs w:val="20"/>
        </w:rPr>
        <w:t xml:space="preserve"> as stipulated in 1.4.2.2.1 (b) and 1.4.2.1.1 (b), we find out that they are correlated:</w:t>
      </w:r>
    </w:p>
    <w:p w:rsidR="007F29A4" w:rsidRPr="00780669" w:rsidRDefault="007F29A4" w:rsidP="007F29A4">
      <w:pPr>
        <w:numPr>
          <w:ilvl w:val="0"/>
          <w:numId w:val="5"/>
        </w:numPr>
        <w:suppressAutoHyphens/>
        <w:spacing w:after="0" w:line="240" w:lineRule="atLeast"/>
        <w:ind w:right="1134"/>
        <w:jc w:val="both"/>
        <w:rPr>
          <w:sz w:val="20"/>
          <w:szCs w:val="20"/>
        </w:rPr>
      </w:pPr>
      <w:r w:rsidRPr="00780669">
        <w:rPr>
          <w:sz w:val="20"/>
          <w:szCs w:val="20"/>
        </w:rPr>
        <w:t xml:space="preserve">1.4.2.2.1 (b) “ascertain that all information prescribed in ADN related to the dangerous goods to be carried has been </w:t>
      </w:r>
      <w:r w:rsidRPr="00780669">
        <w:rPr>
          <w:b/>
          <w:i/>
          <w:sz w:val="20"/>
          <w:szCs w:val="20"/>
        </w:rPr>
        <w:t>provided by the consignor before carriage</w:t>
      </w:r>
      <w:r w:rsidRPr="00780669">
        <w:rPr>
          <w:sz w:val="20"/>
          <w:szCs w:val="20"/>
        </w:rPr>
        <w:t xml:space="preserve">, that the prescribed documentation </w:t>
      </w:r>
      <w:r w:rsidRPr="00780669">
        <w:rPr>
          <w:sz w:val="20"/>
          <w:szCs w:val="20"/>
          <w:u w:val="single"/>
        </w:rPr>
        <w:t>is on board of the transport unit</w:t>
      </w:r>
      <w:r w:rsidRPr="00780669">
        <w:rPr>
          <w:sz w:val="20"/>
          <w:szCs w:val="20"/>
        </w:rPr>
        <w:t xml:space="preserve"> or (...)”, but it is clear enough that the instructions in writing are not included any more in the prescribed documentation from ADR 2009 when the regime of the instructions where changed;</w:t>
      </w:r>
    </w:p>
    <w:p w:rsidR="007F29A4" w:rsidRPr="00780669" w:rsidRDefault="007F29A4" w:rsidP="007F29A4">
      <w:pPr>
        <w:numPr>
          <w:ilvl w:val="0"/>
          <w:numId w:val="5"/>
        </w:numPr>
        <w:suppressAutoHyphens/>
        <w:spacing w:after="120" w:line="240" w:lineRule="atLeast"/>
        <w:ind w:right="1134"/>
        <w:jc w:val="both"/>
        <w:rPr>
          <w:sz w:val="20"/>
          <w:szCs w:val="20"/>
        </w:rPr>
      </w:pPr>
      <w:r w:rsidRPr="00780669">
        <w:rPr>
          <w:sz w:val="20"/>
          <w:szCs w:val="20"/>
        </w:rPr>
        <w:t>1.4.2.1.1 (b) “</w:t>
      </w:r>
      <w:r w:rsidRPr="00780669">
        <w:rPr>
          <w:b/>
          <w:i/>
          <w:sz w:val="20"/>
          <w:szCs w:val="20"/>
        </w:rPr>
        <w:t>Furnish the carrier with information and data</w:t>
      </w:r>
      <w:r w:rsidRPr="00780669">
        <w:rPr>
          <w:sz w:val="20"/>
          <w:szCs w:val="20"/>
        </w:rPr>
        <w:t xml:space="preserve"> in a traceable form and, if necessary, the required transport documents and accompanying documents </w:t>
      </w:r>
      <w:r w:rsidRPr="00780669">
        <w:rPr>
          <w:sz w:val="20"/>
          <w:szCs w:val="20"/>
        </w:rPr>
        <w:lastRenderedPageBreak/>
        <w:t>(authorizations, approvals, notifications, certificates, etc.), taking into account in particular the requirements of Chapter 5.4 and of the tables in Part 3;”.</w:t>
      </w:r>
    </w:p>
    <w:p w:rsidR="007F29A4" w:rsidRPr="00780669" w:rsidRDefault="006D6B3C" w:rsidP="006D6B3C">
      <w:pPr>
        <w:pStyle w:val="H1G"/>
        <w:rPr>
          <w:lang w:eastAsia="ro-RO"/>
        </w:rPr>
      </w:pPr>
      <w:r>
        <w:rPr>
          <w:lang w:eastAsia="ro-RO"/>
        </w:rPr>
        <w:tab/>
      </w:r>
      <w:r>
        <w:rPr>
          <w:lang w:eastAsia="ro-RO"/>
        </w:rPr>
        <w:tab/>
      </w:r>
      <w:r w:rsidR="007F29A4" w:rsidRPr="00780669">
        <w:rPr>
          <w:lang w:eastAsia="ro-RO"/>
        </w:rPr>
        <w:t>Proposal 3</w:t>
      </w:r>
    </w:p>
    <w:p w:rsidR="007F29A4" w:rsidRPr="00780669" w:rsidRDefault="007F29A4" w:rsidP="007F29A4">
      <w:pPr>
        <w:pStyle w:val="SingleTxtG"/>
        <w:rPr>
          <w:b/>
          <w:sz w:val="20"/>
          <w:szCs w:val="20"/>
          <w:lang w:eastAsia="ro-RO"/>
        </w:rPr>
      </w:pPr>
      <w:r w:rsidRPr="00780669">
        <w:rPr>
          <w:sz w:val="20"/>
          <w:szCs w:val="20"/>
          <w:lang w:eastAsia="ro-RO"/>
        </w:rPr>
        <w:t>14.</w:t>
      </w:r>
      <w:r w:rsidRPr="00780669">
        <w:rPr>
          <w:sz w:val="20"/>
          <w:szCs w:val="20"/>
          <w:lang w:eastAsia="ro-RO"/>
        </w:rPr>
        <w:tab/>
        <w:t>Amend the text of the paragraph (g) of sub-section 1.4.2.2 to read as follows:</w:t>
      </w:r>
    </w:p>
    <w:p w:rsidR="007F29A4" w:rsidRPr="00780669" w:rsidRDefault="007F29A4" w:rsidP="007F29A4">
      <w:pPr>
        <w:widowControl w:val="0"/>
        <w:tabs>
          <w:tab w:val="left" w:pos="1134"/>
        </w:tabs>
        <w:ind w:left="1134" w:right="1134"/>
        <w:jc w:val="both"/>
        <w:rPr>
          <w:color w:val="00B050"/>
          <w:sz w:val="20"/>
          <w:szCs w:val="20"/>
        </w:rPr>
      </w:pPr>
      <w:r w:rsidRPr="00780669">
        <w:rPr>
          <w:sz w:val="20"/>
          <w:szCs w:val="20"/>
        </w:rPr>
        <w:t>(g)</w:t>
      </w:r>
      <w:r w:rsidRPr="00780669">
        <w:rPr>
          <w:sz w:val="20"/>
          <w:szCs w:val="20"/>
        </w:rPr>
        <w:tab/>
      </w:r>
      <w:r w:rsidRPr="00780669">
        <w:rPr>
          <w:strike/>
          <w:color w:val="FF0000"/>
          <w:sz w:val="20"/>
          <w:szCs w:val="20"/>
        </w:rPr>
        <w:t>ascertain that the equipment prescribed in ADR for the vehicle,</w:t>
      </w:r>
      <w:r w:rsidRPr="00780669">
        <w:rPr>
          <w:b/>
          <w:strike/>
          <w:color w:val="FF0000"/>
          <w:sz w:val="20"/>
          <w:szCs w:val="20"/>
        </w:rPr>
        <w:t xml:space="preserve"> </w:t>
      </w:r>
      <w:r w:rsidRPr="00780669">
        <w:rPr>
          <w:strike/>
          <w:color w:val="FF0000"/>
          <w:sz w:val="20"/>
          <w:szCs w:val="20"/>
        </w:rPr>
        <w:t>vehicle crew and certain classes is on board the vehicle</w:t>
      </w:r>
      <w:r w:rsidRPr="00780669">
        <w:rPr>
          <w:color w:val="00B050"/>
          <w:sz w:val="20"/>
          <w:szCs w:val="20"/>
          <w:u w:val="single"/>
        </w:rPr>
        <w:t xml:space="preserve"> Ascertain that the instructions in writing as prescribed in ADR are </w:t>
      </w:r>
      <w:r w:rsidRPr="00780669">
        <w:rPr>
          <w:color w:val="00B050"/>
          <w:sz w:val="20"/>
          <w:szCs w:val="20"/>
          <w:u w:val="single"/>
          <w:lang w:eastAsia="ro-RO"/>
        </w:rPr>
        <w:t>in the vehicle crew’s cab</w:t>
      </w:r>
      <w:r w:rsidRPr="00780669">
        <w:rPr>
          <w:color w:val="00B050"/>
          <w:sz w:val="20"/>
          <w:szCs w:val="20"/>
        </w:rPr>
        <w:t>;</w:t>
      </w:r>
    </w:p>
    <w:p w:rsidR="007F29A4" w:rsidRPr="00780669" w:rsidRDefault="007F29A4" w:rsidP="007F29A4">
      <w:pPr>
        <w:pStyle w:val="SingleTxtG"/>
        <w:rPr>
          <w:b/>
          <w:sz w:val="20"/>
          <w:szCs w:val="20"/>
          <w:lang w:eastAsia="ro-RO"/>
        </w:rPr>
      </w:pPr>
      <w:r w:rsidRPr="00780669">
        <w:rPr>
          <w:b/>
          <w:sz w:val="20"/>
          <w:szCs w:val="20"/>
          <w:lang w:eastAsia="ro-RO"/>
        </w:rPr>
        <w:t>Ending phrase of 1.4.2.2.1</w:t>
      </w:r>
    </w:p>
    <w:p w:rsidR="007F29A4" w:rsidRPr="00780669" w:rsidRDefault="007F29A4" w:rsidP="007F29A4">
      <w:pPr>
        <w:pStyle w:val="SingleTxtG"/>
        <w:rPr>
          <w:sz w:val="20"/>
          <w:szCs w:val="20"/>
          <w:lang w:eastAsia="ro-RO"/>
        </w:rPr>
      </w:pPr>
      <w:r w:rsidRPr="00780669">
        <w:rPr>
          <w:sz w:val="20"/>
          <w:szCs w:val="20"/>
          <w:lang w:eastAsia="ro-RO"/>
        </w:rPr>
        <w:t>15.</w:t>
      </w:r>
      <w:r w:rsidRPr="00780669">
        <w:rPr>
          <w:sz w:val="20"/>
          <w:szCs w:val="20"/>
          <w:lang w:eastAsia="ro-RO"/>
        </w:rPr>
        <w:tab/>
        <w:t>The proposal consists in the replacement of the terms</w:t>
      </w:r>
      <w:r w:rsidRPr="00780669">
        <w:rPr>
          <w:b/>
          <w:i/>
          <w:sz w:val="20"/>
          <w:szCs w:val="20"/>
          <w:lang w:eastAsia="ro-RO"/>
        </w:rPr>
        <w:t xml:space="preserve"> </w:t>
      </w:r>
      <w:r w:rsidRPr="00780669">
        <w:rPr>
          <w:b/>
          <w:i/>
          <w:sz w:val="20"/>
          <w:szCs w:val="20"/>
          <w:u w:val="single"/>
          <w:lang w:eastAsia="ro-RO"/>
        </w:rPr>
        <w:t>vehicle</w:t>
      </w:r>
      <w:r w:rsidRPr="00780669">
        <w:rPr>
          <w:b/>
          <w:i/>
          <w:sz w:val="20"/>
          <w:szCs w:val="20"/>
          <w:lang w:eastAsia="ro-RO"/>
        </w:rPr>
        <w:t xml:space="preserve"> </w:t>
      </w:r>
      <w:r w:rsidRPr="00780669">
        <w:rPr>
          <w:sz w:val="20"/>
          <w:szCs w:val="20"/>
          <w:lang w:eastAsia="ro-RO"/>
        </w:rPr>
        <w:t xml:space="preserve">by </w:t>
      </w:r>
      <w:r w:rsidRPr="00780669">
        <w:rPr>
          <w:b/>
          <w:i/>
          <w:sz w:val="20"/>
          <w:szCs w:val="20"/>
          <w:u w:val="single"/>
          <w:lang w:eastAsia="ro-RO"/>
        </w:rPr>
        <w:t>transport unit</w:t>
      </w:r>
      <w:r w:rsidRPr="00780669">
        <w:rPr>
          <w:sz w:val="20"/>
          <w:szCs w:val="20"/>
          <w:lang w:eastAsia="ro-RO"/>
        </w:rPr>
        <w:t xml:space="preserve"> or </w:t>
      </w:r>
      <w:r w:rsidRPr="00780669">
        <w:rPr>
          <w:b/>
          <w:i/>
          <w:sz w:val="20"/>
          <w:szCs w:val="20"/>
          <w:u w:val="single"/>
          <w:lang w:eastAsia="ro-RO"/>
        </w:rPr>
        <w:t>vehicle or the containers</w:t>
      </w:r>
      <w:r w:rsidRPr="00780669">
        <w:rPr>
          <w:sz w:val="20"/>
          <w:szCs w:val="20"/>
          <w:lang w:eastAsia="ro-RO"/>
        </w:rPr>
        <w:t xml:space="preserve"> by </w:t>
      </w:r>
      <w:r w:rsidRPr="00780669">
        <w:rPr>
          <w:b/>
          <w:i/>
          <w:sz w:val="20"/>
          <w:szCs w:val="20"/>
          <w:u w:val="single"/>
          <w:lang w:eastAsia="ro-RO"/>
        </w:rPr>
        <w:t>cargo</w:t>
      </w:r>
      <w:r w:rsidRPr="00780669">
        <w:rPr>
          <w:sz w:val="20"/>
          <w:szCs w:val="20"/>
          <w:u w:val="single"/>
          <w:lang w:eastAsia="ro-RO"/>
        </w:rPr>
        <w:t xml:space="preserve"> </w:t>
      </w:r>
      <w:r w:rsidRPr="00780669">
        <w:rPr>
          <w:b/>
          <w:i/>
          <w:sz w:val="20"/>
          <w:szCs w:val="20"/>
          <w:u w:val="single"/>
          <w:lang w:eastAsia="ro-RO"/>
        </w:rPr>
        <w:t>transport unit</w:t>
      </w:r>
      <w:r w:rsidRPr="00780669">
        <w:rPr>
          <w:sz w:val="20"/>
          <w:szCs w:val="20"/>
          <w:lang w:eastAsia="ro-RO"/>
        </w:rPr>
        <w:t xml:space="preserve"> for the consistency with the sections 8.1.2, 8.1.4, 8.1.5, 5.4.3, etc.</w:t>
      </w:r>
    </w:p>
    <w:p w:rsidR="007F29A4" w:rsidRPr="00780669" w:rsidRDefault="006D6B3C" w:rsidP="006D6B3C">
      <w:pPr>
        <w:pStyle w:val="H1G"/>
        <w:rPr>
          <w:lang w:eastAsia="ro-RO"/>
        </w:rPr>
      </w:pPr>
      <w:r>
        <w:rPr>
          <w:lang w:eastAsia="ro-RO"/>
        </w:rPr>
        <w:tab/>
      </w:r>
      <w:r>
        <w:rPr>
          <w:lang w:eastAsia="ro-RO"/>
        </w:rPr>
        <w:tab/>
      </w:r>
      <w:r w:rsidR="007F29A4" w:rsidRPr="00780669">
        <w:rPr>
          <w:lang w:eastAsia="ro-RO"/>
        </w:rPr>
        <w:t>Proposal 4</w:t>
      </w:r>
    </w:p>
    <w:p w:rsidR="007F29A4" w:rsidRPr="00780669" w:rsidRDefault="007F29A4" w:rsidP="007F29A4">
      <w:pPr>
        <w:pStyle w:val="SingleTxtG"/>
        <w:rPr>
          <w:sz w:val="20"/>
          <w:szCs w:val="20"/>
          <w:lang w:eastAsia="ro-RO"/>
        </w:rPr>
      </w:pPr>
      <w:r w:rsidRPr="00780669">
        <w:rPr>
          <w:sz w:val="20"/>
          <w:szCs w:val="20"/>
          <w:lang w:eastAsia="ro-RO"/>
        </w:rPr>
        <w:t>16.</w:t>
      </w:r>
      <w:r w:rsidRPr="00780669">
        <w:rPr>
          <w:sz w:val="20"/>
          <w:szCs w:val="20"/>
          <w:lang w:eastAsia="ro-RO"/>
        </w:rPr>
        <w:tab/>
        <w:t>Amend the text of the ending phrase of 1.4.2.2.1 to read as follows:</w:t>
      </w:r>
    </w:p>
    <w:p w:rsidR="007F29A4" w:rsidRPr="00780669" w:rsidRDefault="007F29A4" w:rsidP="007F29A4">
      <w:pPr>
        <w:widowControl w:val="0"/>
        <w:tabs>
          <w:tab w:val="left" w:pos="1134"/>
        </w:tabs>
        <w:ind w:left="1134" w:right="1134"/>
        <w:jc w:val="both"/>
        <w:rPr>
          <w:sz w:val="20"/>
          <w:szCs w:val="20"/>
        </w:rPr>
      </w:pPr>
      <w:r w:rsidRPr="00780669">
        <w:rPr>
          <w:sz w:val="20"/>
          <w:szCs w:val="20"/>
        </w:rPr>
        <w:t xml:space="preserve">Where appropriate, this shall be done on the basis of the transport documents and accompanying documents, by a visual inspection of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w:t>
      </w:r>
      <w:r w:rsidRPr="00780669">
        <w:rPr>
          <w:strike/>
          <w:sz w:val="20"/>
          <w:szCs w:val="20"/>
        </w:rPr>
        <w:t xml:space="preserve"> or the containers</w:t>
      </w:r>
      <w:r w:rsidRPr="00780669">
        <w:rPr>
          <w:sz w:val="20"/>
          <w:szCs w:val="20"/>
        </w:rPr>
        <w:t xml:space="preserve"> and, where appropriate, the load.</w:t>
      </w:r>
    </w:p>
    <w:p w:rsidR="007F29A4" w:rsidRPr="00780669" w:rsidRDefault="007F29A4" w:rsidP="006D6B3C">
      <w:pPr>
        <w:pStyle w:val="HChG"/>
        <w:tabs>
          <w:tab w:val="clear" w:pos="851"/>
        </w:tabs>
        <w:ind w:firstLine="0"/>
        <w:rPr>
          <w:lang w:eastAsia="ro-RO"/>
        </w:rPr>
      </w:pPr>
      <w:r w:rsidRPr="00780669">
        <w:rPr>
          <w:lang w:eastAsia="ro-RO"/>
        </w:rPr>
        <w:br w:type="page"/>
      </w:r>
      <w:r w:rsidRPr="00780669">
        <w:rPr>
          <w:lang w:eastAsia="ro-RO"/>
        </w:rPr>
        <w:lastRenderedPageBreak/>
        <w:t>Annex</w:t>
      </w:r>
    </w:p>
    <w:p w:rsidR="007F29A4" w:rsidRPr="00780669" w:rsidRDefault="006D6B3C" w:rsidP="006D6B3C">
      <w:pPr>
        <w:pStyle w:val="H1G"/>
        <w:rPr>
          <w:lang w:eastAsia="ro-RO"/>
        </w:rPr>
      </w:pPr>
      <w:r>
        <w:rPr>
          <w:lang w:eastAsia="ro-RO"/>
        </w:rPr>
        <w:tab/>
      </w:r>
      <w:r>
        <w:rPr>
          <w:lang w:eastAsia="ro-RO"/>
        </w:rPr>
        <w:tab/>
      </w:r>
      <w:r w:rsidR="007F29A4" w:rsidRPr="00780669">
        <w:rPr>
          <w:lang w:eastAsia="ro-RO"/>
        </w:rPr>
        <w:t>Consolidated text of 1.4.2.2 as amended by above proposals</w:t>
      </w:r>
    </w:p>
    <w:p w:rsidR="007F29A4" w:rsidRPr="00780669" w:rsidRDefault="007F29A4" w:rsidP="007F29A4">
      <w:pPr>
        <w:pStyle w:val="SingleTxtG"/>
        <w:rPr>
          <w:sz w:val="20"/>
          <w:szCs w:val="20"/>
          <w:lang w:eastAsia="ro-RO"/>
        </w:rPr>
      </w:pPr>
      <w:r w:rsidRPr="00780669">
        <w:rPr>
          <w:sz w:val="20"/>
          <w:szCs w:val="20"/>
          <w:lang w:eastAsia="ro-RO"/>
        </w:rPr>
        <w:t>1.</w:t>
      </w:r>
      <w:r w:rsidRPr="00780669">
        <w:rPr>
          <w:sz w:val="20"/>
          <w:szCs w:val="20"/>
          <w:lang w:eastAsia="ro-RO"/>
        </w:rPr>
        <w:tab/>
        <w:t xml:space="preserve">Stricken out text is to be replaced and new text is underlined. Red is used to enhance visibility of deleted text and green for proposed amendments. Any other colours or signs are used for orientation purposes only. </w:t>
      </w:r>
    </w:p>
    <w:p w:rsidR="007F29A4" w:rsidRPr="00780669" w:rsidRDefault="007F29A4" w:rsidP="007F29A4">
      <w:pPr>
        <w:pStyle w:val="SingleTxtG"/>
        <w:rPr>
          <w:b/>
          <w:sz w:val="20"/>
          <w:szCs w:val="20"/>
          <w:lang w:eastAsia="ro-RO"/>
        </w:rPr>
      </w:pPr>
      <w:r w:rsidRPr="00780669">
        <w:rPr>
          <w:b/>
          <w:sz w:val="20"/>
          <w:szCs w:val="20"/>
          <w:lang w:eastAsia="ro-RO"/>
        </w:rPr>
        <w:t xml:space="preserve">1.4.2.2 </w:t>
      </w:r>
      <w:r w:rsidRPr="00780669">
        <w:rPr>
          <w:b/>
          <w:i/>
          <w:sz w:val="20"/>
          <w:szCs w:val="20"/>
          <w:lang w:eastAsia="ro-RO"/>
        </w:rPr>
        <w:t>Carrier</w:t>
      </w:r>
    </w:p>
    <w:p w:rsidR="007F29A4" w:rsidRPr="006D6B3C" w:rsidRDefault="007F29A4" w:rsidP="006D6B3C">
      <w:pPr>
        <w:pStyle w:val="SingleTxtG"/>
        <w:rPr>
          <w:sz w:val="20"/>
          <w:szCs w:val="20"/>
        </w:rPr>
      </w:pPr>
      <w:r w:rsidRPr="006D6B3C">
        <w:rPr>
          <w:sz w:val="20"/>
          <w:szCs w:val="20"/>
        </w:rPr>
        <w:t>1.4.2.2.1 In the context of 1.4.1, where appropriate, the carrier shall in particular:</w:t>
      </w:r>
    </w:p>
    <w:p w:rsidR="007F29A4" w:rsidRPr="006D6B3C" w:rsidRDefault="007F29A4" w:rsidP="006D6B3C">
      <w:pPr>
        <w:pStyle w:val="SingleTxtG"/>
        <w:rPr>
          <w:sz w:val="20"/>
          <w:szCs w:val="20"/>
        </w:rPr>
      </w:pPr>
      <w:r w:rsidRPr="006D6B3C">
        <w:rPr>
          <w:sz w:val="20"/>
          <w:szCs w:val="20"/>
        </w:rPr>
        <w:t>(a)</w:t>
      </w:r>
      <w:r w:rsidRPr="006D6B3C">
        <w:rPr>
          <w:sz w:val="20"/>
          <w:szCs w:val="20"/>
        </w:rPr>
        <w:tab/>
        <w:t>Ascertain that the dangerous goods to be carried are authorized for carriage in accordance with ADR;</w:t>
      </w:r>
    </w:p>
    <w:p w:rsidR="007F29A4" w:rsidRPr="006D6B3C" w:rsidRDefault="006D6B3C" w:rsidP="006D6B3C">
      <w:pPr>
        <w:pStyle w:val="SingleTxtG"/>
        <w:rPr>
          <w:sz w:val="20"/>
          <w:szCs w:val="20"/>
        </w:rPr>
      </w:pPr>
      <w:r>
        <w:rPr>
          <w:sz w:val="20"/>
          <w:szCs w:val="20"/>
        </w:rPr>
        <w:t>(b)</w:t>
      </w:r>
      <w:r w:rsidR="007F29A4" w:rsidRPr="006D6B3C">
        <w:rPr>
          <w:sz w:val="20"/>
          <w:szCs w:val="20"/>
        </w:rPr>
        <w:tab/>
        <w:t xml:space="preserve">Ascertain that all information prescribed in ADR related to the dangerous goods to be carried has been provided by the consignor before carriage, that the prescribed documentation is on board the </w:t>
      </w:r>
      <w:r w:rsidR="007F29A4" w:rsidRPr="006D6B3C">
        <w:rPr>
          <w:color w:val="7030A0"/>
          <w:sz w:val="20"/>
          <w:szCs w:val="20"/>
        </w:rPr>
        <w:t>transport unit</w:t>
      </w:r>
      <w:r w:rsidR="007F29A4" w:rsidRPr="006D6B3C">
        <w:rPr>
          <w:sz w:val="20"/>
          <w:szCs w:val="20"/>
        </w:rPr>
        <w:t xml:space="preserve"> or if electronic data processing (EDP) or if electronic data interchange (EDI) techniques are used instead of paper documentation, that data is available during transport in a manner at least equivalent to that of paper documentation;</w:t>
      </w:r>
    </w:p>
    <w:p w:rsidR="007F29A4" w:rsidRPr="00780669" w:rsidRDefault="007F29A4" w:rsidP="006D6B3C">
      <w:pPr>
        <w:pStyle w:val="SingleTxtG"/>
        <w:rPr>
          <w:sz w:val="20"/>
          <w:szCs w:val="20"/>
        </w:rPr>
      </w:pPr>
      <w:r w:rsidRPr="00780669">
        <w:rPr>
          <w:sz w:val="20"/>
          <w:szCs w:val="20"/>
        </w:rPr>
        <w:t>(c)</w:t>
      </w:r>
      <w:r w:rsidRPr="00780669">
        <w:rPr>
          <w:sz w:val="20"/>
          <w:szCs w:val="20"/>
        </w:rPr>
        <w:tab/>
        <w:t xml:space="preserve">Ascertain </w:t>
      </w:r>
      <w:r w:rsidRPr="00780669">
        <w:rPr>
          <w:strike/>
          <w:color w:val="FF0000"/>
          <w:sz w:val="20"/>
          <w:szCs w:val="20"/>
        </w:rPr>
        <w:t>visually</w:t>
      </w:r>
      <w:r w:rsidRPr="00780669">
        <w:rPr>
          <w:sz w:val="20"/>
          <w:szCs w:val="20"/>
        </w:rPr>
        <w:t xml:space="preserve"> that </w:t>
      </w:r>
      <w:r w:rsidRPr="00780669">
        <w:rPr>
          <w:color w:val="00B050"/>
          <w:sz w:val="20"/>
          <w:szCs w:val="20"/>
          <w:u w:val="single"/>
        </w:rPr>
        <w:t>both the equipment prescribed in the instructions in writing and the fire-fighting equipment according to ADR are on board the transport unit and</w:t>
      </w:r>
      <w:r w:rsidRPr="00780669">
        <w:rPr>
          <w:sz w:val="20"/>
          <w:szCs w:val="20"/>
        </w:rPr>
        <w:t xml:space="preserve">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vehicles</w:t>
      </w:r>
      <w:r w:rsidRPr="00780669">
        <w:rPr>
          <w:sz w:val="20"/>
          <w:szCs w:val="20"/>
        </w:rPr>
        <w:t xml:space="preserve"> and loads have no obvious defects, leakages or cracks, missing equipment, etc.;</w:t>
      </w:r>
    </w:p>
    <w:p w:rsidR="007F29A4" w:rsidRPr="00780669" w:rsidRDefault="007F29A4" w:rsidP="007F29A4">
      <w:pPr>
        <w:widowControl w:val="0"/>
        <w:tabs>
          <w:tab w:val="left" w:pos="1134"/>
        </w:tabs>
        <w:spacing w:after="0"/>
        <w:ind w:left="1134" w:right="1134"/>
        <w:jc w:val="both"/>
        <w:rPr>
          <w:sz w:val="20"/>
          <w:szCs w:val="20"/>
        </w:rPr>
      </w:pPr>
      <w:r w:rsidRPr="00780669">
        <w:rPr>
          <w:sz w:val="20"/>
          <w:szCs w:val="20"/>
        </w:rPr>
        <w:t>(d)</w:t>
      </w:r>
      <w:r w:rsidRPr="00780669">
        <w:rPr>
          <w:sz w:val="20"/>
          <w:szCs w:val="20"/>
        </w:rPr>
        <w:tab/>
        <w:t>Ascertain that the deadline for the next test</w:t>
      </w:r>
      <w:r w:rsidRPr="00780669" w:rsidDel="006B7BBC">
        <w:rPr>
          <w:sz w:val="20"/>
          <w:szCs w:val="20"/>
        </w:rPr>
        <w:t xml:space="preserve"> </w:t>
      </w:r>
      <w:r w:rsidRPr="00780669">
        <w:rPr>
          <w:sz w:val="20"/>
          <w:szCs w:val="20"/>
        </w:rPr>
        <w:t>for tank-vehicles, battery-vehicles, demountable tanks, portable tanks, tank-containers and MEGCs has not expired;</w:t>
      </w:r>
    </w:p>
    <w:p w:rsidR="007F29A4" w:rsidRPr="00780669" w:rsidRDefault="007F29A4" w:rsidP="006D6B3C">
      <w:pPr>
        <w:pStyle w:val="SingleTxtG"/>
        <w:rPr>
          <w:sz w:val="20"/>
          <w:szCs w:val="20"/>
        </w:rPr>
      </w:pPr>
      <w:r w:rsidRPr="00780669">
        <w:rPr>
          <w:b/>
          <w:bCs/>
          <w:i/>
          <w:iCs/>
          <w:sz w:val="20"/>
          <w:szCs w:val="20"/>
        </w:rPr>
        <w:t xml:space="preserve">NOTE: </w:t>
      </w:r>
      <w:r w:rsidRPr="00780669">
        <w:rPr>
          <w:i/>
          <w:iCs/>
          <w:sz w:val="20"/>
          <w:szCs w:val="20"/>
        </w:rPr>
        <w:t>Tanks, battery-vehicles and MEGCs may however be carried after the expiry of this deadline under the conditions of 4.1.6.10 (in the case of battery-vehicles and MEGCs containing pressure receptacles as elements), 4.2.4.4, 4.3.2.4.4, 6.7.2.19.6, 6.7.3.15.6 or 6.7.4.14.6.</w:t>
      </w:r>
    </w:p>
    <w:p w:rsidR="007F29A4" w:rsidRPr="00780669" w:rsidRDefault="007F29A4" w:rsidP="006D6B3C">
      <w:pPr>
        <w:pStyle w:val="SingleTxtG"/>
        <w:rPr>
          <w:sz w:val="20"/>
          <w:szCs w:val="20"/>
        </w:rPr>
      </w:pPr>
      <w:r w:rsidRPr="00780669">
        <w:rPr>
          <w:sz w:val="20"/>
          <w:szCs w:val="20"/>
        </w:rPr>
        <w:t>(e)</w:t>
      </w:r>
      <w:r w:rsidRPr="00780669">
        <w:rPr>
          <w:sz w:val="20"/>
          <w:szCs w:val="20"/>
        </w:rPr>
        <w:tab/>
        <w:t>Verify that the vehicles are not overloaded;</w:t>
      </w:r>
    </w:p>
    <w:p w:rsidR="007F29A4" w:rsidRPr="00780669" w:rsidRDefault="007F29A4" w:rsidP="006D6B3C">
      <w:pPr>
        <w:pStyle w:val="SingleTxtG"/>
        <w:rPr>
          <w:sz w:val="20"/>
          <w:szCs w:val="20"/>
        </w:rPr>
      </w:pPr>
      <w:r w:rsidRPr="00780669">
        <w:rPr>
          <w:sz w:val="20"/>
          <w:szCs w:val="20"/>
        </w:rPr>
        <w:t>(f)</w:t>
      </w:r>
      <w:r w:rsidRPr="00780669">
        <w:rPr>
          <w:sz w:val="20"/>
          <w:szCs w:val="20"/>
        </w:rPr>
        <w:tab/>
        <w:t>Ascertain that the placards</w:t>
      </w:r>
      <w:r w:rsidRPr="00780669">
        <w:rPr>
          <w:color w:val="00B0F0"/>
          <w:sz w:val="20"/>
          <w:szCs w:val="20"/>
        </w:rPr>
        <w:t xml:space="preserve">, </w:t>
      </w:r>
      <w:r w:rsidRPr="00780669">
        <w:rPr>
          <w:color w:val="0070C0"/>
          <w:sz w:val="20"/>
          <w:szCs w:val="20"/>
        </w:rPr>
        <w:t>marks and orange-coloured plates</w:t>
      </w:r>
      <w:r w:rsidRPr="00780669">
        <w:rPr>
          <w:sz w:val="20"/>
          <w:szCs w:val="20"/>
        </w:rPr>
        <w:t xml:space="preserve"> prescribed for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vehicles</w:t>
      </w:r>
      <w:r w:rsidRPr="00780669">
        <w:rPr>
          <w:sz w:val="20"/>
          <w:szCs w:val="20"/>
        </w:rPr>
        <w:t xml:space="preserve"> in Chapter 5.3 have been affixed;</w:t>
      </w:r>
    </w:p>
    <w:p w:rsidR="007F29A4" w:rsidRPr="00780669" w:rsidRDefault="007F29A4" w:rsidP="006D6B3C">
      <w:pPr>
        <w:pStyle w:val="SingleTxtG"/>
        <w:rPr>
          <w:color w:val="00B050"/>
          <w:sz w:val="20"/>
          <w:szCs w:val="20"/>
        </w:rPr>
      </w:pPr>
      <w:r w:rsidRPr="00780669">
        <w:rPr>
          <w:sz w:val="20"/>
          <w:szCs w:val="20"/>
        </w:rPr>
        <w:t>(g)</w:t>
      </w:r>
      <w:r w:rsidRPr="00780669">
        <w:rPr>
          <w:sz w:val="20"/>
          <w:szCs w:val="20"/>
        </w:rPr>
        <w:tab/>
      </w:r>
      <w:r w:rsidRPr="00780669">
        <w:rPr>
          <w:strike/>
          <w:color w:val="FF0000"/>
          <w:sz w:val="20"/>
          <w:szCs w:val="20"/>
        </w:rPr>
        <w:t>ascertain that the equipment prescribed in ADR for the vehicle,</w:t>
      </w:r>
      <w:r w:rsidRPr="00780669">
        <w:rPr>
          <w:b/>
          <w:strike/>
          <w:color w:val="FF0000"/>
          <w:sz w:val="20"/>
          <w:szCs w:val="20"/>
        </w:rPr>
        <w:t xml:space="preserve"> </w:t>
      </w:r>
      <w:r w:rsidRPr="00780669">
        <w:rPr>
          <w:strike/>
          <w:color w:val="FF0000"/>
          <w:sz w:val="20"/>
          <w:szCs w:val="20"/>
        </w:rPr>
        <w:t>vehicle crew and certain classes is on board the vehicle</w:t>
      </w:r>
      <w:r w:rsidRPr="00780669">
        <w:rPr>
          <w:color w:val="00B050"/>
          <w:sz w:val="20"/>
          <w:szCs w:val="20"/>
          <w:u w:val="single"/>
        </w:rPr>
        <w:t xml:space="preserve"> Ascertain that the instructions in writing as prescribed in ADR are </w:t>
      </w:r>
      <w:r w:rsidRPr="00780669">
        <w:rPr>
          <w:color w:val="00B050"/>
          <w:sz w:val="20"/>
          <w:szCs w:val="20"/>
          <w:u w:val="single"/>
          <w:lang w:eastAsia="ro-RO"/>
        </w:rPr>
        <w:t>in the vehicle crew’s cab</w:t>
      </w:r>
      <w:r w:rsidRPr="00780669">
        <w:rPr>
          <w:color w:val="00B050"/>
          <w:sz w:val="20"/>
          <w:szCs w:val="20"/>
        </w:rPr>
        <w:t>;</w:t>
      </w:r>
    </w:p>
    <w:p w:rsidR="007F29A4" w:rsidRPr="00780669" w:rsidRDefault="007F29A4" w:rsidP="006D6B3C">
      <w:pPr>
        <w:pStyle w:val="SingleTxtG"/>
        <w:rPr>
          <w:sz w:val="20"/>
          <w:szCs w:val="20"/>
        </w:rPr>
      </w:pPr>
      <w:r w:rsidRPr="00780669">
        <w:rPr>
          <w:sz w:val="20"/>
          <w:szCs w:val="20"/>
        </w:rPr>
        <w:t xml:space="preserve">Where appropriate, this shall be done on the basis of the transport documents and accompanying documents, by a </w:t>
      </w:r>
      <w:r w:rsidRPr="00780669">
        <w:rPr>
          <w:color w:val="7030A0"/>
          <w:sz w:val="20"/>
          <w:szCs w:val="20"/>
        </w:rPr>
        <w:t>visual inspection</w:t>
      </w:r>
      <w:r w:rsidRPr="00780669">
        <w:rPr>
          <w:sz w:val="20"/>
          <w:szCs w:val="20"/>
        </w:rPr>
        <w:t xml:space="preserve"> of the </w:t>
      </w:r>
      <w:r w:rsidRPr="00780669">
        <w:rPr>
          <w:color w:val="00B050"/>
          <w:sz w:val="20"/>
          <w:szCs w:val="20"/>
        </w:rPr>
        <w:t>[</w:t>
      </w:r>
      <w:r w:rsidRPr="00780669">
        <w:rPr>
          <w:color w:val="00B050"/>
          <w:sz w:val="20"/>
          <w:szCs w:val="20"/>
          <w:u w:val="single"/>
        </w:rPr>
        <w:t>cargo] transport unit</w:t>
      </w:r>
      <w:r w:rsidRPr="00780669">
        <w:rPr>
          <w:sz w:val="20"/>
          <w:szCs w:val="20"/>
        </w:rPr>
        <w:t xml:space="preserve"> </w:t>
      </w:r>
      <w:r w:rsidRPr="00780669">
        <w:rPr>
          <w:strike/>
          <w:color w:val="FF0000"/>
          <w:sz w:val="20"/>
          <w:szCs w:val="20"/>
        </w:rPr>
        <w:t>vehicle</w:t>
      </w:r>
      <w:r w:rsidRPr="00780669">
        <w:rPr>
          <w:strike/>
          <w:sz w:val="20"/>
          <w:szCs w:val="20"/>
        </w:rPr>
        <w:t xml:space="preserve"> or the containers</w:t>
      </w:r>
      <w:r w:rsidRPr="00780669">
        <w:rPr>
          <w:sz w:val="20"/>
          <w:szCs w:val="20"/>
        </w:rPr>
        <w:t xml:space="preserve"> and, where appropriate, the load.</w:t>
      </w:r>
    </w:p>
    <w:p w:rsidR="007F29A4" w:rsidRPr="00780669" w:rsidRDefault="007F29A4" w:rsidP="001220B8">
      <w:pPr>
        <w:pStyle w:val="SingleTxtG"/>
        <w:ind w:left="2268" w:hanging="1134"/>
        <w:rPr>
          <w:sz w:val="20"/>
          <w:szCs w:val="20"/>
        </w:rPr>
      </w:pPr>
      <w:r w:rsidRPr="00780669">
        <w:rPr>
          <w:sz w:val="20"/>
          <w:szCs w:val="20"/>
        </w:rPr>
        <w:t>1.4.2.2.2</w:t>
      </w:r>
      <w:r w:rsidRPr="00780669">
        <w:rPr>
          <w:sz w:val="20"/>
          <w:szCs w:val="20"/>
        </w:rPr>
        <w:tab/>
        <w:t>The carrier may, however, in the case of 1.4.2.2.1 (a), (b), (e) and (f), rely on information and data made available to him by other participants.</w:t>
      </w:r>
    </w:p>
    <w:p w:rsidR="007F29A4" w:rsidRPr="00780669" w:rsidRDefault="007F29A4" w:rsidP="001220B8">
      <w:pPr>
        <w:pStyle w:val="SingleTxtG"/>
        <w:ind w:left="2268" w:hanging="1134"/>
        <w:rPr>
          <w:sz w:val="20"/>
          <w:szCs w:val="20"/>
        </w:rPr>
      </w:pPr>
      <w:r w:rsidRPr="00780669">
        <w:rPr>
          <w:sz w:val="20"/>
          <w:szCs w:val="20"/>
        </w:rPr>
        <w:t>1.4.2.2.3</w:t>
      </w:r>
      <w:r w:rsidRPr="00780669">
        <w:rPr>
          <w:sz w:val="20"/>
          <w:szCs w:val="20"/>
        </w:rPr>
        <w:tab/>
        <w:t>If the carrier observes an infringement of the requirements of ADR, in accordance with 1.4.2.2.1, he shall not forward the consignment until the matter has been rectified.</w:t>
      </w:r>
    </w:p>
    <w:p w:rsidR="007F29A4" w:rsidRPr="00780669" w:rsidRDefault="007F29A4" w:rsidP="001220B8">
      <w:pPr>
        <w:pStyle w:val="SingleTxtG"/>
        <w:ind w:left="2268" w:hanging="1134"/>
        <w:rPr>
          <w:sz w:val="20"/>
          <w:szCs w:val="20"/>
        </w:rPr>
      </w:pPr>
      <w:r w:rsidRPr="00780669">
        <w:rPr>
          <w:sz w:val="20"/>
          <w:szCs w:val="20"/>
        </w:rPr>
        <w:t>1.4.2.2.4</w:t>
      </w:r>
      <w:r w:rsidRPr="00780669">
        <w:rPr>
          <w:sz w:val="20"/>
          <w:szCs w:val="20"/>
        </w:rPr>
        <w:tab/>
        <w:t xml:space="preserve">If, during the journey, an infringement which could jeopardize the safety of the operation is observed, the consignment shall be halted as soon as possible bearing in mind the requirements of traffic safety, of the safe immobilisation of the consignment, and of public safety. </w:t>
      </w:r>
    </w:p>
    <w:p w:rsidR="007F29A4" w:rsidRPr="00780669" w:rsidRDefault="007F29A4" w:rsidP="006D6B3C">
      <w:pPr>
        <w:pStyle w:val="SingleTxtG"/>
        <w:rPr>
          <w:sz w:val="20"/>
          <w:szCs w:val="20"/>
        </w:rPr>
      </w:pPr>
      <w:r w:rsidRPr="00780669">
        <w:rPr>
          <w:sz w:val="20"/>
          <w:szCs w:val="20"/>
        </w:rPr>
        <w:lastRenderedPageBreak/>
        <w:t xml:space="preserve">The transport operation may only be continued once the consignment complies with applicable regulations. The competent </w:t>
      </w:r>
      <w:proofErr w:type="gramStart"/>
      <w:r w:rsidRPr="00780669">
        <w:rPr>
          <w:sz w:val="20"/>
          <w:szCs w:val="20"/>
        </w:rPr>
        <w:t>authority(</w:t>
      </w:r>
      <w:proofErr w:type="spellStart"/>
      <w:proofErr w:type="gramEnd"/>
      <w:r w:rsidRPr="00780669">
        <w:rPr>
          <w:sz w:val="20"/>
          <w:szCs w:val="20"/>
        </w:rPr>
        <w:t>ies</w:t>
      </w:r>
      <w:proofErr w:type="spellEnd"/>
      <w:r w:rsidRPr="00780669">
        <w:rPr>
          <w:sz w:val="20"/>
          <w:szCs w:val="20"/>
        </w:rPr>
        <w:t>) concerned by the rest of the journey may grant an authorization to pursue the transport operation.</w:t>
      </w:r>
    </w:p>
    <w:p w:rsidR="007F29A4" w:rsidRPr="00780669" w:rsidRDefault="007F29A4" w:rsidP="006D6B3C">
      <w:pPr>
        <w:pStyle w:val="SingleTxtG"/>
        <w:rPr>
          <w:sz w:val="20"/>
          <w:szCs w:val="20"/>
        </w:rPr>
      </w:pPr>
      <w:r w:rsidRPr="00780669">
        <w:rPr>
          <w:sz w:val="20"/>
          <w:szCs w:val="20"/>
        </w:rPr>
        <w:t xml:space="preserve">In case the required compliance cannot be achieved and no authorization is granted for the rest of the journey, the competent </w:t>
      </w:r>
      <w:proofErr w:type="gramStart"/>
      <w:r w:rsidRPr="00780669">
        <w:rPr>
          <w:sz w:val="20"/>
          <w:szCs w:val="20"/>
        </w:rPr>
        <w:t>authority(</w:t>
      </w:r>
      <w:proofErr w:type="spellStart"/>
      <w:proofErr w:type="gramEnd"/>
      <w:r w:rsidRPr="00780669">
        <w:rPr>
          <w:sz w:val="20"/>
          <w:szCs w:val="20"/>
        </w:rPr>
        <w:t>ies</w:t>
      </w:r>
      <w:proofErr w:type="spellEnd"/>
      <w:r w:rsidRPr="00780669">
        <w:rPr>
          <w:sz w:val="20"/>
          <w:szCs w:val="20"/>
        </w:rPr>
        <w:t xml:space="preserve">) shall provide the carrier with the necessary administrative assistance. The same shall apply in case the carrier informs this/these competent </w:t>
      </w:r>
      <w:proofErr w:type="gramStart"/>
      <w:r w:rsidRPr="00780669">
        <w:rPr>
          <w:sz w:val="20"/>
          <w:szCs w:val="20"/>
        </w:rPr>
        <w:t>authority(</w:t>
      </w:r>
      <w:proofErr w:type="spellStart"/>
      <w:proofErr w:type="gramEnd"/>
      <w:r w:rsidRPr="00780669">
        <w:rPr>
          <w:sz w:val="20"/>
          <w:szCs w:val="20"/>
        </w:rPr>
        <w:t>ies</w:t>
      </w:r>
      <w:proofErr w:type="spellEnd"/>
      <w:r w:rsidRPr="00780669">
        <w:rPr>
          <w:sz w:val="20"/>
          <w:szCs w:val="20"/>
        </w:rPr>
        <w:t>) that the dangerous nature of the goods carried was not communicated to him by the consignor and that he wishes, by virtue of the law applicable in particular to the contract of carriage, to unload, destroy or render the goods harmless.</w:t>
      </w:r>
    </w:p>
    <w:p w:rsidR="007F29A4" w:rsidRPr="00780669" w:rsidRDefault="006D6B3C" w:rsidP="006D6B3C">
      <w:pPr>
        <w:pStyle w:val="SingleTxtG"/>
        <w:rPr>
          <w:sz w:val="20"/>
          <w:szCs w:val="20"/>
        </w:rPr>
      </w:pPr>
      <w:r>
        <w:rPr>
          <w:sz w:val="20"/>
          <w:szCs w:val="20"/>
        </w:rPr>
        <w:t>1.4.2.2.5</w:t>
      </w:r>
      <w:r w:rsidR="007F29A4" w:rsidRPr="00780669">
        <w:rPr>
          <w:sz w:val="20"/>
          <w:szCs w:val="20"/>
        </w:rPr>
        <w:tab/>
      </w:r>
      <w:r w:rsidR="007F29A4" w:rsidRPr="00780669">
        <w:rPr>
          <w:i/>
          <w:iCs/>
          <w:sz w:val="20"/>
          <w:szCs w:val="20"/>
        </w:rPr>
        <w:t>(Reserved)</w:t>
      </w:r>
    </w:p>
    <w:p w:rsidR="000936F1" w:rsidRPr="00780669" w:rsidRDefault="007F29A4" w:rsidP="001220B8">
      <w:pPr>
        <w:pStyle w:val="SingleTxtG"/>
        <w:ind w:left="2268" w:hanging="1134"/>
        <w:rPr>
          <w:rFonts w:eastAsia="SimSun"/>
          <w:snapToGrid/>
          <w:sz w:val="20"/>
          <w:szCs w:val="20"/>
          <w:lang w:val="en-US" w:eastAsia="zh-CN"/>
        </w:rPr>
      </w:pPr>
      <w:r w:rsidRPr="00780669">
        <w:rPr>
          <w:sz w:val="20"/>
          <w:szCs w:val="20"/>
        </w:rPr>
        <w:t>1.4.2.2.6</w:t>
      </w:r>
      <w:r w:rsidRPr="00780669">
        <w:rPr>
          <w:sz w:val="20"/>
          <w:szCs w:val="20"/>
        </w:rPr>
        <w:tab/>
      </w:r>
      <w:r w:rsidRPr="00780669">
        <w:rPr>
          <w:i/>
          <w:iCs/>
          <w:color w:val="00B050"/>
          <w:sz w:val="20"/>
          <w:szCs w:val="20"/>
          <w:u w:val="single"/>
        </w:rPr>
        <w:t xml:space="preserve">(Reserved) </w:t>
      </w:r>
      <w:r w:rsidRPr="00780669">
        <w:rPr>
          <w:strike/>
          <w:color w:val="FF0000"/>
          <w:sz w:val="20"/>
          <w:szCs w:val="20"/>
        </w:rPr>
        <w:t>The carrier shall provide the vehicle crew with the instructions in writing as prescribed in A</w:t>
      </w:r>
      <w:r w:rsidR="006D6B3C">
        <w:rPr>
          <w:strike/>
          <w:color w:val="FF0000"/>
          <w:sz w:val="20"/>
          <w:szCs w:val="20"/>
        </w:rPr>
        <w:t>DR.</w:t>
      </w:r>
    </w:p>
    <w:p w:rsidR="00D56299" w:rsidRDefault="003A5BD8" w:rsidP="00F661E0">
      <w:pPr>
        <w:suppressAutoHyphens/>
        <w:autoSpaceDE w:val="0"/>
        <w:autoSpaceDN w:val="0"/>
        <w:adjustRightInd w:val="0"/>
        <w:spacing w:before="240" w:after="0" w:line="240" w:lineRule="atLeast"/>
        <w:ind w:left="1134" w:right="1134"/>
        <w:jc w:val="center"/>
      </w:pPr>
      <w:r w:rsidRPr="00F02BB3">
        <w:rPr>
          <w:bCs/>
          <w:u w:val="single"/>
          <w:lang w:eastAsia="ru-RU"/>
        </w:rPr>
        <w:tab/>
      </w:r>
      <w:r w:rsidRPr="00F02BB3">
        <w:rPr>
          <w:bCs/>
          <w:u w:val="single"/>
          <w:lang w:eastAsia="ru-RU"/>
        </w:rPr>
        <w:tab/>
      </w:r>
      <w:r w:rsidRPr="00F02BB3">
        <w:rPr>
          <w:bCs/>
          <w:u w:val="single"/>
          <w:lang w:eastAsia="ru-RU"/>
        </w:rPr>
        <w:tab/>
      </w:r>
    </w:p>
    <w:sectPr w:rsidR="00D56299" w:rsidSect="00536D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1" w:rsidRDefault="00536D51" w:rsidP="00F50600">
      <w:pPr>
        <w:spacing w:after="0"/>
      </w:pPr>
      <w:r>
        <w:separator/>
      </w:r>
    </w:p>
  </w:endnote>
  <w:endnote w:type="continuationSeparator" w:id="0">
    <w:p w:rsidR="00536D51" w:rsidRDefault="00536D51" w:rsidP="00F50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Default="00536D51" w:rsidP="00214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4E3">
      <w:rPr>
        <w:rStyle w:val="PageNumber"/>
        <w:noProof/>
      </w:rPr>
      <w:t>4</w:t>
    </w:r>
    <w:r>
      <w:rPr>
        <w:rStyle w:val="PageNumber"/>
      </w:rPr>
      <w:fldChar w:fldCharType="end"/>
    </w:r>
  </w:p>
  <w:p w:rsidR="00536D51" w:rsidRPr="00B52683" w:rsidRDefault="00536D51" w:rsidP="002142B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Default="00536D51" w:rsidP="00214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04E3">
      <w:rPr>
        <w:rStyle w:val="PageNumber"/>
        <w:noProof/>
      </w:rPr>
      <w:t>5</w:t>
    </w:r>
    <w:r>
      <w:rPr>
        <w:rStyle w:val="PageNumber"/>
      </w:rPr>
      <w:fldChar w:fldCharType="end"/>
    </w:r>
  </w:p>
  <w:p w:rsidR="00536D51" w:rsidRDefault="00536D51" w:rsidP="002142B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Default="00536D51">
    <w:pPr>
      <w:pStyle w:val="Footer"/>
    </w:pPr>
    <w:r>
      <w:rPr>
        <w:noProof/>
        <w:snapToGrid/>
        <w:lang w:eastAsia="en-GB"/>
      </w:rPr>
      <w:drawing>
        <wp:anchor distT="0" distB="0" distL="114300" distR="114300" simplePos="0" relativeHeight="251657728" behindDoc="0" locked="1" layoutInCell="1" allowOverlap="1" wp14:anchorId="09FCCDB1" wp14:editId="426BB806">
          <wp:simplePos x="0" y="0"/>
          <wp:positionH relativeFrom="column">
            <wp:posOffset>5148580</wp:posOffset>
          </wp:positionH>
          <wp:positionV relativeFrom="paragraph">
            <wp:posOffset>-342900</wp:posOffset>
          </wp:positionV>
          <wp:extent cx="930275" cy="230505"/>
          <wp:effectExtent l="0" t="0" r="3175" b="0"/>
          <wp:wrapNone/>
          <wp:docPr id="1"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1" w:rsidRDefault="00536D51" w:rsidP="00F50600">
      <w:pPr>
        <w:spacing w:after="0"/>
      </w:pPr>
      <w:r>
        <w:separator/>
      </w:r>
    </w:p>
  </w:footnote>
  <w:footnote w:type="continuationSeparator" w:id="0">
    <w:p w:rsidR="00536D51" w:rsidRDefault="00536D51" w:rsidP="00F506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Pr="00B52683" w:rsidRDefault="00536D51" w:rsidP="002142B7">
    <w:pPr>
      <w:pStyle w:val="Header"/>
      <w:rPr>
        <w:lang w:val="fr-CH"/>
      </w:rPr>
    </w:pPr>
    <w:r>
      <w:rPr>
        <w:lang w:val="fr-CH"/>
      </w:rPr>
      <w:t>INF.6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Default="00536D51" w:rsidP="002336BD">
    <w:pPr>
      <w:pStyle w:val="Header"/>
      <w:jc w:val="right"/>
    </w:pPr>
    <w:r>
      <w:rPr>
        <w:noProof/>
      </w:rPr>
      <w:t>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51" w:rsidRPr="00EC5E78" w:rsidRDefault="00536D51">
    <w:pPr>
      <w:pStyle w:val="Header"/>
      <w:jc w:val="right"/>
      <w:rPr>
        <w:bCs w:val="0"/>
        <w:sz w:val="24"/>
        <w:szCs w:val="24"/>
        <w:lang w:val="de-DE"/>
      </w:rPr>
    </w:pPr>
    <w:r w:rsidRPr="00EC5E78">
      <w:rPr>
        <w:bCs w:val="0"/>
        <w:sz w:val="24"/>
        <w:szCs w:val="24"/>
        <w:lang w:val="de-DE"/>
      </w:rPr>
      <w:t>INF.</w:t>
    </w:r>
    <w:r>
      <w:rPr>
        <w:bCs w:val="0"/>
        <w:sz w:val="24"/>
        <w:szCs w:val="24"/>
        <w:lang w:val="de-D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6392"/>
    <w:multiLevelType w:val="hybridMultilevel"/>
    <w:tmpl w:val="3EFCA7F4"/>
    <w:lvl w:ilvl="0" w:tplc="EC40D9C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AF434B"/>
    <w:multiLevelType w:val="hybridMultilevel"/>
    <w:tmpl w:val="9B848C9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849D2"/>
    <w:multiLevelType w:val="hybridMultilevel"/>
    <w:tmpl w:val="A2063A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527813B8"/>
    <w:multiLevelType w:val="hybridMultilevel"/>
    <w:tmpl w:val="413CE9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6CC04100"/>
    <w:multiLevelType w:val="hybridMultilevel"/>
    <w:tmpl w:val="14AC561E"/>
    <w:lvl w:ilvl="0" w:tplc="6DE8E9AC">
      <w:start w:val="1"/>
      <w:numFmt w:val="decimal"/>
      <w:lvlText w:val="%1."/>
      <w:lvlJc w:val="left"/>
      <w:pPr>
        <w:ind w:left="1832" w:hanging="555"/>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D8"/>
    <w:rsid w:val="000070B4"/>
    <w:rsid w:val="00015BF1"/>
    <w:rsid w:val="000179A4"/>
    <w:rsid w:val="00017E4D"/>
    <w:rsid w:val="00024F8E"/>
    <w:rsid w:val="000457B9"/>
    <w:rsid w:val="000641FD"/>
    <w:rsid w:val="0008320D"/>
    <w:rsid w:val="000874E4"/>
    <w:rsid w:val="000936F1"/>
    <w:rsid w:val="000A26D3"/>
    <w:rsid w:val="000C2BA3"/>
    <w:rsid w:val="000D34C7"/>
    <w:rsid w:val="001205F9"/>
    <w:rsid w:val="001220B8"/>
    <w:rsid w:val="00137831"/>
    <w:rsid w:val="00141D9B"/>
    <w:rsid w:val="00151891"/>
    <w:rsid w:val="00161120"/>
    <w:rsid w:val="00187BC4"/>
    <w:rsid w:val="00187D9F"/>
    <w:rsid w:val="00190903"/>
    <w:rsid w:val="001A7EE9"/>
    <w:rsid w:val="001D6122"/>
    <w:rsid w:val="001E04E3"/>
    <w:rsid w:val="001F33A2"/>
    <w:rsid w:val="001F752F"/>
    <w:rsid w:val="002014E1"/>
    <w:rsid w:val="00213FD3"/>
    <w:rsid w:val="002142B7"/>
    <w:rsid w:val="0021659D"/>
    <w:rsid w:val="002261EF"/>
    <w:rsid w:val="002336BD"/>
    <w:rsid w:val="00242D1E"/>
    <w:rsid w:val="00254315"/>
    <w:rsid w:val="00271CF9"/>
    <w:rsid w:val="002C35D6"/>
    <w:rsid w:val="002D0ED6"/>
    <w:rsid w:val="002D64A0"/>
    <w:rsid w:val="002F05DE"/>
    <w:rsid w:val="00303E11"/>
    <w:rsid w:val="00333662"/>
    <w:rsid w:val="003362E2"/>
    <w:rsid w:val="003504E3"/>
    <w:rsid w:val="00362467"/>
    <w:rsid w:val="0036476A"/>
    <w:rsid w:val="00373FFC"/>
    <w:rsid w:val="00375294"/>
    <w:rsid w:val="003764A4"/>
    <w:rsid w:val="00384A7A"/>
    <w:rsid w:val="003A5BD8"/>
    <w:rsid w:val="003C6F78"/>
    <w:rsid w:val="003D3576"/>
    <w:rsid w:val="003F01EE"/>
    <w:rsid w:val="003F0382"/>
    <w:rsid w:val="003F28A2"/>
    <w:rsid w:val="00403DE4"/>
    <w:rsid w:val="0040608C"/>
    <w:rsid w:val="00431E91"/>
    <w:rsid w:val="004339D9"/>
    <w:rsid w:val="00462E50"/>
    <w:rsid w:val="00472425"/>
    <w:rsid w:val="00474BF6"/>
    <w:rsid w:val="004C4F76"/>
    <w:rsid w:val="004C77E2"/>
    <w:rsid w:val="004D14E6"/>
    <w:rsid w:val="00501A1F"/>
    <w:rsid w:val="005027EB"/>
    <w:rsid w:val="0051219E"/>
    <w:rsid w:val="005349F3"/>
    <w:rsid w:val="00536D51"/>
    <w:rsid w:val="005956E5"/>
    <w:rsid w:val="005A7CE1"/>
    <w:rsid w:val="005B7023"/>
    <w:rsid w:val="005D2E6F"/>
    <w:rsid w:val="005E0EFB"/>
    <w:rsid w:val="00602AE6"/>
    <w:rsid w:val="00607FED"/>
    <w:rsid w:val="0062078A"/>
    <w:rsid w:val="00620D87"/>
    <w:rsid w:val="00647954"/>
    <w:rsid w:val="00651A71"/>
    <w:rsid w:val="006637BF"/>
    <w:rsid w:val="00670198"/>
    <w:rsid w:val="00685347"/>
    <w:rsid w:val="00686D56"/>
    <w:rsid w:val="00695B5C"/>
    <w:rsid w:val="006B1EB6"/>
    <w:rsid w:val="006B2F65"/>
    <w:rsid w:val="006C393D"/>
    <w:rsid w:val="006D6B3C"/>
    <w:rsid w:val="006E33B1"/>
    <w:rsid w:val="006E70B3"/>
    <w:rsid w:val="006F60FA"/>
    <w:rsid w:val="00716EB3"/>
    <w:rsid w:val="007423AB"/>
    <w:rsid w:val="00750B50"/>
    <w:rsid w:val="00757AF5"/>
    <w:rsid w:val="00780669"/>
    <w:rsid w:val="00792810"/>
    <w:rsid w:val="007B12E6"/>
    <w:rsid w:val="007B42B3"/>
    <w:rsid w:val="007C6664"/>
    <w:rsid w:val="007F04E6"/>
    <w:rsid w:val="007F29A4"/>
    <w:rsid w:val="00802C4D"/>
    <w:rsid w:val="00802D70"/>
    <w:rsid w:val="008032E6"/>
    <w:rsid w:val="00806771"/>
    <w:rsid w:val="00843A5D"/>
    <w:rsid w:val="00864617"/>
    <w:rsid w:val="00877FDE"/>
    <w:rsid w:val="008973D5"/>
    <w:rsid w:val="00897DCA"/>
    <w:rsid w:val="008B6640"/>
    <w:rsid w:val="008C3C0C"/>
    <w:rsid w:val="008D2452"/>
    <w:rsid w:val="009017E9"/>
    <w:rsid w:val="00905D1F"/>
    <w:rsid w:val="009061CE"/>
    <w:rsid w:val="00912DCF"/>
    <w:rsid w:val="009213E0"/>
    <w:rsid w:val="00933180"/>
    <w:rsid w:val="00964EFE"/>
    <w:rsid w:val="00980DC3"/>
    <w:rsid w:val="009963A0"/>
    <w:rsid w:val="009C6281"/>
    <w:rsid w:val="009D1DF4"/>
    <w:rsid w:val="009E2F16"/>
    <w:rsid w:val="009E3366"/>
    <w:rsid w:val="009F16A7"/>
    <w:rsid w:val="009F1A9C"/>
    <w:rsid w:val="009F49CC"/>
    <w:rsid w:val="00A127E6"/>
    <w:rsid w:val="00A179BF"/>
    <w:rsid w:val="00A245AC"/>
    <w:rsid w:val="00A3075F"/>
    <w:rsid w:val="00A33F2F"/>
    <w:rsid w:val="00A45128"/>
    <w:rsid w:val="00A46674"/>
    <w:rsid w:val="00A71474"/>
    <w:rsid w:val="00A7547B"/>
    <w:rsid w:val="00A86F11"/>
    <w:rsid w:val="00A91916"/>
    <w:rsid w:val="00A94787"/>
    <w:rsid w:val="00A94D8F"/>
    <w:rsid w:val="00AC5264"/>
    <w:rsid w:val="00AD1BBB"/>
    <w:rsid w:val="00AF7A54"/>
    <w:rsid w:val="00B05928"/>
    <w:rsid w:val="00B116DA"/>
    <w:rsid w:val="00B2686A"/>
    <w:rsid w:val="00B31EBB"/>
    <w:rsid w:val="00B4187D"/>
    <w:rsid w:val="00B44832"/>
    <w:rsid w:val="00B5178E"/>
    <w:rsid w:val="00B5791C"/>
    <w:rsid w:val="00B60F8F"/>
    <w:rsid w:val="00B7270E"/>
    <w:rsid w:val="00B7572A"/>
    <w:rsid w:val="00B819AF"/>
    <w:rsid w:val="00BA580B"/>
    <w:rsid w:val="00BB4822"/>
    <w:rsid w:val="00BC7FD8"/>
    <w:rsid w:val="00BD6384"/>
    <w:rsid w:val="00BE3193"/>
    <w:rsid w:val="00BF321D"/>
    <w:rsid w:val="00BF71B8"/>
    <w:rsid w:val="00BF7B77"/>
    <w:rsid w:val="00C126B0"/>
    <w:rsid w:val="00C44814"/>
    <w:rsid w:val="00C50817"/>
    <w:rsid w:val="00C558DB"/>
    <w:rsid w:val="00C73E96"/>
    <w:rsid w:val="00C85EBF"/>
    <w:rsid w:val="00C93F17"/>
    <w:rsid w:val="00CA459D"/>
    <w:rsid w:val="00CC50ED"/>
    <w:rsid w:val="00CD7258"/>
    <w:rsid w:val="00CE2A72"/>
    <w:rsid w:val="00D05339"/>
    <w:rsid w:val="00D15F0E"/>
    <w:rsid w:val="00D21770"/>
    <w:rsid w:val="00D22F04"/>
    <w:rsid w:val="00D27E23"/>
    <w:rsid w:val="00D41D96"/>
    <w:rsid w:val="00D56299"/>
    <w:rsid w:val="00DB4766"/>
    <w:rsid w:val="00DF5CAA"/>
    <w:rsid w:val="00E16B09"/>
    <w:rsid w:val="00E20810"/>
    <w:rsid w:val="00E21B22"/>
    <w:rsid w:val="00E27CEF"/>
    <w:rsid w:val="00E34660"/>
    <w:rsid w:val="00E35A01"/>
    <w:rsid w:val="00E42A41"/>
    <w:rsid w:val="00E57D9D"/>
    <w:rsid w:val="00E82272"/>
    <w:rsid w:val="00E83CD4"/>
    <w:rsid w:val="00E93E6F"/>
    <w:rsid w:val="00EA202E"/>
    <w:rsid w:val="00EC2FCE"/>
    <w:rsid w:val="00EE622E"/>
    <w:rsid w:val="00F120B4"/>
    <w:rsid w:val="00F42F28"/>
    <w:rsid w:val="00F50600"/>
    <w:rsid w:val="00F5592E"/>
    <w:rsid w:val="00F62886"/>
    <w:rsid w:val="00F661E0"/>
    <w:rsid w:val="00F822A4"/>
    <w:rsid w:val="00FA2EFF"/>
    <w:rsid w:val="00FB1245"/>
    <w:rsid w:val="00FC0AD0"/>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D8"/>
    <w:pPr>
      <w:spacing w:after="240"/>
    </w:pPr>
    <w:rPr>
      <w:rFonts w:ascii="Times New Roman" w:eastAsia="Times New Roman" w:hAnsi="Times New Roman"/>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A5BD8"/>
    <w:pPr>
      <w:spacing w:after="120"/>
      <w:ind w:left="1134" w:right="1134"/>
      <w:jc w:val="both"/>
    </w:pPr>
  </w:style>
  <w:style w:type="paragraph" w:customStyle="1" w:styleId="HChG">
    <w:name w:val="_ H _Ch_G"/>
    <w:basedOn w:val="Normal"/>
    <w:next w:val="Normal"/>
    <w:link w:val="HChGChar"/>
    <w:rsid w:val="003A5BD8"/>
    <w:pPr>
      <w:keepNext/>
      <w:keepLines/>
      <w:tabs>
        <w:tab w:val="right" w:pos="851"/>
      </w:tabs>
      <w:spacing w:before="360" w:line="300" w:lineRule="exact"/>
      <w:ind w:left="1134" w:right="1134" w:hanging="1134"/>
    </w:pPr>
    <w:rPr>
      <w:b/>
      <w:bCs/>
      <w:sz w:val="28"/>
      <w:szCs w:val="28"/>
    </w:rPr>
  </w:style>
  <w:style w:type="character" w:styleId="PageNumber">
    <w:name w:val="page number"/>
    <w:aliases w:val="7_G"/>
    <w:rsid w:val="003A5BD8"/>
    <w:rPr>
      <w:rFonts w:ascii="Times New Roman" w:hAnsi="Times New Roman" w:cs="Times New Roman"/>
      <w:b/>
      <w:bCs/>
      <w:sz w:val="18"/>
      <w:szCs w:val="18"/>
    </w:rPr>
  </w:style>
  <w:style w:type="paragraph" w:customStyle="1" w:styleId="H1G">
    <w:name w:val="_ H_1_G"/>
    <w:basedOn w:val="Normal"/>
    <w:next w:val="Normal"/>
    <w:link w:val="H1GChar"/>
    <w:rsid w:val="003A5BD8"/>
    <w:pPr>
      <w:keepNext/>
      <w:keepLines/>
      <w:tabs>
        <w:tab w:val="right" w:pos="851"/>
      </w:tabs>
      <w:spacing w:before="360" w:line="270" w:lineRule="exact"/>
      <w:ind w:left="1134" w:right="1134" w:hanging="1134"/>
    </w:pPr>
    <w:rPr>
      <w:b/>
      <w:bCs/>
    </w:rPr>
  </w:style>
  <w:style w:type="paragraph" w:styleId="Footer">
    <w:name w:val="footer"/>
    <w:aliases w:val="3_G"/>
    <w:basedOn w:val="Normal"/>
    <w:link w:val="FooterChar"/>
    <w:rsid w:val="003A5BD8"/>
    <w:rPr>
      <w:sz w:val="16"/>
      <w:szCs w:val="16"/>
    </w:rPr>
  </w:style>
  <w:style w:type="character" w:customStyle="1" w:styleId="FooterChar">
    <w:name w:val="Footer Char"/>
    <w:aliases w:val="3_G Char"/>
    <w:link w:val="Footer"/>
    <w:rsid w:val="003A5BD8"/>
    <w:rPr>
      <w:rFonts w:ascii="Times New Roman" w:eastAsia="Times New Roman" w:hAnsi="Times New Roman" w:cs="Times New Roman"/>
      <w:snapToGrid w:val="0"/>
      <w:sz w:val="16"/>
      <w:szCs w:val="16"/>
      <w:lang w:eastAsia="de-DE"/>
    </w:rPr>
  </w:style>
  <w:style w:type="paragraph" w:styleId="Header">
    <w:name w:val="header"/>
    <w:aliases w:val="6_G"/>
    <w:basedOn w:val="Normal"/>
    <w:link w:val="HeaderChar"/>
    <w:rsid w:val="003A5BD8"/>
    <w:pPr>
      <w:pBdr>
        <w:bottom w:val="single" w:sz="4" w:space="4" w:color="auto"/>
      </w:pBdr>
    </w:pPr>
    <w:rPr>
      <w:b/>
      <w:bCs/>
      <w:sz w:val="18"/>
      <w:szCs w:val="18"/>
    </w:rPr>
  </w:style>
  <w:style w:type="character" w:customStyle="1" w:styleId="HeaderChar">
    <w:name w:val="Header Char"/>
    <w:aliases w:val="6_G Char"/>
    <w:link w:val="Header"/>
    <w:rsid w:val="003A5BD8"/>
    <w:rPr>
      <w:rFonts w:ascii="Times New Roman" w:eastAsia="Times New Roman" w:hAnsi="Times New Roman" w:cs="Times New Roman"/>
      <w:b/>
      <w:bCs/>
      <w:snapToGrid w:val="0"/>
      <w:sz w:val="18"/>
      <w:szCs w:val="18"/>
      <w:lang w:eastAsia="de-DE"/>
    </w:rPr>
  </w:style>
  <w:style w:type="character" w:customStyle="1" w:styleId="SingleTxtGChar">
    <w:name w:val="_ Single Txt_G Char"/>
    <w:link w:val="SingleTxtG"/>
    <w:rsid w:val="003A5BD8"/>
    <w:rPr>
      <w:rFonts w:ascii="Times New Roman" w:eastAsia="Times New Roman" w:hAnsi="Times New Roman" w:cs="Times New Roman"/>
      <w:snapToGrid w:val="0"/>
      <w:sz w:val="24"/>
      <w:szCs w:val="24"/>
      <w:lang w:eastAsia="de-DE"/>
    </w:rPr>
  </w:style>
  <w:style w:type="character" w:customStyle="1" w:styleId="H1GChar">
    <w:name w:val="_ H_1_G Char"/>
    <w:link w:val="H1G"/>
    <w:rsid w:val="003A5BD8"/>
    <w:rPr>
      <w:rFonts w:ascii="Times New Roman" w:eastAsia="Times New Roman" w:hAnsi="Times New Roman" w:cs="Times New Roman"/>
      <w:b/>
      <w:bCs/>
      <w:snapToGrid w:val="0"/>
      <w:sz w:val="24"/>
      <w:szCs w:val="24"/>
      <w:lang w:eastAsia="de-DE"/>
    </w:rPr>
  </w:style>
  <w:style w:type="paragraph" w:styleId="Revision">
    <w:name w:val="Revision"/>
    <w:hidden/>
    <w:uiPriority w:val="99"/>
    <w:semiHidden/>
    <w:rsid w:val="006E33B1"/>
    <w:rPr>
      <w:rFonts w:ascii="Times New Roman" w:eastAsia="Times New Roman" w:hAnsi="Times New Roman"/>
      <w:snapToGrid w:val="0"/>
      <w:sz w:val="24"/>
      <w:szCs w:val="24"/>
      <w:lang w:eastAsia="de-DE"/>
    </w:rPr>
  </w:style>
  <w:style w:type="paragraph" w:styleId="BalloonText">
    <w:name w:val="Balloon Text"/>
    <w:basedOn w:val="Normal"/>
    <w:link w:val="BalloonTextChar"/>
    <w:uiPriority w:val="99"/>
    <w:semiHidden/>
    <w:unhideWhenUsed/>
    <w:rsid w:val="006E33B1"/>
    <w:pPr>
      <w:spacing w:after="0"/>
    </w:pPr>
    <w:rPr>
      <w:rFonts w:ascii="Tahoma" w:hAnsi="Tahoma" w:cs="Tahoma"/>
      <w:sz w:val="16"/>
      <w:szCs w:val="16"/>
    </w:rPr>
  </w:style>
  <w:style w:type="character" w:customStyle="1" w:styleId="BalloonTextChar">
    <w:name w:val="Balloon Text Char"/>
    <w:link w:val="BalloonText"/>
    <w:uiPriority w:val="99"/>
    <w:semiHidden/>
    <w:rsid w:val="006E33B1"/>
    <w:rPr>
      <w:rFonts w:ascii="Tahoma" w:eastAsia="Times New Roman" w:hAnsi="Tahoma" w:cs="Tahoma"/>
      <w:snapToGrid w:val="0"/>
      <w:sz w:val="16"/>
      <w:szCs w:val="16"/>
      <w:lang w:eastAsia="de-DE"/>
    </w:rPr>
  </w:style>
  <w:style w:type="paragraph" w:styleId="FootnoteText">
    <w:name w:val="footnote text"/>
    <w:basedOn w:val="Normal"/>
    <w:link w:val="FootnoteTextChar"/>
    <w:uiPriority w:val="99"/>
    <w:semiHidden/>
    <w:unhideWhenUsed/>
    <w:rsid w:val="002261EF"/>
    <w:pPr>
      <w:spacing w:after="0"/>
    </w:pPr>
    <w:rPr>
      <w:sz w:val="20"/>
      <w:szCs w:val="20"/>
    </w:rPr>
  </w:style>
  <w:style w:type="character" w:customStyle="1" w:styleId="FootnoteTextChar">
    <w:name w:val="Footnote Text Char"/>
    <w:link w:val="FootnoteText"/>
    <w:uiPriority w:val="99"/>
    <w:semiHidden/>
    <w:rsid w:val="002261EF"/>
    <w:rPr>
      <w:rFonts w:ascii="Times New Roman" w:eastAsia="Times New Roman" w:hAnsi="Times New Roman" w:cs="Times New Roman"/>
      <w:snapToGrid w:val="0"/>
      <w:sz w:val="20"/>
      <w:szCs w:val="20"/>
      <w:lang w:eastAsia="de-DE"/>
    </w:rPr>
  </w:style>
  <w:style w:type="character" w:styleId="FootnoteReference">
    <w:name w:val="footnote reference"/>
    <w:uiPriority w:val="99"/>
    <w:semiHidden/>
    <w:unhideWhenUsed/>
    <w:rsid w:val="002261EF"/>
    <w:rPr>
      <w:vertAlign w:val="superscript"/>
    </w:rPr>
  </w:style>
  <w:style w:type="character" w:styleId="Hyperlink">
    <w:name w:val="Hyperlink"/>
    <w:uiPriority w:val="99"/>
    <w:unhideWhenUsed/>
    <w:rsid w:val="007F04E6"/>
    <w:rPr>
      <w:color w:val="0000FF"/>
      <w:u w:val="single"/>
    </w:rPr>
  </w:style>
  <w:style w:type="paragraph" w:customStyle="1" w:styleId="Default">
    <w:name w:val="Default"/>
    <w:rsid w:val="007F04E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CA459D"/>
    <w:rPr>
      <w:sz w:val="16"/>
      <w:szCs w:val="16"/>
    </w:rPr>
  </w:style>
  <w:style w:type="paragraph" w:styleId="CommentText">
    <w:name w:val="annotation text"/>
    <w:basedOn w:val="Normal"/>
    <w:link w:val="CommentTextChar"/>
    <w:uiPriority w:val="99"/>
    <w:semiHidden/>
    <w:unhideWhenUsed/>
    <w:rsid w:val="00CA459D"/>
    <w:rPr>
      <w:sz w:val="20"/>
      <w:szCs w:val="20"/>
    </w:rPr>
  </w:style>
  <w:style w:type="character" w:customStyle="1" w:styleId="CommentTextChar">
    <w:name w:val="Comment Text Char"/>
    <w:link w:val="CommentText"/>
    <w:uiPriority w:val="99"/>
    <w:semiHidden/>
    <w:rsid w:val="00CA459D"/>
    <w:rPr>
      <w:rFonts w:ascii="Times New Roman" w:eastAsia="Times New Roman" w:hAnsi="Times New Roman"/>
      <w:snapToGrid w:val="0"/>
      <w:lang w:val="en-GB" w:eastAsia="de-DE"/>
    </w:rPr>
  </w:style>
  <w:style w:type="paragraph" w:styleId="CommentSubject">
    <w:name w:val="annotation subject"/>
    <w:basedOn w:val="CommentText"/>
    <w:next w:val="CommentText"/>
    <w:link w:val="CommentSubjectChar"/>
    <w:uiPriority w:val="99"/>
    <w:semiHidden/>
    <w:unhideWhenUsed/>
    <w:rsid w:val="00CA459D"/>
    <w:rPr>
      <w:b/>
      <w:bCs/>
    </w:rPr>
  </w:style>
  <w:style w:type="character" w:customStyle="1" w:styleId="CommentSubjectChar">
    <w:name w:val="Comment Subject Char"/>
    <w:link w:val="CommentSubject"/>
    <w:uiPriority w:val="99"/>
    <w:semiHidden/>
    <w:rsid w:val="00CA459D"/>
    <w:rPr>
      <w:rFonts w:ascii="Times New Roman" w:eastAsia="Times New Roman" w:hAnsi="Times New Roman"/>
      <w:b/>
      <w:bCs/>
      <w:snapToGrid w:val="0"/>
      <w:lang w:val="en-GB" w:eastAsia="de-DE"/>
    </w:rPr>
  </w:style>
  <w:style w:type="paragraph" w:customStyle="1" w:styleId="Bullet1G">
    <w:name w:val="_Bullet 1_G"/>
    <w:basedOn w:val="Normal"/>
    <w:rsid w:val="007F29A4"/>
    <w:pPr>
      <w:numPr>
        <w:numId w:val="5"/>
      </w:numPr>
      <w:suppressAutoHyphens/>
      <w:spacing w:after="120" w:line="240" w:lineRule="atLeast"/>
      <w:ind w:right="1134"/>
      <w:jc w:val="both"/>
    </w:pPr>
    <w:rPr>
      <w:snapToGrid/>
      <w:sz w:val="20"/>
      <w:szCs w:val="20"/>
      <w:lang w:eastAsia="en-US"/>
    </w:rPr>
  </w:style>
  <w:style w:type="character" w:customStyle="1" w:styleId="HChGChar">
    <w:name w:val="_ H _Ch_G Char"/>
    <w:link w:val="HChG"/>
    <w:rsid w:val="007F29A4"/>
    <w:rPr>
      <w:rFonts w:ascii="Times New Roman" w:eastAsia="Times New Roman" w:hAnsi="Times New Roman"/>
      <w:b/>
      <w:bCs/>
      <w:snapToGrid w:val="0"/>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D8"/>
    <w:pPr>
      <w:spacing w:after="240"/>
    </w:pPr>
    <w:rPr>
      <w:rFonts w:ascii="Times New Roman" w:eastAsia="Times New Roman" w:hAnsi="Times New Roman"/>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A5BD8"/>
    <w:pPr>
      <w:spacing w:after="120"/>
      <w:ind w:left="1134" w:right="1134"/>
      <w:jc w:val="both"/>
    </w:pPr>
  </w:style>
  <w:style w:type="paragraph" w:customStyle="1" w:styleId="HChG">
    <w:name w:val="_ H _Ch_G"/>
    <w:basedOn w:val="Normal"/>
    <w:next w:val="Normal"/>
    <w:link w:val="HChGChar"/>
    <w:rsid w:val="003A5BD8"/>
    <w:pPr>
      <w:keepNext/>
      <w:keepLines/>
      <w:tabs>
        <w:tab w:val="right" w:pos="851"/>
      </w:tabs>
      <w:spacing w:before="360" w:line="300" w:lineRule="exact"/>
      <w:ind w:left="1134" w:right="1134" w:hanging="1134"/>
    </w:pPr>
    <w:rPr>
      <w:b/>
      <w:bCs/>
      <w:sz w:val="28"/>
      <w:szCs w:val="28"/>
    </w:rPr>
  </w:style>
  <w:style w:type="character" w:styleId="PageNumber">
    <w:name w:val="page number"/>
    <w:aliases w:val="7_G"/>
    <w:rsid w:val="003A5BD8"/>
    <w:rPr>
      <w:rFonts w:ascii="Times New Roman" w:hAnsi="Times New Roman" w:cs="Times New Roman"/>
      <w:b/>
      <w:bCs/>
      <w:sz w:val="18"/>
      <w:szCs w:val="18"/>
    </w:rPr>
  </w:style>
  <w:style w:type="paragraph" w:customStyle="1" w:styleId="H1G">
    <w:name w:val="_ H_1_G"/>
    <w:basedOn w:val="Normal"/>
    <w:next w:val="Normal"/>
    <w:link w:val="H1GChar"/>
    <w:rsid w:val="003A5BD8"/>
    <w:pPr>
      <w:keepNext/>
      <w:keepLines/>
      <w:tabs>
        <w:tab w:val="right" w:pos="851"/>
      </w:tabs>
      <w:spacing w:before="360" w:line="270" w:lineRule="exact"/>
      <w:ind w:left="1134" w:right="1134" w:hanging="1134"/>
    </w:pPr>
    <w:rPr>
      <w:b/>
      <w:bCs/>
    </w:rPr>
  </w:style>
  <w:style w:type="paragraph" w:styleId="Footer">
    <w:name w:val="footer"/>
    <w:aliases w:val="3_G"/>
    <w:basedOn w:val="Normal"/>
    <w:link w:val="FooterChar"/>
    <w:rsid w:val="003A5BD8"/>
    <w:rPr>
      <w:sz w:val="16"/>
      <w:szCs w:val="16"/>
    </w:rPr>
  </w:style>
  <w:style w:type="character" w:customStyle="1" w:styleId="FooterChar">
    <w:name w:val="Footer Char"/>
    <w:aliases w:val="3_G Char"/>
    <w:link w:val="Footer"/>
    <w:rsid w:val="003A5BD8"/>
    <w:rPr>
      <w:rFonts w:ascii="Times New Roman" w:eastAsia="Times New Roman" w:hAnsi="Times New Roman" w:cs="Times New Roman"/>
      <w:snapToGrid w:val="0"/>
      <w:sz w:val="16"/>
      <w:szCs w:val="16"/>
      <w:lang w:eastAsia="de-DE"/>
    </w:rPr>
  </w:style>
  <w:style w:type="paragraph" w:styleId="Header">
    <w:name w:val="header"/>
    <w:aliases w:val="6_G"/>
    <w:basedOn w:val="Normal"/>
    <w:link w:val="HeaderChar"/>
    <w:rsid w:val="003A5BD8"/>
    <w:pPr>
      <w:pBdr>
        <w:bottom w:val="single" w:sz="4" w:space="4" w:color="auto"/>
      </w:pBdr>
    </w:pPr>
    <w:rPr>
      <w:b/>
      <w:bCs/>
      <w:sz w:val="18"/>
      <w:szCs w:val="18"/>
    </w:rPr>
  </w:style>
  <w:style w:type="character" w:customStyle="1" w:styleId="HeaderChar">
    <w:name w:val="Header Char"/>
    <w:aliases w:val="6_G Char"/>
    <w:link w:val="Header"/>
    <w:rsid w:val="003A5BD8"/>
    <w:rPr>
      <w:rFonts w:ascii="Times New Roman" w:eastAsia="Times New Roman" w:hAnsi="Times New Roman" w:cs="Times New Roman"/>
      <w:b/>
      <w:bCs/>
      <w:snapToGrid w:val="0"/>
      <w:sz w:val="18"/>
      <w:szCs w:val="18"/>
      <w:lang w:eastAsia="de-DE"/>
    </w:rPr>
  </w:style>
  <w:style w:type="character" w:customStyle="1" w:styleId="SingleTxtGChar">
    <w:name w:val="_ Single Txt_G Char"/>
    <w:link w:val="SingleTxtG"/>
    <w:rsid w:val="003A5BD8"/>
    <w:rPr>
      <w:rFonts w:ascii="Times New Roman" w:eastAsia="Times New Roman" w:hAnsi="Times New Roman" w:cs="Times New Roman"/>
      <w:snapToGrid w:val="0"/>
      <w:sz w:val="24"/>
      <w:szCs w:val="24"/>
      <w:lang w:eastAsia="de-DE"/>
    </w:rPr>
  </w:style>
  <w:style w:type="character" w:customStyle="1" w:styleId="H1GChar">
    <w:name w:val="_ H_1_G Char"/>
    <w:link w:val="H1G"/>
    <w:rsid w:val="003A5BD8"/>
    <w:rPr>
      <w:rFonts w:ascii="Times New Roman" w:eastAsia="Times New Roman" w:hAnsi="Times New Roman" w:cs="Times New Roman"/>
      <w:b/>
      <w:bCs/>
      <w:snapToGrid w:val="0"/>
      <w:sz w:val="24"/>
      <w:szCs w:val="24"/>
      <w:lang w:eastAsia="de-DE"/>
    </w:rPr>
  </w:style>
  <w:style w:type="paragraph" w:styleId="Revision">
    <w:name w:val="Revision"/>
    <w:hidden/>
    <w:uiPriority w:val="99"/>
    <w:semiHidden/>
    <w:rsid w:val="006E33B1"/>
    <w:rPr>
      <w:rFonts w:ascii="Times New Roman" w:eastAsia="Times New Roman" w:hAnsi="Times New Roman"/>
      <w:snapToGrid w:val="0"/>
      <w:sz w:val="24"/>
      <w:szCs w:val="24"/>
      <w:lang w:eastAsia="de-DE"/>
    </w:rPr>
  </w:style>
  <w:style w:type="paragraph" w:styleId="BalloonText">
    <w:name w:val="Balloon Text"/>
    <w:basedOn w:val="Normal"/>
    <w:link w:val="BalloonTextChar"/>
    <w:uiPriority w:val="99"/>
    <w:semiHidden/>
    <w:unhideWhenUsed/>
    <w:rsid w:val="006E33B1"/>
    <w:pPr>
      <w:spacing w:after="0"/>
    </w:pPr>
    <w:rPr>
      <w:rFonts w:ascii="Tahoma" w:hAnsi="Tahoma" w:cs="Tahoma"/>
      <w:sz w:val="16"/>
      <w:szCs w:val="16"/>
    </w:rPr>
  </w:style>
  <w:style w:type="character" w:customStyle="1" w:styleId="BalloonTextChar">
    <w:name w:val="Balloon Text Char"/>
    <w:link w:val="BalloonText"/>
    <w:uiPriority w:val="99"/>
    <w:semiHidden/>
    <w:rsid w:val="006E33B1"/>
    <w:rPr>
      <w:rFonts w:ascii="Tahoma" w:eastAsia="Times New Roman" w:hAnsi="Tahoma" w:cs="Tahoma"/>
      <w:snapToGrid w:val="0"/>
      <w:sz w:val="16"/>
      <w:szCs w:val="16"/>
      <w:lang w:eastAsia="de-DE"/>
    </w:rPr>
  </w:style>
  <w:style w:type="paragraph" w:styleId="FootnoteText">
    <w:name w:val="footnote text"/>
    <w:basedOn w:val="Normal"/>
    <w:link w:val="FootnoteTextChar"/>
    <w:uiPriority w:val="99"/>
    <w:semiHidden/>
    <w:unhideWhenUsed/>
    <w:rsid w:val="002261EF"/>
    <w:pPr>
      <w:spacing w:after="0"/>
    </w:pPr>
    <w:rPr>
      <w:sz w:val="20"/>
      <w:szCs w:val="20"/>
    </w:rPr>
  </w:style>
  <w:style w:type="character" w:customStyle="1" w:styleId="FootnoteTextChar">
    <w:name w:val="Footnote Text Char"/>
    <w:link w:val="FootnoteText"/>
    <w:uiPriority w:val="99"/>
    <w:semiHidden/>
    <w:rsid w:val="002261EF"/>
    <w:rPr>
      <w:rFonts w:ascii="Times New Roman" w:eastAsia="Times New Roman" w:hAnsi="Times New Roman" w:cs="Times New Roman"/>
      <w:snapToGrid w:val="0"/>
      <w:sz w:val="20"/>
      <w:szCs w:val="20"/>
      <w:lang w:eastAsia="de-DE"/>
    </w:rPr>
  </w:style>
  <w:style w:type="character" w:styleId="FootnoteReference">
    <w:name w:val="footnote reference"/>
    <w:uiPriority w:val="99"/>
    <w:semiHidden/>
    <w:unhideWhenUsed/>
    <w:rsid w:val="002261EF"/>
    <w:rPr>
      <w:vertAlign w:val="superscript"/>
    </w:rPr>
  </w:style>
  <w:style w:type="character" w:styleId="Hyperlink">
    <w:name w:val="Hyperlink"/>
    <w:uiPriority w:val="99"/>
    <w:unhideWhenUsed/>
    <w:rsid w:val="007F04E6"/>
    <w:rPr>
      <w:color w:val="0000FF"/>
      <w:u w:val="single"/>
    </w:rPr>
  </w:style>
  <w:style w:type="paragraph" w:customStyle="1" w:styleId="Default">
    <w:name w:val="Default"/>
    <w:rsid w:val="007F04E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CA459D"/>
    <w:rPr>
      <w:sz w:val="16"/>
      <w:szCs w:val="16"/>
    </w:rPr>
  </w:style>
  <w:style w:type="paragraph" w:styleId="CommentText">
    <w:name w:val="annotation text"/>
    <w:basedOn w:val="Normal"/>
    <w:link w:val="CommentTextChar"/>
    <w:uiPriority w:val="99"/>
    <w:semiHidden/>
    <w:unhideWhenUsed/>
    <w:rsid w:val="00CA459D"/>
    <w:rPr>
      <w:sz w:val="20"/>
      <w:szCs w:val="20"/>
    </w:rPr>
  </w:style>
  <w:style w:type="character" w:customStyle="1" w:styleId="CommentTextChar">
    <w:name w:val="Comment Text Char"/>
    <w:link w:val="CommentText"/>
    <w:uiPriority w:val="99"/>
    <w:semiHidden/>
    <w:rsid w:val="00CA459D"/>
    <w:rPr>
      <w:rFonts w:ascii="Times New Roman" w:eastAsia="Times New Roman" w:hAnsi="Times New Roman"/>
      <w:snapToGrid w:val="0"/>
      <w:lang w:val="en-GB" w:eastAsia="de-DE"/>
    </w:rPr>
  </w:style>
  <w:style w:type="paragraph" w:styleId="CommentSubject">
    <w:name w:val="annotation subject"/>
    <w:basedOn w:val="CommentText"/>
    <w:next w:val="CommentText"/>
    <w:link w:val="CommentSubjectChar"/>
    <w:uiPriority w:val="99"/>
    <w:semiHidden/>
    <w:unhideWhenUsed/>
    <w:rsid w:val="00CA459D"/>
    <w:rPr>
      <w:b/>
      <w:bCs/>
    </w:rPr>
  </w:style>
  <w:style w:type="character" w:customStyle="1" w:styleId="CommentSubjectChar">
    <w:name w:val="Comment Subject Char"/>
    <w:link w:val="CommentSubject"/>
    <w:uiPriority w:val="99"/>
    <w:semiHidden/>
    <w:rsid w:val="00CA459D"/>
    <w:rPr>
      <w:rFonts w:ascii="Times New Roman" w:eastAsia="Times New Roman" w:hAnsi="Times New Roman"/>
      <w:b/>
      <w:bCs/>
      <w:snapToGrid w:val="0"/>
      <w:lang w:val="en-GB" w:eastAsia="de-DE"/>
    </w:rPr>
  </w:style>
  <w:style w:type="paragraph" w:customStyle="1" w:styleId="Bullet1G">
    <w:name w:val="_Bullet 1_G"/>
    <w:basedOn w:val="Normal"/>
    <w:rsid w:val="007F29A4"/>
    <w:pPr>
      <w:numPr>
        <w:numId w:val="5"/>
      </w:numPr>
      <w:suppressAutoHyphens/>
      <w:spacing w:after="120" w:line="240" w:lineRule="atLeast"/>
      <w:ind w:right="1134"/>
      <w:jc w:val="both"/>
    </w:pPr>
    <w:rPr>
      <w:snapToGrid/>
      <w:sz w:val="20"/>
      <w:szCs w:val="20"/>
      <w:lang w:eastAsia="en-US"/>
    </w:rPr>
  </w:style>
  <w:style w:type="character" w:customStyle="1" w:styleId="HChGChar">
    <w:name w:val="_ H _Ch_G Char"/>
    <w:link w:val="HChG"/>
    <w:rsid w:val="007F29A4"/>
    <w:rPr>
      <w:rFonts w:ascii="Times New Roman" w:eastAsia="Times New Roman" w:hAnsi="Times New Roman"/>
      <w:b/>
      <w:bCs/>
      <w:snapToGrid w:val="0"/>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69F0-41D9-4D05-BCA0-3AB663B0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1489</Words>
  <Characters>8491</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dc:creator>
  <cp:lastModifiedBy>barrio-champeau</cp:lastModifiedBy>
  <cp:revision>9</cp:revision>
  <cp:lastPrinted>2015-08-31T13:20:00Z</cp:lastPrinted>
  <dcterms:created xsi:type="dcterms:W3CDTF">2015-10-16T08:14:00Z</dcterms:created>
  <dcterms:modified xsi:type="dcterms:W3CDTF">2015-10-16T12:44:00Z</dcterms:modified>
</cp:coreProperties>
</file>