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97" w:rsidRPr="00B6409B" w:rsidRDefault="00F51197" w:rsidP="00F51197">
      <w:pPr>
        <w:spacing w:line="240" w:lineRule="auto"/>
        <w:rPr>
          <w:sz w:val="2"/>
        </w:rPr>
        <w:sectPr w:rsidR="00F51197" w:rsidRPr="00B6409B" w:rsidSect="00F5119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9" w:h="16834" w:code="1"/>
          <w:pgMar w:top="1742" w:right="936" w:bottom="1898" w:left="936" w:header="576" w:footer="1030" w:gutter="0"/>
          <w:pgNumType w:start="1"/>
          <w:cols w:space="720"/>
          <w:noEndnote/>
          <w:titlePg/>
          <w:docGrid w:linePitch="278"/>
        </w:sectPr>
      </w:pPr>
      <w:bookmarkStart w:id="0" w:name="_GoBack"/>
      <w:bookmarkEnd w:id="0"/>
    </w:p>
    <w:p w:rsidR="00F51197" w:rsidRPr="00B6409B" w:rsidRDefault="00F51197" w:rsidP="00F51197">
      <w:pPr>
        <w:pStyle w:val="H1"/>
        <w:spacing w:before="120"/>
        <w:rPr>
          <w:sz w:val="28"/>
        </w:rPr>
      </w:pPr>
      <w:r w:rsidRPr="00B6409B">
        <w:rPr>
          <w:sz w:val="28"/>
        </w:rPr>
        <w:lastRenderedPageBreak/>
        <w:t>Economic Commission for Europe</w:t>
      </w:r>
    </w:p>
    <w:p w:rsidR="00F51197" w:rsidRPr="00B6409B" w:rsidRDefault="00F51197" w:rsidP="00F51197">
      <w:pPr>
        <w:pStyle w:val="H1"/>
        <w:spacing w:line="120" w:lineRule="exact"/>
        <w:rPr>
          <w:sz w:val="10"/>
        </w:rPr>
      </w:pPr>
    </w:p>
    <w:p w:rsidR="00F51197" w:rsidRPr="00B6409B" w:rsidRDefault="00F51197" w:rsidP="00F51197">
      <w:pPr>
        <w:pStyle w:val="H1"/>
        <w:rPr>
          <w:b w:val="0"/>
          <w:sz w:val="28"/>
        </w:rPr>
      </w:pPr>
      <w:r w:rsidRPr="00B6409B">
        <w:rPr>
          <w:b w:val="0"/>
          <w:sz w:val="28"/>
        </w:rPr>
        <w:t>Inland Transport Committee</w:t>
      </w:r>
    </w:p>
    <w:p w:rsidR="00F51197" w:rsidRPr="00B6409B" w:rsidRDefault="00F51197" w:rsidP="00F51197">
      <w:pPr>
        <w:pStyle w:val="H1"/>
        <w:spacing w:line="120" w:lineRule="exact"/>
        <w:rPr>
          <w:b w:val="0"/>
          <w:sz w:val="10"/>
        </w:rPr>
      </w:pPr>
    </w:p>
    <w:p w:rsidR="00F51197" w:rsidRPr="00B6409B" w:rsidRDefault="00F51197" w:rsidP="00F51197">
      <w:pPr>
        <w:pStyle w:val="H23"/>
        <w:rPr>
          <w:sz w:val="24"/>
        </w:rPr>
      </w:pPr>
      <w:r w:rsidRPr="00B6409B">
        <w:rPr>
          <w:sz w:val="24"/>
        </w:rPr>
        <w:t xml:space="preserve">Working Party on the Transport of </w:t>
      </w:r>
      <w:r w:rsidR="00743839" w:rsidRPr="00743839">
        <w:rPr>
          <w:sz w:val="24"/>
        </w:rPr>
        <w:t>Dangerous Goods</w:t>
      </w:r>
    </w:p>
    <w:p w:rsidR="00743839" w:rsidRPr="00743839" w:rsidRDefault="00743839" w:rsidP="00743839">
      <w:pPr>
        <w:pStyle w:val="H23"/>
        <w:spacing w:line="120" w:lineRule="exact"/>
        <w:ind w:right="1260"/>
        <w:rPr>
          <w:sz w:val="10"/>
        </w:rPr>
      </w:pPr>
    </w:p>
    <w:p w:rsidR="00743839" w:rsidRPr="00E51153" w:rsidRDefault="00743839" w:rsidP="00743839">
      <w:pPr>
        <w:pStyle w:val="H23"/>
        <w:ind w:right="1260"/>
      </w:pPr>
      <w:r w:rsidRPr="00E51153">
        <w:t xml:space="preserve">Ninety-ninth </w:t>
      </w:r>
      <w:proofErr w:type="gramStart"/>
      <w:r w:rsidRPr="00E51153">
        <w:t>session</w:t>
      </w:r>
      <w:proofErr w:type="gramEnd"/>
    </w:p>
    <w:p w:rsidR="00743839" w:rsidRPr="00E51153" w:rsidRDefault="00743839" w:rsidP="0085158E">
      <w:r w:rsidRPr="00E51153">
        <w:t>Geneva, 9</w:t>
      </w:r>
      <w:r w:rsidR="0085158E">
        <w:t>-</w:t>
      </w:r>
      <w:r w:rsidRPr="00E51153">
        <w:t>13</w:t>
      </w:r>
      <w:r>
        <w:t xml:space="preserve"> </w:t>
      </w:r>
      <w:r w:rsidRPr="00E51153">
        <w:t>November 2015</w:t>
      </w:r>
    </w:p>
    <w:p w:rsidR="00743839" w:rsidRPr="00E51153" w:rsidRDefault="00743839" w:rsidP="00743839">
      <w:r w:rsidRPr="00E51153">
        <w:t>Item 6 (b) of the provisional agenda</w:t>
      </w:r>
    </w:p>
    <w:p w:rsidR="00743839" w:rsidRPr="00743839" w:rsidRDefault="00743839" w:rsidP="00AA7AF6">
      <w:pPr>
        <w:rPr>
          <w:b/>
          <w:bCs/>
        </w:rPr>
      </w:pPr>
      <w:r w:rsidRPr="00743839">
        <w:rPr>
          <w:b/>
          <w:bCs/>
        </w:rPr>
        <w:t>Proposals for amendments to annexes A and B of ADR</w:t>
      </w:r>
      <w:proofErr w:type="gramStart"/>
      <w:r w:rsidRPr="00743839">
        <w:rPr>
          <w:b/>
          <w:bCs/>
        </w:rPr>
        <w:t>:</w:t>
      </w:r>
      <w:proofErr w:type="gramEnd"/>
      <w:r w:rsidRPr="00743839">
        <w:rPr>
          <w:b/>
          <w:bCs/>
        </w:rPr>
        <w:br/>
        <w:t>Miscellaneous proposals</w:t>
      </w:r>
    </w:p>
    <w:p w:rsidR="00743839" w:rsidRPr="00743839" w:rsidRDefault="00743839" w:rsidP="00743839">
      <w:pPr>
        <w:pStyle w:val="HCh"/>
        <w:tabs>
          <w:tab w:val="clear" w:pos="1742"/>
        </w:tabs>
        <w:spacing w:line="120" w:lineRule="exact"/>
        <w:rPr>
          <w:sz w:val="10"/>
        </w:rPr>
      </w:pPr>
    </w:p>
    <w:p w:rsidR="00743839" w:rsidRPr="00743839" w:rsidRDefault="00743839" w:rsidP="00743839">
      <w:pPr>
        <w:pStyle w:val="HCh"/>
        <w:tabs>
          <w:tab w:val="clear" w:pos="1742"/>
        </w:tabs>
        <w:spacing w:line="120" w:lineRule="exact"/>
        <w:rPr>
          <w:sz w:val="10"/>
        </w:rPr>
      </w:pPr>
    </w:p>
    <w:p w:rsidR="00743839" w:rsidRDefault="00743839" w:rsidP="00743839">
      <w:pPr>
        <w:pStyle w:val="HCh"/>
        <w:ind w:left="1267" w:right="1260" w:hanging="1267"/>
      </w:pPr>
      <w:r w:rsidRPr="00E51153">
        <w:tab/>
      </w:r>
      <w:r>
        <w:tab/>
      </w:r>
      <w:r w:rsidRPr="00E51153">
        <w:t>Limitations with respect to explosive substances and articles — application of the table in 7.5.5.2.1</w:t>
      </w:r>
    </w:p>
    <w:p w:rsidR="00743839" w:rsidRPr="00743839" w:rsidRDefault="00743839" w:rsidP="00743839">
      <w:pPr>
        <w:spacing w:line="120" w:lineRule="exact"/>
        <w:rPr>
          <w:sz w:val="10"/>
        </w:rPr>
      </w:pPr>
    </w:p>
    <w:p w:rsidR="00743839" w:rsidRPr="00743839" w:rsidRDefault="00743839" w:rsidP="00743839">
      <w:pPr>
        <w:spacing w:line="120" w:lineRule="exact"/>
        <w:rPr>
          <w:sz w:val="10"/>
        </w:rPr>
      </w:pPr>
    </w:p>
    <w:p w:rsidR="00743839" w:rsidRDefault="00743839" w:rsidP="00743839">
      <w:pPr>
        <w:pStyle w:val="H1"/>
        <w:ind w:right="1260"/>
      </w:pPr>
      <w:r w:rsidRPr="00E51153">
        <w:tab/>
      </w:r>
      <w:r w:rsidRPr="00E51153">
        <w:tab/>
        <w:t>Transmitted by the Government of France</w:t>
      </w:r>
      <w:r w:rsidRPr="00563C71">
        <w:rPr>
          <w:color w:val="943634" w:themeColor="accent2" w:themeShade="BF"/>
          <w:spacing w:val="-5"/>
          <w:w w:val="130"/>
          <w:position w:val="-4"/>
          <w:sz w:val="17"/>
          <w:vertAlign w:val="superscript"/>
        </w:rPr>
        <w:footnoteReference w:id="1"/>
      </w:r>
    </w:p>
    <w:p w:rsidR="00743839" w:rsidRPr="00743839" w:rsidRDefault="00743839" w:rsidP="00743839">
      <w:pPr>
        <w:pStyle w:val="SingleTxt"/>
        <w:spacing w:after="0" w:line="120" w:lineRule="exact"/>
        <w:rPr>
          <w:sz w:val="10"/>
        </w:rPr>
      </w:pPr>
    </w:p>
    <w:p w:rsidR="00743839" w:rsidRPr="00743839" w:rsidRDefault="00743839" w:rsidP="00743839">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tblPr>
      <w:tblGrid>
        <w:gridCol w:w="10051"/>
      </w:tblGrid>
      <w:tr w:rsidR="00743839" w:rsidTr="00743839">
        <w:tc>
          <w:tcPr>
            <w:tcW w:w="10051" w:type="dxa"/>
            <w:tcBorders>
              <w:top w:val="single" w:sz="2" w:space="0" w:color="auto"/>
            </w:tcBorders>
            <w:shd w:val="clear" w:color="auto" w:fill="auto"/>
          </w:tcPr>
          <w:p w:rsidR="00743839" w:rsidRPr="00743839" w:rsidRDefault="00743839" w:rsidP="00743839">
            <w:pPr>
              <w:tabs>
                <w:tab w:val="left" w:pos="240"/>
              </w:tabs>
              <w:spacing w:before="240" w:after="120"/>
              <w:rPr>
                <w:i/>
                <w:sz w:val="24"/>
              </w:rPr>
            </w:pPr>
            <w:r>
              <w:rPr>
                <w:i/>
                <w:sz w:val="24"/>
              </w:rPr>
              <w:tab/>
              <w:t>Summary</w:t>
            </w:r>
          </w:p>
        </w:tc>
      </w:tr>
      <w:tr w:rsidR="00743839" w:rsidTr="00743839">
        <w:tc>
          <w:tcPr>
            <w:tcW w:w="10051" w:type="dxa"/>
            <w:shd w:val="clear" w:color="auto" w:fill="auto"/>
          </w:tcPr>
          <w:p w:rsidR="00743839" w:rsidRPr="00743839" w:rsidRDefault="00743839" w:rsidP="00743839">
            <w:pPr>
              <w:pStyle w:val="SingleTxt"/>
              <w:tabs>
                <w:tab w:val="clear" w:pos="3182"/>
                <w:tab w:val="left" w:pos="3693"/>
              </w:tabs>
              <w:ind w:left="3427" w:hanging="2160"/>
            </w:pPr>
            <w:r w:rsidRPr="00743839">
              <w:rPr>
                <w:b/>
                <w:bCs/>
              </w:rPr>
              <w:t>Executive summary:</w:t>
            </w:r>
            <w:r w:rsidRPr="00743839">
              <w:tab/>
              <w:t>The table in 7.5.5.2.1 sets the maximum permissible net mass of explosive in Class 1 goods per transport unit. The issue is how it should be applied when the transport unit is composed of vehicles of different categories (EX/II and EX/III).</w:t>
            </w:r>
          </w:p>
        </w:tc>
      </w:tr>
      <w:tr w:rsidR="00743839" w:rsidTr="00743839">
        <w:tc>
          <w:tcPr>
            <w:tcW w:w="10051" w:type="dxa"/>
            <w:shd w:val="clear" w:color="auto" w:fill="auto"/>
          </w:tcPr>
          <w:p w:rsidR="00743839" w:rsidRPr="00743839" w:rsidRDefault="00743839" w:rsidP="00743839">
            <w:pPr>
              <w:pStyle w:val="SingleTxt"/>
              <w:ind w:left="3427" w:hanging="2160"/>
            </w:pPr>
            <w:r w:rsidRPr="00743839">
              <w:rPr>
                <w:b/>
                <w:bCs/>
              </w:rPr>
              <w:t>Decision to be taken:</w:t>
            </w:r>
            <w:r w:rsidRPr="00743839">
              <w:tab/>
              <w:t>Amend the table in 7.5.5.2.1 of ADR.</w:t>
            </w:r>
          </w:p>
        </w:tc>
      </w:tr>
      <w:tr w:rsidR="00743839" w:rsidTr="00743839">
        <w:tc>
          <w:tcPr>
            <w:tcW w:w="10051" w:type="dxa"/>
            <w:tcBorders>
              <w:bottom w:val="nil"/>
            </w:tcBorders>
            <w:shd w:val="clear" w:color="auto" w:fill="auto"/>
          </w:tcPr>
          <w:p w:rsidR="00743839" w:rsidRPr="00743839" w:rsidRDefault="00743839" w:rsidP="00743839">
            <w:pPr>
              <w:pStyle w:val="SingleTxt"/>
              <w:tabs>
                <w:tab w:val="clear" w:pos="1742"/>
                <w:tab w:val="clear" w:pos="2218"/>
                <w:tab w:val="clear" w:pos="2693"/>
                <w:tab w:val="clear" w:pos="3182"/>
                <w:tab w:val="clear" w:pos="3658"/>
                <w:tab w:val="clear" w:pos="4133"/>
                <w:tab w:val="clear" w:pos="4622"/>
                <w:tab w:val="clear" w:pos="5098"/>
                <w:tab w:val="clear" w:pos="5573"/>
                <w:tab w:val="clear" w:pos="6048"/>
              </w:tabs>
              <w:ind w:left="3427" w:hanging="2160"/>
            </w:pPr>
            <w:r w:rsidRPr="00743839">
              <w:rPr>
                <w:b/>
                <w:bCs/>
              </w:rPr>
              <w:t>Related documents:</w:t>
            </w:r>
            <w:r w:rsidRPr="00743839">
              <w:tab/>
              <w:t xml:space="preserve">ECE/TRANS/130 (ADR 1999), </w:t>
            </w:r>
            <w:proofErr w:type="spellStart"/>
            <w:r w:rsidRPr="00743839">
              <w:t>marginals</w:t>
            </w:r>
            <w:proofErr w:type="spellEnd"/>
            <w:r w:rsidRPr="00743839">
              <w:t xml:space="preserve"> 11 204 and 11 401.</w:t>
            </w:r>
          </w:p>
        </w:tc>
      </w:tr>
      <w:tr w:rsidR="00743839" w:rsidTr="00743839">
        <w:tc>
          <w:tcPr>
            <w:tcW w:w="10051" w:type="dxa"/>
            <w:tcBorders>
              <w:bottom w:val="single" w:sz="2" w:space="0" w:color="auto"/>
            </w:tcBorders>
            <w:shd w:val="clear" w:color="auto" w:fill="auto"/>
          </w:tcPr>
          <w:p w:rsidR="00743839" w:rsidRPr="00743839" w:rsidRDefault="00743839" w:rsidP="00743839">
            <w:pPr>
              <w:pStyle w:val="SingleTxt"/>
            </w:pPr>
          </w:p>
        </w:tc>
      </w:tr>
    </w:tbl>
    <w:p w:rsidR="00743839" w:rsidRDefault="00743839">
      <w:pPr>
        <w:suppressAutoHyphens w:val="0"/>
        <w:spacing w:line="240" w:lineRule="auto"/>
      </w:pPr>
      <w:r>
        <w:br w:type="page"/>
      </w:r>
    </w:p>
    <w:p w:rsidR="00743839" w:rsidRPr="00743839" w:rsidRDefault="00743839" w:rsidP="00743839">
      <w:pPr>
        <w:pStyle w:val="HCh"/>
        <w:spacing w:line="120" w:lineRule="exact"/>
        <w:ind w:left="1267" w:right="1260" w:hanging="1267"/>
        <w:rPr>
          <w:sz w:val="10"/>
        </w:rPr>
      </w:pPr>
    </w:p>
    <w:p w:rsidR="00743839" w:rsidRPr="00743839" w:rsidRDefault="00743839" w:rsidP="00743839">
      <w:pPr>
        <w:pStyle w:val="HCh"/>
        <w:spacing w:line="120" w:lineRule="exact"/>
        <w:ind w:left="1267" w:right="1260" w:hanging="1267"/>
        <w:rPr>
          <w:sz w:val="10"/>
        </w:rPr>
      </w:pPr>
    </w:p>
    <w:p w:rsidR="00743839" w:rsidRPr="00E51153" w:rsidRDefault="00743839" w:rsidP="00743839">
      <w:pPr>
        <w:pStyle w:val="HCh"/>
        <w:ind w:left="1267" w:right="1260" w:hanging="1267"/>
      </w:pPr>
      <w:r>
        <w:tab/>
      </w:r>
      <w:r>
        <w:tab/>
      </w:r>
      <w:r w:rsidRPr="00E51153">
        <w:t>Introduction</w:t>
      </w:r>
    </w:p>
    <w:p w:rsidR="00743839" w:rsidRPr="00743839" w:rsidRDefault="00743839" w:rsidP="00743839">
      <w:pPr>
        <w:pStyle w:val="SingleTxt"/>
        <w:spacing w:after="0" w:line="120" w:lineRule="exact"/>
        <w:rPr>
          <w:sz w:val="10"/>
        </w:rPr>
      </w:pPr>
    </w:p>
    <w:p w:rsidR="00743839" w:rsidRPr="00743839" w:rsidRDefault="00743839" w:rsidP="00743839">
      <w:pPr>
        <w:pStyle w:val="SingleTxt"/>
        <w:spacing w:after="0" w:line="120" w:lineRule="exact"/>
        <w:rPr>
          <w:sz w:val="10"/>
        </w:rPr>
      </w:pPr>
    </w:p>
    <w:p w:rsidR="00743839" w:rsidRPr="00E51153" w:rsidRDefault="00743839" w:rsidP="00743839">
      <w:pPr>
        <w:pStyle w:val="SingleTxt"/>
      </w:pPr>
      <w:r w:rsidRPr="00E51153">
        <w:t>1.</w:t>
      </w:r>
      <w:r w:rsidRPr="00E51153">
        <w:tab/>
        <w:t xml:space="preserve">Provision V2 in 7.2.4 stipulates that the choice of an EX/II or EX/III vehicle for the carriage of Class 1 packages </w:t>
      </w:r>
      <w:r w:rsidR="00563C71">
        <w:t>“</w:t>
      </w:r>
      <w:r w:rsidRPr="00E51153">
        <w:t>depends on the quantity to be carried, which is limited per transport unit in accordance with the provisions concerning loading (see 7.5.5.2).</w:t>
      </w:r>
      <w:r w:rsidR="00563C71">
        <w:t>”</w:t>
      </w:r>
    </w:p>
    <w:p w:rsidR="00743839" w:rsidRPr="00E51153" w:rsidRDefault="00743839" w:rsidP="00743839">
      <w:pPr>
        <w:pStyle w:val="SingleTxt"/>
      </w:pPr>
      <w:r w:rsidRPr="00E51153">
        <w:t>2.</w:t>
      </w:r>
      <w:r w:rsidRPr="00E51153">
        <w:tab/>
        <w:t>The table in 7.5.5.2.1 sets the maximum permissible net mass in kilograms of explosive in Class 1 goods per transport unit.</w:t>
      </w:r>
    </w:p>
    <w:p w:rsidR="00743839" w:rsidRPr="00E51153" w:rsidRDefault="00743839" w:rsidP="00743839">
      <w:pPr>
        <w:pStyle w:val="SingleTxt"/>
      </w:pPr>
      <w:r w:rsidRPr="00E51153">
        <w:t>3.</w:t>
      </w:r>
      <w:r w:rsidRPr="00E51153">
        <w:tab/>
        <w:t>It is clear how to apply the table when the vehicles that make up the transport unit are of the same category, especially since 7.5.5.2.2 explains how to deal with a load containing goods of different divisions of Class 1.</w:t>
      </w:r>
    </w:p>
    <w:p w:rsidR="00743839" w:rsidRPr="00E51153" w:rsidRDefault="00743839" w:rsidP="00743839">
      <w:pPr>
        <w:pStyle w:val="SingleTxt"/>
      </w:pPr>
      <w:r w:rsidRPr="00E51153">
        <w:t>4.</w:t>
      </w:r>
      <w:r w:rsidRPr="00E51153">
        <w:tab/>
        <w:t xml:space="preserve"> Its application becomes problematic when the transport unit comprises vehicles of different categories. What are the maximum values for a load split, for example, between an EX/III lorry and an EX/II trailer?</w:t>
      </w:r>
    </w:p>
    <w:p w:rsidR="00743839" w:rsidRPr="00E51153" w:rsidRDefault="00743839" w:rsidP="00743839">
      <w:pPr>
        <w:pStyle w:val="SingleTxt"/>
      </w:pPr>
      <w:r w:rsidRPr="00E51153">
        <w:t>5.</w:t>
      </w:r>
      <w:r w:rsidRPr="00E51153">
        <w:tab/>
        <w:t>The practice could be to consider these limitations not only by transport unit but also by vehicle (given that it is vehicles that are accredited rather than transport units). Thus, 16,000 kg net mass of division 1.2 goods could be carried by a transport unit consisting of an EX/III vehicle (13,000 kg of the goods) to which an EX/II trailer could be attached (3,000 kg of the goods).</w:t>
      </w:r>
    </w:p>
    <w:p w:rsidR="00743839" w:rsidRPr="00E51153" w:rsidRDefault="00743839" w:rsidP="00743839">
      <w:pPr>
        <w:pStyle w:val="SingleTxt"/>
      </w:pPr>
      <w:r w:rsidRPr="00E51153">
        <w:t>6.</w:t>
      </w:r>
      <w:r w:rsidRPr="00E51153">
        <w:tab/>
        <w:t>Referring to the pre-restructuring version of ADR, marginal 11 204 of ADR 1999 assigns EX/II and EX/III transport units to the carriage of Class 1 substances and articles, which is in line with the table under marginal 11 401 that is identical to the table under the current 7.5.5.2.1. The limitations concern transport units and are defined for each type of transport unit, which may lead users to think that all the vehicles of a given transport unit have to belong to the same category.</w:t>
      </w:r>
    </w:p>
    <w:p w:rsidR="00743839" w:rsidRPr="00E51153" w:rsidRDefault="00743839" w:rsidP="00743839">
      <w:pPr>
        <w:pStyle w:val="SingleTxt"/>
      </w:pPr>
      <w:r w:rsidRPr="00E51153">
        <w:t>7.</w:t>
      </w:r>
      <w:r w:rsidRPr="00E51153">
        <w:tab/>
        <w:t xml:space="preserve">In the light of the construction requirements applicable to EX/II and EX/III vehicles, including in respect of the vehicle body, a transport unit composed of at least one EX/II vehicle cannot, in our view, be assigned the maximum amount given in the row for EX/III. The maximum should be the amount listed in the row for EX/II, even if the transport unit also includes an EX/III vehicle. </w:t>
      </w:r>
    </w:p>
    <w:p w:rsidR="00743839" w:rsidRPr="00E51153" w:rsidRDefault="00743839" w:rsidP="00743839">
      <w:pPr>
        <w:pStyle w:val="SingleTxt"/>
      </w:pPr>
      <w:r w:rsidRPr="00E51153">
        <w:t>8.</w:t>
      </w:r>
      <w:r w:rsidRPr="00E51153">
        <w:tab/>
        <w:t>In order to make this clearer in the table in 7.5.5.2.1, we suggest the amendment below.</w:t>
      </w:r>
    </w:p>
    <w:p w:rsidR="00743839" w:rsidRPr="00743839" w:rsidRDefault="00743839" w:rsidP="00743839">
      <w:pPr>
        <w:pStyle w:val="HCh"/>
        <w:spacing w:line="120" w:lineRule="exact"/>
        <w:ind w:left="1267" w:right="1260" w:hanging="1267"/>
        <w:rPr>
          <w:sz w:val="10"/>
        </w:rPr>
      </w:pPr>
    </w:p>
    <w:p w:rsidR="00743839" w:rsidRPr="00743839" w:rsidRDefault="00743839" w:rsidP="00743839">
      <w:pPr>
        <w:pStyle w:val="HCh"/>
        <w:spacing w:line="120" w:lineRule="exact"/>
        <w:ind w:left="1267" w:right="1260" w:hanging="1267"/>
        <w:rPr>
          <w:sz w:val="10"/>
        </w:rPr>
      </w:pPr>
    </w:p>
    <w:p w:rsidR="00743839" w:rsidRPr="00E51153" w:rsidRDefault="00743839" w:rsidP="00743839">
      <w:pPr>
        <w:pStyle w:val="HCh"/>
        <w:ind w:left="1267" w:right="1260" w:hanging="1267"/>
      </w:pPr>
      <w:r>
        <w:tab/>
      </w:r>
      <w:r>
        <w:tab/>
      </w:r>
      <w:r w:rsidRPr="00E51153">
        <w:t>Proposal</w:t>
      </w:r>
    </w:p>
    <w:p w:rsidR="00743839" w:rsidRPr="00743839" w:rsidRDefault="00743839" w:rsidP="00743839">
      <w:pPr>
        <w:pStyle w:val="SingleTxt"/>
        <w:spacing w:after="0" w:line="120" w:lineRule="exact"/>
        <w:rPr>
          <w:sz w:val="10"/>
        </w:rPr>
      </w:pPr>
    </w:p>
    <w:p w:rsidR="00743839" w:rsidRPr="00743839" w:rsidRDefault="00743839" w:rsidP="00743839">
      <w:pPr>
        <w:pStyle w:val="SingleTxt"/>
        <w:spacing w:after="0" w:line="120" w:lineRule="exact"/>
        <w:rPr>
          <w:sz w:val="10"/>
        </w:rPr>
      </w:pPr>
    </w:p>
    <w:p w:rsidR="00743839" w:rsidRDefault="00743839" w:rsidP="00743839">
      <w:pPr>
        <w:pStyle w:val="SingleTxt"/>
      </w:pPr>
      <w:r w:rsidRPr="00E51153">
        <w:t>9.</w:t>
      </w:r>
      <w:r w:rsidRPr="00E51153">
        <w:tab/>
        <w:t>Under 7.5.5.2.1, amend the table as follows (new text in bold italics):</w:t>
      </w:r>
    </w:p>
    <w:p w:rsidR="00743839" w:rsidRPr="00743839" w:rsidRDefault="00743839" w:rsidP="00743839">
      <w:pPr>
        <w:pStyle w:val="SingleTxt"/>
        <w:spacing w:after="0" w:line="120" w:lineRule="exact"/>
        <w:rPr>
          <w:sz w:val="10"/>
        </w:rPr>
      </w:pPr>
    </w:p>
    <w:p w:rsidR="00743839" w:rsidRDefault="00743839" w:rsidP="00743839">
      <w:pPr>
        <w:pStyle w:val="SingleTxt"/>
        <w:spacing w:after="0" w:line="120" w:lineRule="exact"/>
        <w:rPr>
          <w:sz w:val="10"/>
        </w:rPr>
      </w:pPr>
    </w:p>
    <w:tbl>
      <w:tblPr>
        <w:tblW w:w="0" w:type="auto"/>
        <w:jc w:val="center"/>
        <w:tblCellMar>
          <w:left w:w="29" w:type="dxa"/>
          <w:right w:w="14" w:type="dxa"/>
        </w:tblCellMar>
        <w:tblLook w:val="0000"/>
      </w:tblPr>
      <w:tblGrid>
        <w:gridCol w:w="1379"/>
        <w:gridCol w:w="1333"/>
        <w:gridCol w:w="800"/>
        <w:gridCol w:w="900"/>
        <w:gridCol w:w="800"/>
        <w:gridCol w:w="800"/>
        <w:gridCol w:w="900"/>
        <w:gridCol w:w="927"/>
        <w:gridCol w:w="800"/>
        <w:gridCol w:w="1125"/>
      </w:tblGrid>
      <w:tr w:rsidR="00C10C16" w:rsidRPr="00E51153" w:rsidTr="00C10C16">
        <w:trPr>
          <w:cantSplit/>
          <w:trHeight w:val="613"/>
          <w:jc w:val="center"/>
        </w:trPr>
        <w:tc>
          <w:tcPr>
            <w:tcW w:w="1379" w:type="dxa"/>
            <w:vMerge w:val="restart"/>
            <w:tcBorders>
              <w:top w:val="single" w:sz="8" w:space="0" w:color="auto"/>
              <w:left w:val="single" w:sz="8" w:space="0" w:color="auto"/>
              <w:bottom w:val="single" w:sz="8" w:space="0" w:color="auto"/>
              <w:right w:val="single" w:sz="8" w:space="0" w:color="auto"/>
            </w:tcBorders>
            <w:vAlign w:val="bottom"/>
          </w:tcPr>
          <w:p w:rsidR="00C10C16" w:rsidRPr="00C10C16" w:rsidRDefault="00C10C16" w:rsidP="00C10C16">
            <w:pPr>
              <w:jc w:val="center"/>
              <w:rPr>
                <w:b/>
                <w:bCs/>
              </w:rPr>
            </w:pPr>
            <w:r w:rsidRPr="00C10C16">
              <w:rPr>
                <w:b/>
                <w:bCs/>
              </w:rPr>
              <w:t xml:space="preserve">Transport unit </w:t>
            </w:r>
            <w:r w:rsidRPr="00C10C16">
              <w:rPr>
                <w:b/>
                <w:bCs/>
                <w:i/>
                <w:iCs/>
              </w:rPr>
              <w:t>composed of vehicles</w:t>
            </w:r>
          </w:p>
        </w:tc>
        <w:tc>
          <w:tcPr>
            <w:tcW w:w="1333" w:type="dxa"/>
            <w:tcBorders>
              <w:top w:val="single" w:sz="8" w:space="0" w:color="auto"/>
              <w:left w:val="nil"/>
              <w:bottom w:val="single" w:sz="8" w:space="0" w:color="auto"/>
              <w:right w:val="single" w:sz="8" w:space="0" w:color="auto"/>
            </w:tcBorders>
          </w:tcPr>
          <w:p w:rsidR="00C10C16" w:rsidRPr="00C10C16" w:rsidRDefault="00C10C16" w:rsidP="00C10C16">
            <w:pPr>
              <w:jc w:val="center"/>
              <w:rPr>
                <w:b/>
                <w:bCs/>
              </w:rPr>
            </w:pPr>
            <w:r w:rsidRPr="00C10C16">
              <w:rPr>
                <w:b/>
                <w:bCs/>
              </w:rPr>
              <w:t>Division</w:t>
            </w:r>
          </w:p>
        </w:tc>
        <w:tc>
          <w:tcPr>
            <w:tcW w:w="1700" w:type="dxa"/>
            <w:gridSpan w:val="2"/>
            <w:tcBorders>
              <w:top w:val="single" w:sz="8" w:space="0" w:color="auto"/>
              <w:left w:val="nil"/>
              <w:bottom w:val="single" w:sz="8" w:space="0" w:color="auto"/>
              <w:right w:val="single" w:sz="8" w:space="0" w:color="auto"/>
            </w:tcBorders>
            <w:vAlign w:val="center"/>
          </w:tcPr>
          <w:p w:rsidR="00C10C16" w:rsidRPr="00C10C16" w:rsidRDefault="00C10C16" w:rsidP="00C10C16">
            <w:pPr>
              <w:jc w:val="center"/>
              <w:rPr>
                <w:b/>
                <w:bCs/>
              </w:rPr>
            </w:pPr>
            <w:r w:rsidRPr="00C10C16">
              <w:rPr>
                <w:b/>
                <w:bCs/>
              </w:rPr>
              <w:t>1.1</w:t>
            </w:r>
          </w:p>
        </w:tc>
        <w:tc>
          <w:tcPr>
            <w:tcW w:w="800" w:type="dxa"/>
            <w:tcBorders>
              <w:top w:val="single" w:sz="8" w:space="0" w:color="auto"/>
              <w:left w:val="nil"/>
              <w:bottom w:val="single" w:sz="8" w:space="0" w:color="auto"/>
              <w:right w:val="single" w:sz="8" w:space="0" w:color="auto"/>
            </w:tcBorders>
            <w:vAlign w:val="center"/>
          </w:tcPr>
          <w:p w:rsidR="00C10C16" w:rsidRPr="00C10C16" w:rsidRDefault="00C10C16" w:rsidP="00C10C16">
            <w:pPr>
              <w:jc w:val="center"/>
              <w:rPr>
                <w:b/>
                <w:bCs/>
              </w:rPr>
            </w:pPr>
            <w:r w:rsidRPr="00C10C16">
              <w:rPr>
                <w:b/>
                <w:bCs/>
              </w:rPr>
              <w:t>1.2</w:t>
            </w:r>
          </w:p>
        </w:tc>
        <w:tc>
          <w:tcPr>
            <w:tcW w:w="800" w:type="dxa"/>
            <w:tcBorders>
              <w:top w:val="single" w:sz="8" w:space="0" w:color="auto"/>
              <w:left w:val="nil"/>
              <w:bottom w:val="single" w:sz="8" w:space="0" w:color="auto"/>
              <w:right w:val="single" w:sz="8" w:space="0" w:color="auto"/>
            </w:tcBorders>
            <w:vAlign w:val="center"/>
          </w:tcPr>
          <w:p w:rsidR="00C10C16" w:rsidRPr="00C10C16" w:rsidRDefault="00C10C16" w:rsidP="00C10C16">
            <w:pPr>
              <w:jc w:val="center"/>
              <w:rPr>
                <w:b/>
                <w:bCs/>
              </w:rPr>
            </w:pPr>
            <w:r w:rsidRPr="00C10C16">
              <w:rPr>
                <w:b/>
                <w:bCs/>
              </w:rPr>
              <w:t>1.3</w:t>
            </w:r>
          </w:p>
        </w:tc>
        <w:tc>
          <w:tcPr>
            <w:tcW w:w="1827" w:type="dxa"/>
            <w:gridSpan w:val="2"/>
            <w:tcBorders>
              <w:top w:val="single" w:sz="8" w:space="0" w:color="auto"/>
              <w:left w:val="nil"/>
              <w:bottom w:val="single" w:sz="8" w:space="0" w:color="auto"/>
              <w:right w:val="single" w:sz="8" w:space="0" w:color="auto"/>
            </w:tcBorders>
            <w:vAlign w:val="center"/>
          </w:tcPr>
          <w:p w:rsidR="00C10C16" w:rsidRPr="00C10C16" w:rsidRDefault="00C10C16" w:rsidP="00C10C16">
            <w:pPr>
              <w:jc w:val="center"/>
              <w:rPr>
                <w:b/>
                <w:bCs/>
              </w:rPr>
            </w:pPr>
            <w:r w:rsidRPr="00C10C16">
              <w:rPr>
                <w:b/>
                <w:bCs/>
              </w:rPr>
              <w:t>1.4</w:t>
            </w:r>
          </w:p>
        </w:tc>
        <w:tc>
          <w:tcPr>
            <w:tcW w:w="80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C10C16" w:rsidRPr="00C10C16" w:rsidRDefault="00C10C16" w:rsidP="00C10C16">
            <w:pPr>
              <w:jc w:val="center"/>
              <w:rPr>
                <w:b/>
                <w:bCs/>
              </w:rPr>
            </w:pPr>
            <w:r>
              <w:rPr>
                <w:b/>
                <w:bCs/>
              </w:rPr>
              <w:t xml:space="preserve">1.5 and </w:t>
            </w:r>
            <w:r w:rsidRPr="00C10C16">
              <w:rPr>
                <w:b/>
                <w:bCs/>
              </w:rPr>
              <w:t>1.6</w:t>
            </w:r>
          </w:p>
        </w:tc>
        <w:tc>
          <w:tcPr>
            <w:tcW w:w="1125"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C10C16" w:rsidRPr="00C10C16" w:rsidRDefault="00C10C16" w:rsidP="00C10C16">
            <w:pPr>
              <w:jc w:val="center"/>
              <w:rPr>
                <w:b/>
                <w:bCs/>
              </w:rPr>
            </w:pPr>
            <w:r w:rsidRPr="00C10C16">
              <w:rPr>
                <w:b/>
                <w:bCs/>
              </w:rPr>
              <w:t xml:space="preserve">Empty </w:t>
            </w:r>
            <w:proofErr w:type="spellStart"/>
            <w:r w:rsidRPr="00C10C16">
              <w:rPr>
                <w:b/>
                <w:bCs/>
              </w:rPr>
              <w:t>uncleaned</w:t>
            </w:r>
            <w:proofErr w:type="spellEnd"/>
            <w:r w:rsidRPr="00C10C16">
              <w:rPr>
                <w:b/>
                <w:bCs/>
              </w:rPr>
              <w:t xml:space="preserve"> </w:t>
            </w:r>
            <w:proofErr w:type="spellStart"/>
            <w:r w:rsidRPr="00C10C16">
              <w:rPr>
                <w:b/>
                <w:bCs/>
              </w:rPr>
              <w:t>packagings</w:t>
            </w:r>
            <w:proofErr w:type="spellEnd"/>
          </w:p>
        </w:tc>
      </w:tr>
      <w:tr w:rsidR="00C10C16" w:rsidRPr="00E51153" w:rsidTr="00C10C16">
        <w:trPr>
          <w:cantSplit/>
          <w:trHeight w:val="613"/>
          <w:jc w:val="center"/>
        </w:trPr>
        <w:tc>
          <w:tcPr>
            <w:tcW w:w="1379" w:type="dxa"/>
            <w:vMerge/>
            <w:tcBorders>
              <w:top w:val="single" w:sz="8" w:space="0" w:color="auto"/>
              <w:left w:val="single" w:sz="8" w:space="0" w:color="auto"/>
              <w:bottom w:val="single" w:sz="8" w:space="0" w:color="auto"/>
              <w:right w:val="single" w:sz="8" w:space="0" w:color="auto"/>
            </w:tcBorders>
            <w:vAlign w:val="center"/>
          </w:tcPr>
          <w:p w:rsidR="00C10C16" w:rsidRPr="00C10C16" w:rsidRDefault="00C10C16" w:rsidP="00C10C16">
            <w:pPr>
              <w:jc w:val="center"/>
              <w:rPr>
                <w:b/>
                <w:bCs/>
              </w:rPr>
            </w:pPr>
          </w:p>
        </w:tc>
        <w:tc>
          <w:tcPr>
            <w:tcW w:w="1333" w:type="dxa"/>
            <w:tcBorders>
              <w:top w:val="nil"/>
              <w:left w:val="nil"/>
              <w:bottom w:val="single" w:sz="8" w:space="0" w:color="auto"/>
              <w:right w:val="single" w:sz="8" w:space="0" w:color="auto"/>
            </w:tcBorders>
            <w:tcMar>
              <w:top w:w="0" w:type="dxa"/>
              <w:left w:w="28" w:type="dxa"/>
              <w:bottom w:w="0" w:type="dxa"/>
              <w:right w:w="28" w:type="dxa"/>
            </w:tcMar>
          </w:tcPr>
          <w:p w:rsidR="00C10C16" w:rsidRPr="00C10C16" w:rsidRDefault="00C10C16" w:rsidP="00C10C16">
            <w:pPr>
              <w:jc w:val="center"/>
              <w:rPr>
                <w:b/>
                <w:bCs/>
              </w:rPr>
            </w:pPr>
            <w:r w:rsidRPr="00C10C16">
              <w:rPr>
                <w:b/>
                <w:bCs/>
              </w:rPr>
              <w:t>Compatibility group</w:t>
            </w:r>
          </w:p>
        </w:tc>
        <w:tc>
          <w:tcPr>
            <w:tcW w:w="800" w:type="dxa"/>
            <w:tcBorders>
              <w:top w:val="nil"/>
              <w:left w:val="nil"/>
              <w:bottom w:val="single" w:sz="8" w:space="0" w:color="auto"/>
              <w:right w:val="single" w:sz="8" w:space="0" w:color="auto"/>
            </w:tcBorders>
            <w:tcMar>
              <w:top w:w="0" w:type="dxa"/>
              <w:left w:w="28" w:type="dxa"/>
              <w:bottom w:w="0" w:type="dxa"/>
              <w:right w:w="28" w:type="dxa"/>
            </w:tcMar>
            <w:vAlign w:val="center"/>
          </w:tcPr>
          <w:p w:rsidR="00C10C16" w:rsidRPr="00C10C16" w:rsidRDefault="00C10C16" w:rsidP="00C10C16">
            <w:pPr>
              <w:jc w:val="center"/>
              <w:rPr>
                <w:b/>
                <w:bCs/>
              </w:rPr>
            </w:pPr>
            <w:r w:rsidRPr="00C10C16">
              <w:rPr>
                <w:b/>
                <w:bCs/>
              </w:rPr>
              <w:t>1.1A</w:t>
            </w:r>
          </w:p>
        </w:tc>
        <w:tc>
          <w:tcPr>
            <w:tcW w:w="900" w:type="dxa"/>
            <w:tcBorders>
              <w:top w:val="nil"/>
              <w:left w:val="nil"/>
              <w:bottom w:val="single" w:sz="8" w:space="0" w:color="auto"/>
              <w:right w:val="single" w:sz="8" w:space="0" w:color="auto"/>
            </w:tcBorders>
            <w:tcMar>
              <w:top w:w="0" w:type="dxa"/>
              <w:left w:w="28" w:type="dxa"/>
              <w:bottom w:w="0" w:type="dxa"/>
              <w:right w:w="28" w:type="dxa"/>
            </w:tcMar>
            <w:vAlign w:val="center"/>
          </w:tcPr>
          <w:p w:rsidR="00C10C16" w:rsidRPr="00C10C16" w:rsidRDefault="00C10C16" w:rsidP="00C10C16">
            <w:pPr>
              <w:jc w:val="center"/>
              <w:rPr>
                <w:b/>
                <w:bCs/>
              </w:rPr>
            </w:pPr>
            <w:r w:rsidRPr="00C10C16">
              <w:rPr>
                <w:b/>
                <w:bCs/>
              </w:rPr>
              <w:t>Other than 1.1A</w:t>
            </w:r>
          </w:p>
        </w:tc>
        <w:tc>
          <w:tcPr>
            <w:tcW w:w="800" w:type="dxa"/>
            <w:tcBorders>
              <w:top w:val="nil"/>
              <w:left w:val="nil"/>
              <w:bottom w:val="single" w:sz="8" w:space="0" w:color="auto"/>
              <w:right w:val="single" w:sz="8" w:space="0" w:color="auto"/>
            </w:tcBorders>
            <w:tcMar>
              <w:top w:w="0" w:type="dxa"/>
              <w:left w:w="28" w:type="dxa"/>
              <w:bottom w:w="0" w:type="dxa"/>
              <w:right w:w="28" w:type="dxa"/>
            </w:tcMar>
            <w:vAlign w:val="center"/>
          </w:tcPr>
          <w:p w:rsidR="00C10C16" w:rsidRPr="00C10C16" w:rsidRDefault="00C10C16" w:rsidP="00C10C16">
            <w:pPr>
              <w:jc w:val="center"/>
              <w:rPr>
                <w:b/>
                <w:bCs/>
              </w:rPr>
            </w:pPr>
          </w:p>
        </w:tc>
        <w:tc>
          <w:tcPr>
            <w:tcW w:w="800" w:type="dxa"/>
            <w:tcBorders>
              <w:top w:val="nil"/>
              <w:left w:val="nil"/>
              <w:bottom w:val="single" w:sz="8" w:space="0" w:color="auto"/>
              <w:right w:val="single" w:sz="8" w:space="0" w:color="auto"/>
            </w:tcBorders>
            <w:tcMar>
              <w:top w:w="0" w:type="dxa"/>
              <w:left w:w="28" w:type="dxa"/>
              <w:bottom w:w="0" w:type="dxa"/>
              <w:right w:w="28" w:type="dxa"/>
            </w:tcMar>
            <w:vAlign w:val="center"/>
          </w:tcPr>
          <w:p w:rsidR="00C10C16" w:rsidRPr="00C10C16" w:rsidRDefault="00C10C16" w:rsidP="00C10C16">
            <w:pPr>
              <w:jc w:val="center"/>
              <w:rPr>
                <w:b/>
                <w:bCs/>
              </w:rPr>
            </w:pPr>
          </w:p>
        </w:tc>
        <w:tc>
          <w:tcPr>
            <w:tcW w:w="900" w:type="dxa"/>
            <w:tcBorders>
              <w:top w:val="nil"/>
              <w:left w:val="nil"/>
              <w:bottom w:val="single" w:sz="8" w:space="0" w:color="auto"/>
              <w:right w:val="single" w:sz="8" w:space="0" w:color="auto"/>
            </w:tcBorders>
            <w:tcMar>
              <w:top w:w="0" w:type="dxa"/>
              <w:left w:w="28" w:type="dxa"/>
              <w:bottom w:w="0" w:type="dxa"/>
              <w:right w:w="28" w:type="dxa"/>
            </w:tcMar>
            <w:vAlign w:val="center"/>
          </w:tcPr>
          <w:p w:rsidR="00C10C16" w:rsidRPr="00C10C16" w:rsidRDefault="00C10C16" w:rsidP="00C10C16">
            <w:pPr>
              <w:jc w:val="center"/>
              <w:rPr>
                <w:b/>
                <w:bCs/>
              </w:rPr>
            </w:pPr>
            <w:r w:rsidRPr="00C10C16">
              <w:rPr>
                <w:b/>
                <w:bCs/>
              </w:rPr>
              <w:t>Other than 1.4S</w:t>
            </w:r>
          </w:p>
        </w:tc>
        <w:tc>
          <w:tcPr>
            <w:tcW w:w="927" w:type="dxa"/>
            <w:tcBorders>
              <w:top w:val="nil"/>
              <w:left w:val="nil"/>
              <w:bottom w:val="single" w:sz="8" w:space="0" w:color="auto"/>
              <w:right w:val="single" w:sz="8" w:space="0" w:color="auto"/>
            </w:tcBorders>
            <w:tcMar>
              <w:top w:w="0" w:type="dxa"/>
              <w:left w:w="28" w:type="dxa"/>
              <w:bottom w:w="0" w:type="dxa"/>
              <w:right w:w="28" w:type="dxa"/>
            </w:tcMar>
            <w:vAlign w:val="center"/>
          </w:tcPr>
          <w:p w:rsidR="00C10C16" w:rsidRPr="00C10C16" w:rsidRDefault="00C10C16" w:rsidP="00C10C16">
            <w:pPr>
              <w:jc w:val="center"/>
              <w:rPr>
                <w:b/>
                <w:bCs/>
              </w:rPr>
            </w:pPr>
            <w:r w:rsidRPr="00C10C16">
              <w:rPr>
                <w:b/>
                <w:bCs/>
              </w:rPr>
              <w:t>1.4S</w:t>
            </w:r>
          </w:p>
        </w:tc>
        <w:tc>
          <w:tcPr>
            <w:tcW w:w="800" w:type="dxa"/>
            <w:tcBorders>
              <w:top w:val="nil"/>
              <w:left w:val="nil"/>
              <w:bottom w:val="single" w:sz="8" w:space="0" w:color="auto"/>
              <w:right w:val="single" w:sz="8" w:space="0" w:color="auto"/>
            </w:tcBorders>
            <w:tcMar>
              <w:top w:w="0" w:type="dxa"/>
              <w:left w:w="28" w:type="dxa"/>
              <w:bottom w:w="0" w:type="dxa"/>
              <w:right w:w="28" w:type="dxa"/>
            </w:tcMar>
            <w:vAlign w:val="center"/>
          </w:tcPr>
          <w:p w:rsidR="00C10C16" w:rsidRPr="00C10C16" w:rsidRDefault="00C10C16" w:rsidP="00C10C16">
            <w:pPr>
              <w:jc w:val="center"/>
              <w:rPr>
                <w:b/>
                <w:bCs/>
              </w:rPr>
            </w:pPr>
          </w:p>
        </w:tc>
        <w:tc>
          <w:tcPr>
            <w:tcW w:w="1125" w:type="dxa"/>
            <w:tcBorders>
              <w:top w:val="nil"/>
              <w:left w:val="nil"/>
              <w:bottom w:val="single" w:sz="8" w:space="0" w:color="auto"/>
              <w:right w:val="single" w:sz="8" w:space="0" w:color="auto"/>
            </w:tcBorders>
            <w:tcMar>
              <w:top w:w="0" w:type="dxa"/>
              <w:left w:w="28" w:type="dxa"/>
              <w:bottom w:w="0" w:type="dxa"/>
              <w:right w:w="28" w:type="dxa"/>
            </w:tcMar>
          </w:tcPr>
          <w:p w:rsidR="00C10C16" w:rsidRPr="00C10C16" w:rsidRDefault="00C10C16" w:rsidP="00C10C16">
            <w:pPr>
              <w:jc w:val="center"/>
              <w:rPr>
                <w:b/>
                <w:bCs/>
              </w:rPr>
            </w:pPr>
          </w:p>
        </w:tc>
      </w:tr>
      <w:tr w:rsidR="00C10C16" w:rsidRPr="00E51153" w:rsidTr="00C10C16">
        <w:trPr>
          <w:cantSplit/>
          <w:trHeight w:val="373"/>
          <w:jc w:val="center"/>
        </w:trPr>
        <w:tc>
          <w:tcPr>
            <w:tcW w:w="2712" w:type="dxa"/>
            <w:gridSpan w:val="2"/>
            <w:tcBorders>
              <w:top w:val="nil"/>
              <w:left w:val="single" w:sz="8" w:space="0" w:color="auto"/>
              <w:bottom w:val="nil"/>
              <w:right w:val="single" w:sz="8" w:space="0" w:color="auto"/>
            </w:tcBorders>
            <w:vAlign w:val="center"/>
          </w:tcPr>
          <w:p w:rsidR="00C10C16" w:rsidRPr="00F254B4" w:rsidRDefault="00C10C16" w:rsidP="00C10C16">
            <w:pPr>
              <w:rPr>
                <w:lang w:val="es-ES"/>
              </w:rPr>
            </w:pPr>
            <w:r w:rsidRPr="00F254B4">
              <w:rPr>
                <w:lang w:val="es-ES"/>
              </w:rPr>
              <w:t>EX/</w:t>
            </w:r>
            <w:proofErr w:type="spellStart"/>
            <w:r w:rsidRPr="00F254B4">
              <w:rPr>
                <w:lang w:val="es-ES"/>
              </w:rPr>
              <w:t>II</w:t>
            </w:r>
            <w:r w:rsidRPr="00F254B4">
              <w:rPr>
                <w:vertAlign w:val="superscript"/>
                <w:lang w:val="es-ES"/>
              </w:rPr>
              <w:t>a</w:t>
            </w:r>
            <w:proofErr w:type="spellEnd"/>
            <w:r w:rsidRPr="00F254B4">
              <w:rPr>
                <w:vertAlign w:val="superscript"/>
                <w:lang w:val="es-ES"/>
              </w:rPr>
              <w:t xml:space="preserve"> </w:t>
            </w:r>
            <w:proofErr w:type="spellStart"/>
            <w:r w:rsidRPr="00F254B4">
              <w:rPr>
                <w:b/>
                <w:bCs/>
                <w:i/>
                <w:iCs/>
                <w:lang w:val="es-ES"/>
              </w:rPr>
              <w:t>or</w:t>
            </w:r>
            <w:proofErr w:type="spellEnd"/>
            <w:r w:rsidRPr="00F254B4">
              <w:rPr>
                <w:b/>
                <w:bCs/>
                <w:i/>
                <w:iCs/>
                <w:lang w:val="es-ES"/>
              </w:rPr>
              <w:t xml:space="preserve"> EX/</w:t>
            </w:r>
            <w:proofErr w:type="spellStart"/>
            <w:r w:rsidRPr="00F254B4">
              <w:rPr>
                <w:b/>
                <w:bCs/>
                <w:i/>
                <w:iCs/>
                <w:lang w:val="es-ES"/>
              </w:rPr>
              <w:t>II</w:t>
            </w:r>
            <w:r w:rsidRPr="00F254B4">
              <w:rPr>
                <w:b/>
                <w:bCs/>
                <w:i/>
                <w:iCs/>
                <w:vertAlign w:val="superscript"/>
                <w:lang w:val="es-ES"/>
              </w:rPr>
              <w:t>a</w:t>
            </w:r>
            <w:proofErr w:type="spellEnd"/>
            <w:r w:rsidRPr="00F254B4">
              <w:rPr>
                <w:b/>
                <w:bCs/>
                <w:i/>
                <w:iCs/>
                <w:vertAlign w:val="superscript"/>
                <w:lang w:val="es-ES"/>
              </w:rPr>
              <w:t xml:space="preserve"> </w:t>
            </w:r>
            <w:r w:rsidRPr="00F254B4">
              <w:rPr>
                <w:b/>
                <w:bCs/>
                <w:i/>
                <w:iCs/>
                <w:lang w:val="es-ES"/>
              </w:rPr>
              <w:t>and EX/</w:t>
            </w:r>
            <w:proofErr w:type="spellStart"/>
            <w:r w:rsidRPr="00F254B4">
              <w:rPr>
                <w:b/>
                <w:bCs/>
                <w:i/>
                <w:iCs/>
                <w:lang w:val="es-ES"/>
              </w:rPr>
              <w:t>III</w:t>
            </w:r>
            <w:r w:rsidRPr="00F254B4">
              <w:rPr>
                <w:b/>
                <w:bCs/>
                <w:i/>
                <w:iCs/>
                <w:vertAlign w:val="superscript"/>
                <w:lang w:val="es-ES"/>
              </w:rPr>
              <w:t>a</w:t>
            </w:r>
            <w:proofErr w:type="spellEnd"/>
          </w:p>
        </w:tc>
        <w:tc>
          <w:tcPr>
            <w:tcW w:w="800" w:type="dxa"/>
            <w:tcBorders>
              <w:top w:val="nil"/>
              <w:left w:val="nil"/>
              <w:bottom w:val="nil"/>
              <w:right w:val="single" w:sz="8" w:space="0" w:color="auto"/>
            </w:tcBorders>
            <w:tcMar>
              <w:top w:w="0" w:type="dxa"/>
              <w:left w:w="28" w:type="dxa"/>
              <w:bottom w:w="0" w:type="dxa"/>
              <w:right w:w="28" w:type="dxa"/>
            </w:tcMar>
            <w:vAlign w:val="center"/>
          </w:tcPr>
          <w:p w:rsidR="00C10C16" w:rsidRPr="00E51153" w:rsidRDefault="00C10C16" w:rsidP="00A66505">
            <w:pPr>
              <w:jc w:val="center"/>
            </w:pPr>
            <w:r w:rsidRPr="00E51153">
              <w:t>6.25</w:t>
            </w:r>
          </w:p>
        </w:tc>
        <w:tc>
          <w:tcPr>
            <w:tcW w:w="900" w:type="dxa"/>
            <w:tcBorders>
              <w:top w:val="nil"/>
              <w:left w:val="nil"/>
              <w:bottom w:val="nil"/>
              <w:right w:val="single" w:sz="8" w:space="0" w:color="auto"/>
            </w:tcBorders>
            <w:tcMar>
              <w:top w:w="0" w:type="dxa"/>
              <w:left w:w="28" w:type="dxa"/>
              <w:bottom w:w="0" w:type="dxa"/>
              <w:right w:w="28" w:type="dxa"/>
            </w:tcMar>
            <w:vAlign w:val="center"/>
          </w:tcPr>
          <w:p w:rsidR="00C10C16" w:rsidRPr="00E51153" w:rsidRDefault="00C10C16" w:rsidP="00A66505">
            <w:pPr>
              <w:jc w:val="center"/>
            </w:pPr>
            <w:r w:rsidRPr="00E51153">
              <w:t>1 000</w:t>
            </w:r>
          </w:p>
        </w:tc>
        <w:tc>
          <w:tcPr>
            <w:tcW w:w="800" w:type="dxa"/>
            <w:tcBorders>
              <w:top w:val="nil"/>
              <w:left w:val="nil"/>
              <w:bottom w:val="nil"/>
              <w:right w:val="single" w:sz="8" w:space="0" w:color="auto"/>
            </w:tcBorders>
            <w:tcMar>
              <w:top w:w="0" w:type="dxa"/>
              <w:left w:w="28" w:type="dxa"/>
              <w:bottom w:w="0" w:type="dxa"/>
              <w:right w:w="28" w:type="dxa"/>
            </w:tcMar>
            <w:vAlign w:val="center"/>
          </w:tcPr>
          <w:p w:rsidR="00C10C16" w:rsidRPr="00E51153" w:rsidRDefault="00C10C16" w:rsidP="00A66505">
            <w:pPr>
              <w:jc w:val="center"/>
            </w:pPr>
            <w:r w:rsidRPr="00E51153">
              <w:t>3 000</w:t>
            </w:r>
          </w:p>
        </w:tc>
        <w:tc>
          <w:tcPr>
            <w:tcW w:w="800" w:type="dxa"/>
            <w:tcBorders>
              <w:top w:val="nil"/>
              <w:left w:val="nil"/>
              <w:bottom w:val="nil"/>
              <w:right w:val="single" w:sz="8" w:space="0" w:color="auto"/>
            </w:tcBorders>
            <w:tcMar>
              <w:top w:w="0" w:type="dxa"/>
              <w:left w:w="28" w:type="dxa"/>
              <w:bottom w:w="0" w:type="dxa"/>
              <w:right w:w="28" w:type="dxa"/>
            </w:tcMar>
            <w:vAlign w:val="center"/>
          </w:tcPr>
          <w:p w:rsidR="00C10C16" w:rsidRPr="00E51153" w:rsidRDefault="00C10C16" w:rsidP="00A66505">
            <w:pPr>
              <w:jc w:val="center"/>
            </w:pPr>
            <w:r w:rsidRPr="00E51153">
              <w:t>5 000</w:t>
            </w:r>
          </w:p>
        </w:tc>
        <w:tc>
          <w:tcPr>
            <w:tcW w:w="900" w:type="dxa"/>
            <w:tcBorders>
              <w:top w:val="nil"/>
              <w:left w:val="nil"/>
              <w:bottom w:val="nil"/>
              <w:right w:val="single" w:sz="8" w:space="0" w:color="auto"/>
            </w:tcBorders>
            <w:tcMar>
              <w:top w:w="0" w:type="dxa"/>
              <w:left w:w="28" w:type="dxa"/>
              <w:bottom w:w="0" w:type="dxa"/>
              <w:right w:w="28" w:type="dxa"/>
            </w:tcMar>
            <w:vAlign w:val="center"/>
          </w:tcPr>
          <w:p w:rsidR="00C10C16" w:rsidRPr="00E51153" w:rsidRDefault="00C10C16" w:rsidP="00A66505">
            <w:pPr>
              <w:jc w:val="center"/>
            </w:pPr>
            <w:r w:rsidRPr="00E51153">
              <w:t>15 000</w:t>
            </w:r>
          </w:p>
        </w:tc>
        <w:tc>
          <w:tcPr>
            <w:tcW w:w="927" w:type="dxa"/>
            <w:tcBorders>
              <w:top w:val="nil"/>
              <w:left w:val="nil"/>
              <w:bottom w:val="nil"/>
              <w:right w:val="single" w:sz="8" w:space="0" w:color="auto"/>
            </w:tcBorders>
            <w:tcMar>
              <w:top w:w="0" w:type="dxa"/>
              <w:left w:w="28" w:type="dxa"/>
              <w:bottom w:w="0" w:type="dxa"/>
              <w:right w:w="28" w:type="dxa"/>
            </w:tcMar>
            <w:vAlign w:val="center"/>
          </w:tcPr>
          <w:p w:rsidR="00C10C16" w:rsidRPr="00E51153" w:rsidRDefault="00C10C16" w:rsidP="00A66505">
            <w:pPr>
              <w:jc w:val="center"/>
            </w:pPr>
            <w:r w:rsidRPr="00E51153">
              <w:t>Unlimited</w:t>
            </w:r>
          </w:p>
        </w:tc>
        <w:tc>
          <w:tcPr>
            <w:tcW w:w="800" w:type="dxa"/>
            <w:tcBorders>
              <w:top w:val="nil"/>
              <w:left w:val="nil"/>
              <w:bottom w:val="nil"/>
              <w:right w:val="single" w:sz="8" w:space="0" w:color="auto"/>
            </w:tcBorders>
            <w:tcMar>
              <w:top w:w="0" w:type="dxa"/>
              <w:left w:w="28" w:type="dxa"/>
              <w:bottom w:w="0" w:type="dxa"/>
              <w:right w:w="28" w:type="dxa"/>
            </w:tcMar>
            <w:vAlign w:val="center"/>
          </w:tcPr>
          <w:p w:rsidR="00C10C16" w:rsidRPr="00E51153" w:rsidRDefault="00C10C16" w:rsidP="00A66505">
            <w:pPr>
              <w:jc w:val="center"/>
            </w:pPr>
            <w:r w:rsidRPr="00E51153">
              <w:t>5 000</w:t>
            </w:r>
          </w:p>
        </w:tc>
        <w:tc>
          <w:tcPr>
            <w:tcW w:w="1125" w:type="dxa"/>
            <w:tcBorders>
              <w:top w:val="nil"/>
              <w:left w:val="nil"/>
              <w:bottom w:val="nil"/>
              <w:right w:val="single" w:sz="8" w:space="0" w:color="auto"/>
            </w:tcBorders>
            <w:tcMar>
              <w:top w:w="0" w:type="dxa"/>
              <w:left w:w="28" w:type="dxa"/>
              <w:bottom w:w="0" w:type="dxa"/>
              <w:right w:w="28" w:type="dxa"/>
            </w:tcMar>
            <w:vAlign w:val="center"/>
          </w:tcPr>
          <w:p w:rsidR="00C10C16" w:rsidRPr="00E51153" w:rsidRDefault="00C10C16" w:rsidP="00A66505">
            <w:pPr>
              <w:jc w:val="center"/>
            </w:pPr>
            <w:r w:rsidRPr="00E51153">
              <w:t>Unlimited</w:t>
            </w:r>
          </w:p>
        </w:tc>
      </w:tr>
      <w:tr w:rsidR="00C10C16" w:rsidRPr="00E51153" w:rsidTr="00C10C16">
        <w:trPr>
          <w:cantSplit/>
          <w:trHeight w:val="392"/>
          <w:jc w:val="center"/>
        </w:trPr>
        <w:tc>
          <w:tcPr>
            <w:tcW w:w="2712" w:type="dxa"/>
            <w:gridSpan w:val="2"/>
            <w:tcBorders>
              <w:top w:val="single" w:sz="8" w:space="0" w:color="auto"/>
              <w:left w:val="single" w:sz="8" w:space="0" w:color="auto"/>
              <w:bottom w:val="single" w:sz="8" w:space="0" w:color="auto"/>
              <w:right w:val="single" w:sz="8" w:space="0" w:color="auto"/>
            </w:tcBorders>
            <w:vAlign w:val="center"/>
          </w:tcPr>
          <w:p w:rsidR="00C10C16" w:rsidRPr="00E51153" w:rsidRDefault="00C10C16" w:rsidP="00C10C16">
            <w:r w:rsidRPr="00E51153">
              <w:t>EX/</w:t>
            </w:r>
            <w:proofErr w:type="spellStart"/>
            <w:r w:rsidRPr="00E51153">
              <w:t>III</w:t>
            </w:r>
            <w:r w:rsidRPr="00C10C16">
              <w:rPr>
                <w:vertAlign w:val="superscript"/>
              </w:rPr>
              <w:t>a</w:t>
            </w:r>
            <w:proofErr w:type="spellEnd"/>
          </w:p>
        </w:tc>
        <w:tc>
          <w:tcPr>
            <w:tcW w:w="80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C10C16" w:rsidRPr="00E51153" w:rsidRDefault="00C10C16" w:rsidP="00A66505">
            <w:pPr>
              <w:jc w:val="center"/>
            </w:pPr>
            <w:r w:rsidRPr="00E51153">
              <w:t>18.75</w:t>
            </w:r>
          </w:p>
        </w:tc>
        <w:tc>
          <w:tcPr>
            <w:tcW w:w="90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C10C16" w:rsidRPr="00E51153" w:rsidRDefault="00C10C16" w:rsidP="00A66505">
            <w:pPr>
              <w:jc w:val="center"/>
            </w:pPr>
            <w:r w:rsidRPr="00E51153">
              <w:t>16 000</w:t>
            </w:r>
          </w:p>
        </w:tc>
        <w:tc>
          <w:tcPr>
            <w:tcW w:w="80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C10C16" w:rsidRPr="00E51153" w:rsidRDefault="00C10C16" w:rsidP="00A66505">
            <w:pPr>
              <w:jc w:val="center"/>
            </w:pPr>
            <w:r w:rsidRPr="00E51153">
              <w:t>16 000</w:t>
            </w:r>
          </w:p>
        </w:tc>
        <w:tc>
          <w:tcPr>
            <w:tcW w:w="80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C10C16" w:rsidRPr="00E51153" w:rsidRDefault="00C10C16" w:rsidP="00A66505">
            <w:pPr>
              <w:jc w:val="center"/>
            </w:pPr>
            <w:r w:rsidRPr="00E51153">
              <w:t>16 000</w:t>
            </w:r>
          </w:p>
        </w:tc>
        <w:tc>
          <w:tcPr>
            <w:tcW w:w="90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C10C16" w:rsidRPr="00E51153" w:rsidRDefault="00C10C16" w:rsidP="00A66505">
            <w:pPr>
              <w:jc w:val="center"/>
            </w:pPr>
            <w:r w:rsidRPr="00E51153">
              <w:t>16 000</w:t>
            </w:r>
          </w:p>
        </w:tc>
        <w:tc>
          <w:tcPr>
            <w:tcW w:w="927"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C10C16" w:rsidRPr="00E51153" w:rsidRDefault="00C10C16" w:rsidP="00A66505">
            <w:pPr>
              <w:jc w:val="center"/>
            </w:pPr>
            <w:r w:rsidRPr="00E51153">
              <w:t>Unlimited</w:t>
            </w:r>
          </w:p>
        </w:tc>
        <w:tc>
          <w:tcPr>
            <w:tcW w:w="80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C10C16" w:rsidRPr="00E51153" w:rsidRDefault="00C10C16" w:rsidP="00A66505">
            <w:pPr>
              <w:jc w:val="center"/>
            </w:pPr>
            <w:r w:rsidRPr="00E51153">
              <w:t>16 000</w:t>
            </w:r>
          </w:p>
        </w:tc>
        <w:tc>
          <w:tcPr>
            <w:tcW w:w="112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C10C16" w:rsidRPr="00E51153" w:rsidRDefault="00C10C16" w:rsidP="00A66505">
            <w:pPr>
              <w:jc w:val="center"/>
            </w:pPr>
            <w:r w:rsidRPr="00E51153">
              <w:t>Unlimited</w:t>
            </w:r>
          </w:p>
        </w:tc>
      </w:tr>
    </w:tbl>
    <w:p w:rsidR="00C10C16" w:rsidRDefault="00C10C16" w:rsidP="00743839">
      <w:pPr>
        <w:pStyle w:val="SingleTxt"/>
        <w:spacing w:after="0" w:line="120" w:lineRule="exact"/>
        <w:rPr>
          <w:sz w:val="10"/>
        </w:rPr>
      </w:pPr>
    </w:p>
    <w:p w:rsidR="00743839" w:rsidRPr="004905BA" w:rsidRDefault="00F254B4" w:rsidP="00F254B4">
      <w:pPr>
        <w:pStyle w:val="Notedebasdepage"/>
        <w:tabs>
          <w:tab w:val="clear" w:pos="418"/>
          <w:tab w:val="right" w:pos="1476"/>
          <w:tab w:val="left" w:pos="1548"/>
          <w:tab w:val="right" w:pos="1836"/>
          <w:tab w:val="left" w:pos="1908"/>
        </w:tabs>
        <w:ind w:left="1548" w:hanging="288"/>
      </w:pPr>
      <w:r>
        <w:rPr>
          <w:vertAlign w:val="superscript"/>
        </w:rPr>
        <w:tab/>
      </w:r>
      <w:proofErr w:type="gramStart"/>
      <w:r w:rsidR="00743839" w:rsidRPr="004905BA">
        <w:rPr>
          <w:vertAlign w:val="superscript"/>
        </w:rPr>
        <w:t>a</w:t>
      </w:r>
      <w:proofErr w:type="gramEnd"/>
      <w:r w:rsidR="00743839">
        <w:tab/>
      </w:r>
      <w:r w:rsidR="00743839" w:rsidRPr="00F254B4">
        <w:rPr>
          <w:i/>
          <w:iCs/>
        </w:rPr>
        <w:t>For the description of</w:t>
      </w:r>
      <w:r w:rsidR="00563C71" w:rsidRPr="00F254B4">
        <w:rPr>
          <w:i/>
          <w:iCs/>
        </w:rPr>
        <w:t xml:space="preserve"> </w:t>
      </w:r>
      <w:r w:rsidR="00743839" w:rsidRPr="00F254B4">
        <w:rPr>
          <w:i/>
          <w:iCs/>
        </w:rPr>
        <w:t>EX/II and EX/III vehicles see part 9.</w:t>
      </w:r>
    </w:p>
    <w:p w:rsidR="004905BA" w:rsidRPr="004905BA" w:rsidRDefault="004905BA" w:rsidP="004905BA">
      <w:pPr>
        <w:pStyle w:val="HCh"/>
        <w:spacing w:line="120" w:lineRule="exact"/>
        <w:ind w:left="1267" w:right="1260" w:hanging="1267"/>
        <w:rPr>
          <w:sz w:val="10"/>
        </w:rPr>
      </w:pPr>
    </w:p>
    <w:p w:rsidR="004905BA" w:rsidRPr="004905BA" w:rsidRDefault="004905BA" w:rsidP="004905BA">
      <w:pPr>
        <w:pStyle w:val="HCh"/>
        <w:spacing w:line="120" w:lineRule="exact"/>
        <w:ind w:left="1267" w:right="1260" w:hanging="1267"/>
        <w:rPr>
          <w:sz w:val="10"/>
        </w:rPr>
      </w:pPr>
    </w:p>
    <w:p w:rsidR="00743839" w:rsidRPr="00E51153" w:rsidRDefault="004905BA" w:rsidP="004905BA">
      <w:pPr>
        <w:pStyle w:val="HCh"/>
        <w:ind w:left="1267" w:right="1260" w:hanging="1267"/>
      </w:pPr>
      <w:r>
        <w:tab/>
      </w:r>
      <w:r>
        <w:tab/>
      </w:r>
      <w:r w:rsidR="00743839" w:rsidRPr="00E51153">
        <w:t>Justification</w:t>
      </w:r>
    </w:p>
    <w:p w:rsidR="004905BA" w:rsidRPr="004905BA" w:rsidRDefault="004905BA" w:rsidP="004905BA">
      <w:pPr>
        <w:pStyle w:val="SingleTxt"/>
        <w:spacing w:after="0" w:line="120" w:lineRule="exact"/>
        <w:rPr>
          <w:sz w:val="10"/>
        </w:rPr>
      </w:pPr>
    </w:p>
    <w:p w:rsidR="004905BA" w:rsidRPr="004905BA" w:rsidRDefault="004905BA" w:rsidP="004905BA">
      <w:pPr>
        <w:pStyle w:val="SingleTxt"/>
        <w:spacing w:after="0" w:line="120" w:lineRule="exact"/>
        <w:rPr>
          <w:sz w:val="10"/>
        </w:rPr>
      </w:pPr>
    </w:p>
    <w:p w:rsidR="00743839" w:rsidRPr="00E51153" w:rsidRDefault="00743839" w:rsidP="00743839">
      <w:pPr>
        <w:pStyle w:val="SingleTxt"/>
      </w:pPr>
      <w:r w:rsidRPr="00E51153">
        <w:t>Safety:</w:t>
      </w:r>
      <w:r w:rsidRPr="00E51153">
        <w:tab/>
      </w:r>
      <w:r w:rsidRPr="00E51153">
        <w:tab/>
        <w:t>Improves safety.</w:t>
      </w:r>
    </w:p>
    <w:p w:rsidR="00743839" w:rsidRPr="00E51153" w:rsidRDefault="00743839" w:rsidP="004905BA">
      <w:pPr>
        <w:pStyle w:val="SingleTxt"/>
      </w:pPr>
      <w:r w:rsidRPr="00E51153">
        <w:t>Feasibility:</w:t>
      </w:r>
      <w:r w:rsidRPr="00E51153">
        <w:tab/>
        <w:t>Avoids any confusion when interpreting the documents.</w:t>
      </w:r>
    </w:p>
    <w:p w:rsidR="00743839" w:rsidRPr="00E51153" w:rsidRDefault="00743839" w:rsidP="00743839">
      <w:pPr>
        <w:pStyle w:val="SingleTxt"/>
      </w:pPr>
      <w:r w:rsidRPr="00E51153">
        <w:t>Enforceability:</w:t>
      </w:r>
      <w:r w:rsidRPr="00E51153">
        <w:tab/>
        <w:t>Facilitates the</w:t>
      </w:r>
      <w:r w:rsidR="00563C71">
        <w:t xml:space="preserve"> application of the provisions.</w:t>
      </w:r>
    </w:p>
    <w:p w:rsidR="00F51197" w:rsidRPr="002C76A9" w:rsidRDefault="00DC5D97" w:rsidP="00743839">
      <w:pPr>
        <w:pStyle w:val="SingleTxt"/>
      </w:pPr>
      <w:r w:rsidRPr="00DC5D97">
        <w:rPr>
          <w:noProof/>
          <w:w w:val="100"/>
        </w:rPr>
        <w:pict>
          <v:line id="Straight Connector 4" o:spid="_x0000_s1026" style="position:absolute;left:0;text-align:left;z-index:251659264;visibility:visible"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w:r>
    </w:p>
    <w:sectPr w:rsidR="00F51197" w:rsidRPr="002C76A9" w:rsidSect="00F51197">
      <w:endnotePr>
        <w:numFmt w:val="decimal"/>
      </w:endnotePr>
      <w:type w:val="continuous"/>
      <w:pgSz w:w="11909" w:h="16834" w:code="1"/>
      <w:pgMar w:top="1742" w:right="936" w:bottom="1898" w:left="936" w:header="576" w:footer="1030" w:gutter="0"/>
      <w:pgNumType w:start="1"/>
      <w:cols w:space="720"/>
      <w:noEndnote/>
      <w:docGrid w:linePitch="2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FE8" w:rsidRDefault="00CB2FE8">
      <w:r>
        <w:separator/>
      </w:r>
    </w:p>
  </w:endnote>
  <w:endnote w:type="continuationSeparator" w:id="0">
    <w:p w:rsidR="00CB2FE8" w:rsidRDefault="00CB2F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jc w:val="center"/>
      <w:tblLayout w:type="fixed"/>
      <w:tblLook w:val="0000"/>
    </w:tblPr>
    <w:tblGrid>
      <w:gridCol w:w="5126"/>
      <w:gridCol w:w="5127"/>
    </w:tblGrid>
    <w:tr w:rsidR="00F51197" w:rsidTr="00F51197">
      <w:trPr>
        <w:jc w:val="center"/>
      </w:trPr>
      <w:tc>
        <w:tcPr>
          <w:tcW w:w="5126" w:type="dxa"/>
          <w:shd w:val="clear" w:color="auto" w:fill="auto"/>
        </w:tcPr>
        <w:p w:rsidR="00F51197" w:rsidRPr="00F51197" w:rsidRDefault="00DC5D97" w:rsidP="00F51197">
          <w:pPr>
            <w:pStyle w:val="Pieddepage"/>
            <w:jc w:val="right"/>
            <w:rPr>
              <w:b w:val="0"/>
              <w:w w:val="103"/>
              <w:sz w:val="14"/>
            </w:rPr>
          </w:pPr>
          <w:fldSimple w:instr=" DOCVARIABLE &quot;FooterJN&quot; \* MERGEFORMAT ">
            <w:r w:rsidR="00F30070">
              <w:rPr>
                <w:b w:val="0"/>
                <w:w w:val="103"/>
                <w:sz w:val="14"/>
              </w:rPr>
              <w:t>GE.15-13381</w:t>
            </w:r>
          </w:fldSimple>
        </w:p>
      </w:tc>
      <w:tc>
        <w:tcPr>
          <w:tcW w:w="5127" w:type="dxa"/>
          <w:shd w:val="clear" w:color="auto" w:fill="auto"/>
        </w:tcPr>
        <w:p w:rsidR="00F51197" w:rsidRPr="00F51197" w:rsidRDefault="00DC5D97" w:rsidP="00F51197">
          <w:pPr>
            <w:pStyle w:val="Pieddepage"/>
            <w:rPr>
              <w:w w:val="103"/>
            </w:rPr>
          </w:pPr>
          <w:r>
            <w:rPr>
              <w:w w:val="103"/>
            </w:rPr>
            <w:fldChar w:fldCharType="begin"/>
          </w:r>
          <w:r w:rsidR="00F51197">
            <w:rPr>
              <w:w w:val="103"/>
            </w:rPr>
            <w:instrText xml:space="preserve"> PAGE  \* Arabic  \* MERGEFORMAT </w:instrText>
          </w:r>
          <w:r>
            <w:rPr>
              <w:w w:val="103"/>
            </w:rPr>
            <w:fldChar w:fldCharType="separate"/>
          </w:r>
          <w:r w:rsidR="000807E2">
            <w:rPr>
              <w:w w:val="103"/>
            </w:rPr>
            <w:t>2</w:t>
          </w:r>
          <w:r>
            <w:rPr>
              <w:w w:val="103"/>
            </w:rPr>
            <w:fldChar w:fldCharType="end"/>
          </w:r>
          <w:r w:rsidR="00F51197">
            <w:rPr>
              <w:w w:val="103"/>
            </w:rPr>
            <w:t>/</w:t>
          </w:r>
          <w:fldSimple w:instr=" NUMPAGES  \* Arabic  \* MERGEFORMAT ">
            <w:r w:rsidR="000807E2">
              <w:rPr>
                <w:w w:val="103"/>
              </w:rPr>
              <w:t>3</w:t>
            </w:r>
          </w:fldSimple>
        </w:p>
      </w:tc>
    </w:tr>
  </w:tbl>
  <w:p w:rsidR="00F51197" w:rsidRPr="00F51197" w:rsidRDefault="00F51197" w:rsidP="00F5119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jc w:val="center"/>
      <w:tblLayout w:type="fixed"/>
      <w:tblLook w:val="0000"/>
    </w:tblPr>
    <w:tblGrid>
      <w:gridCol w:w="5126"/>
      <w:gridCol w:w="5127"/>
    </w:tblGrid>
    <w:tr w:rsidR="00F51197" w:rsidTr="00F51197">
      <w:trPr>
        <w:jc w:val="center"/>
      </w:trPr>
      <w:tc>
        <w:tcPr>
          <w:tcW w:w="5126" w:type="dxa"/>
          <w:shd w:val="clear" w:color="auto" w:fill="auto"/>
        </w:tcPr>
        <w:p w:rsidR="00F51197" w:rsidRPr="00F51197" w:rsidRDefault="00DC5D97" w:rsidP="00F51197">
          <w:pPr>
            <w:pStyle w:val="Pieddepage"/>
            <w:jc w:val="right"/>
            <w:rPr>
              <w:w w:val="103"/>
            </w:rPr>
          </w:pPr>
          <w:r>
            <w:rPr>
              <w:w w:val="103"/>
            </w:rPr>
            <w:fldChar w:fldCharType="begin"/>
          </w:r>
          <w:r w:rsidR="00F51197">
            <w:rPr>
              <w:w w:val="103"/>
            </w:rPr>
            <w:instrText xml:space="preserve"> PAGE  \* Arabic  \* MERGEFORMAT </w:instrText>
          </w:r>
          <w:r>
            <w:rPr>
              <w:w w:val="103"/>
            </w:rPr>
            <w:fldChar w:fldCharType="separate"/>
          </w:r>
          <w:r w:rsidR="000807E2">
            <w:rPr>
              <w:w w:val="103"/>
            </w:rPr>
            <w:t>3</w:t>
          </w:r>
          <w:r>
            <w:rPr>
              <w:w w:val="103"/>
            </w:rPr>
            <w:fldChar w:fldCharType="end"/>
          </w:r>
          <w:r w:rsidR="00F51197">
            <w:rPr>
              <w:w w:val="103"/>
            </w:rPr>
            <w:t>/</w:t>
          </w:r>
          <w:fldSimple w:instr=" NUMPAGES  \* Arabic  \* MERGEFORMAT ">
            <w:r w:rsidR="000807E2">
              <w:rPr>
                <w:w w:val="103"/>
              </w:rPr>
              <w:t>3</w:t>
            </w:r>
          </w:fldSimple>
        </w:p>
      </w:tc>
      <w:tc>
        <w:tcPr>
          <w:tcW w:w="5127" w:type="dxa"/>
          <w:shd w:val="clear" w:color="auto" w:fill="auto"/>
        </w:tcPr>
        <w:p w:rsidR="00F51197" w:rsidRPr="00F51197" w:rsidRDefault="00DC5D97" w:rsidP="00F51197">
          <w:pPr>
            <w:pStyle w:val="Pieddepage"/>
            <w:rPr>
              <w:b w:val="0"/>
              <w:w w:val="103"/>
              <w:sz w:val="14"/>
            </w:rPr>
          </w:pPr>
          <w:fldSimple w:instr=" DOCVARIABLE &quot;FooterJN&quot; \* MERGEFORMAT ">
            <w:r w:rsidR="00F30070">
              <w:rPr>
                <w:b w:val="0"/>
                <w:w w:val="103"/>
                <w:sz w:val="14"/>
              </w:rPr>
              <w:t>GE.15-13381</w:t>
            </w:r>
          </w:fldSimple>
        </w:p>
      </w:tc>
    </w:tr>
  </w:tbl>
  <w:p w:rsidR="00F51197" w:rsidRPr="00F51197" w:rsidRDefault="00F51197" w:rsidP="00F5119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859"/>
      <w:gridCol w:w="5127"/>
    </w:tblGrid>
    <w:tr w:rsidR="00F51197" w:rsidTr="00F51197">
      <w:tc>
        <w:tcPr>
          <w:tcW w:w="3859" w:type="dxa"/>
        </w:tcPr>
        <w:p w:rsidR="00F51197" w:rsidRDefault="00F51197" w:rsidP="00F51197">
          <w:pPr>
            <w:pStyle w:val="ReleaseDate"/>
          </w:pPr>
          <w:r>
            <w:rPr>
              <w:noProof/>
              <w:lang w:val="fr-FR" w:eastAsia="fr-FR"/>
            </w:rPr>
            <w:drawing>
              <wp:anchor distT="0" distB="0" distL="114300" distR="114300" simplePos="0" relativeHeight="251658240" behindDoc="0" locked="0" layoutInCell="1" allowOverlap="1">
                <wp:simplePos x="0" y="0"/>
                <wp:positionH relativeFrom="column">
                  <wp:posOffset>5659755</wp:posOffset>
                </wp:positionH>
                <wp:positionV relativeFrom="paragraph">
                  <wp:posOffset>-365760</wp:posOffset>
                </wp:positionV>
                <wp:extent cx="694690" cy="694690"/>
                <wp:effectExtent l="0" t="0" r="0" b="0"/>
                <wp:wrapNone/>
                <wp:docPr id="3" name="Picture 3" descr="http://undocs.org/m2/QRCode2.ashx?DS=ECE/TRANS/WP.15/2015/9&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ECE/TRANS/WP.15/2015/9&amp;Size =1&amp;Lang = 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anchor>
            </w:drawing>
          </w:r>
          <w:r>
            <w:t xml:space="preserve">GE.15-13381 (E)    310815    </w:t>
          </w:r>
          <w:proofErr w:type="spellStart"/>
          <w:r>
            <w:t>310815</w:t>
          </w:r>
          <w:proofErr w:type="spellEnd"/>
        </w:p>
        <w:p w:rsidR="00F51197" w:rsidRPr="00F51197" w:rsidRDefault="00F51197" w:rsidP="00F51197">
          <w:pPr>
            <w:pStyle w:val="Pieddepage"/>
            <w:spacing w:before="80" w:line="210" w:lineRule="exact"/>
            <w:rPr>
              <w:rFonts w:ascii="Barcode 3 of 9 by request" w:hAnsi="Barcode 3 of 9 by request"/>
              <w:sz w:val="24"/>
              <w:lang w:val="en-GB"/>
            </w:rPr>
          </w:pPr>
          <w:r>
            <w:rPr>
              <w:rFonts w:ascii="Barcode 3 of 9 by request" w:hAnsi="Barcode 3 of 9 by request" w:hint="eastAsia"/>
              <w:sz w:val="24"/>
              <w:lang w:val="en-GB"/>
            </w:rPr>
            <w:t>*1513381*</w:t>
          </w:r>
        </w:p>
      </w:tc>
      <w:tc>
        <w:tcPr>
          <w:tcW w:w="5127" w:type="dxa"/>
        </w:tcPr>
        <w:p w:rsidR="00F51197" w:rsidRDefault="00F51197" w:rsidP="00F51197">
          <w:pPr>
            <w:pStyle w:val="Pieddepage"/>
            <w:jc w:val="right"/>
            <w:rPr>
              <w:b w:val="0"/>
              <w:sz w:val="20"/>
            </w:rPr>
          </w:pPr>
          <w:r>
            <w:rPr>
              <w:b w:val="0"/>
              <w:sz w:val="20"/>
              <w:lang w:val="fr-FR" w:eastAsia="fr-FR"/>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F51197" w:rsidRPr="00F51197" w:rsidRDefault="00F51197" w:rsidP="00F51197">
    <w:pPr>
      <w:pStyle w:val="Pieddepage"/>
      <w:spacing w:line="56" w:lineRule="auto"/>
      <w:rPr>
        <w:b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FE8" w:rsidRPr="00743839" w:rsidRDefault="00CB2FE8" w:rsidP="00743839">
      <w:pPr>
        <w:pStyle w:val="Pieddepage"/>
        <w:spacing w:after="80"/>
        <w:ind w:left="792"/>
        <w:rPr>
          <w:sz w:val="16"/>
        </w:rPr>
      </w:pPr>
      <w:r w:rsidRPr="00743839">
        <w:rPr>
          <w:sz w:val="16"/>
        </w:rPr>
        <w:t>__________________</w:t>
      </w:r>
    </w:p>
  </w:footnote>
  <w:footnote w:type="continuationSeparator" w:id="0">
    <w:p w:rsidR="00CB2FE8" w:rsidRPr="00743839" w:rsidRDefault="00CB2FE8" w:rsidP="00743839">
      <w:pPr>
        <w:pStyle w:val="Pieddepage"/>
        <w:spacing w:after="80"/>
        <w:ind w:left="792"/>
        <w:rPr>
          <w:sz w:val="16"/>
        </w:rPr>
      </w:pPr>
      <w:r w:rsidRPr="00743839">
        <w:rPr>
          <w:sz w:val="16"/>
        </w:rPr>
        <w:t>__________________</w:t>
      </w:r>
    </w:p>
  </w:footnote>
  <w:footnote w:id="1">
    <w:p w:rsidR="00743839" w:rsidRPr="00B87738" w:rsidRDefault="00743839" w:rsidP="00DE4210">
      <w:pPr>
        <w:pStyle w:val="Notedebasdepage"/>
        <w:tabs>
          <w:tab w:val="clear" w:pos="418"/>
          <w:tab w:val="right" w:pos="1195"/>
          <w:tab w:val="left" w:pos="1267"/>
          <w:tab w:val="left" w:pos="1742"/>
          <w:tab w:val="left" w:pos="2218"/>
          <w:tab w:val="left" w:pos="2693"/>
        </w:tabs>
        <w:ind w:left="1267" w:right="1260" w:hanging="432"/>
      </w:pPr>
      <w:r>
        <w:tab/>
      </w:r>
      <w:r>
        <w:rPr>
          <w:rStyle w:val="Appelnotedebasdep"/>
        </w:rPr>
        <w:footnoteRef/>
      </w:r>
      <w:r w:rsidRPr="00B87738">
        <w:tab/>
      </w:r>
      <w:proofErr w:type="gramStart"/>
      <w:r w:rsidRPr="00B87738">
        <w:t>In accordance with the programme of work of the Inland Transport Committee for 2014</w:t>
      </w:r>
      <w:r w:rsidR="00DE4210">
        <w:t>-</w:t>
      </w:r>
      <w:r w:rsidRPr="00B87738">
        <w:t xml:space="preserve">2015 (ECE/TRANS/240, </w:t>
      </w:r>
      <w:proofErr w:type="spellStart"/>
      <w:r w:rsidRPr="00B87738">
        <w:t>par</w:t>
      </w:r>
      <w:r>
        <w:t>a</w:t>
      </w:r>
      <w:proofErr w:type="spellEnd"/>
      <w:r w:rsidRPr="00B87738">
        <w:t>.</w:t>
      </w:r>
      <w:r>
        <w:t xml:space="preserve"> </w:t>
      </w:r>
      <w:r w:rsidRPr="00B87738">
        <w:t xml:space="preserve">100, ECE/TRANS/2014/23, </w:t>
      </w:r>
      <w:r>
        <w:t xml:space="preserve">cluster </w:t>
      </w:r>
      <w:r w:rsidRPr="00B87738">
        <w:t xml:space="preserve">9, </w:t>
      </w:r>
      <w:proofErr w:type="spellStart"/>
      <w:r w:rsidRPr="00B87738">
        <w:t>par</w:t>
      </w:r>
      <w:r>
        <w:t>a</w:t>
      </w:r>
      <w:proofErr w:type="spellEnd"/>
      <w:r w:rsidRPr="00B87738">
        <w:t>.</w:t>
      </w:r>
      <w:r>
        <w:t xml:space="preserve"> </w:t>
      </w:r>
      <w:r w:rsidRPr="00B87738">
        <w:t>9.1).</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bottom w:val="single" w:sz="2" w:space="0" w:color="000000"/>
      </w:tblBorders>
      <w:tblLayout w:type="fixed"/>
      <w:tblCellMar>
        <w:left w:w="0" w:type="dxa"/>
        <w:right w:w="0" w:type="dxa"/>
      </w:tblCellMar>
      <w:tblLook w:val="0000"/>
    </w:tblPr>
    <w:tblGrid>
      <w:gridCol w:w="4882"/>
      <w:gridCol w:w="5127"/>
    </w:tblGrid>
    <w:tr w:rsidR="00F51197" w:rsidTr="00F51197">
      <w:trPr>
        <w:trHeight w:hRule="exact" w:val="864"/>
        <w:jc w:val="center"/>
      </w:trPr>
      <w:tc>
        <w:tcPr>
          <w:tcW w:w="4882" w:type="dxa"/>
          <w:shd w:val="clear" w:color="auto" w:fill="auto"/>
          <w:vAlign w:val="bottom"/>
        </w:tcPr>
        <w:p w:rsidR="00F51197" w:rsidRPr="00F51197" w:rsidRDefault="00DC5D97" w:rsidP="00F51197">
          <w:pPr>
            <w:pStyle w:val="En-tte"/>
            <w:spacing w:after="80"/>
            <w:rPr>
              <w:b/>
            </w:rPr>
          </w:pPr>
          <w:r>
            <w:rPr>
              <w:b/>
            </w:rPr>
            <w:fldChar w:fldCharType="begin"/>
          </w:r>
          <w:r w:rsidR="00F51197">
            <w:rPr>
              <w:b/>
            </w:rPr>
            <w:instrText xml:space="preserve"> DOCVARIABLE "sss1" \* MERGEFORMAT </w:instrText>
          </w:r>
          <w:r>
            <w:rPr>
              <w:b/>
            </w:rPr>
            <w:fldChar w:fldCharType="separate"/>
          </w:r>
          <w:r w:rsidR="00F30070">
            <w:rPr>
              <w:b/>
            </w:rPr>
            <w:t>ECE/TRANS/WP.15/2015/9</w:t>
          </w:r>
          <w:r>
            <w:rPr>
              <w:b/>
            </w:rPr>
            <w:fldChar w:fldCharType="end"/>
          </w:r>
        </w:p>
      </w:tc>
      <w:tc>
        <w:tcPr>
          <w:tcW w:w="5127" w:type="dxa"/>
          <w:shd w:val="clear" w:color="auto" w:fill="auto"/>
          <w:vAlign w:val="bottom"/>
        </w:tcPr>
        <w:p w:rsidR="00F51197" w:rsidRDefault="00F51197" w:rsidP="00F51197">
          <w:pPr>
            <w:pStyle w:val="En-tte"/>
          </w:pPr>
        </w:p>
      </w:tc>
    </w:tr>
  </w:tbl>
  <w:p w:rsidR="00F51197" w:rsidRPr="00F51197" w:rsidRDefault="00F51197" w:rsidP="00F5119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bottom w:val="single" w:sz="2" w:space="0" w:color="000000"/>
      </w:tblBorders>
      <w:tblLayout w:type="fixed"/>
      <w:tblCellMar>
        <w:left w:w="0" w:type="dxa"/>
        <w:right w:w="0" w:type="dxa"/>
      </w:tblCellMar>
      <w:tblLook w:val="0000"/>
    </w:tblPr>
    <w:tblGrid>
      <w:gridCol w:w="4882"/>
      <w:gridCol w:w="5127"/>
    </w:tblGrid>
    <w:tr w:rsidR="00F51197" w:rsidTr="00F51197">
      <w:trPr>
        <w:trHeight w:hRule="exact" w:val="864"/>
        <w:jc w:val="center"/>
      </w:trPr>
      <w:tc>
        <w:tcPr>
          <w:tcW w:w="4882" w:type="dxa"/>
          <w:shd w:val="clear" w:color="auto" w:fill="auto"/>
          <w:vAlign w:val="bottom"/>
        </w:tcPr>
        <w:p w:rsidR="00F51197" w:rsidRDefault="00F51197" w:rsidP="00F51197">
          <w:pPr>
            <w:pStyle w:val="En-tte"/>
          </w:pPr>
        </w:p>
      </w:tc>
      <w:tc>
        <w:tcPr>
          <w:tcW w:w="5127" w:type="dxa"/>
          <w:shd w:val="clear" w:color="auto" w:fill="auto"/>
          <w:vAlign w:val="bottom"/>
        </w:tcPr>
        <w:p w:rsidR="00F51197" w:rsidRPr="00F51197" w:rsidRDefault="00DC5D97" w:rsidP="00F51197">
          <w:pPr>
            <w:pStyle w:val="En-tte"/>
            <w:spacing w:after="80"/>
            <w:jc w:val="right"/>
            <w:rPr>
              <w:b/>
            </w:rPr>
          </w:pPr>
          <w:fldSimple w:instr=" DOCVARIABLE &quot;sss1&quot; \* MERGEFORMAT ">
            <w:r w:rsidR="00F30070">
              <w:rPr>
                <w:b/>
              </w:rPr>
              <w:t>ECE/TRANS/WP.15/2015/9</w:t>
            </w:r>
          </w:fldSimple>
        </w:p>
      </w:tc>
    </w:tr>
  </w:tbl>
  <w:p w:rsidR="00F51197" w:rsidRPr="00F51197" w:rsidRDefault="00F51197" w:rsidP="00F5119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7" w:type="dxa"/>
      <w:tblLayout w:type="fixed"/>
      <w:tblCellMar>
        <w:left w:w="0" w:type="dxa"/>
        <w:right w:w="0" w:type="dxa"/>
      </w:tblCellMar>
      <w:tblLook w:val="0000"/>
    </w:tblPr>
    <w:tblGrid>
      <w:gridCol w:w="1267"/>
      <w:gridCol w:w="1872"/>
      <w:gridCol w:w="245"/>
      <w:gridCol w:w="3110"/>
      <w:gridCol w:w="245"/>
      <w:gridCol w:w="3280"/>
      <w:gridCol w:w="18"/>
    </w:tblGrid>
    <w:tr w:rsidR="00F51197" w:rsidTr="00F51197">
      <w:trPr>
        <w:trHeight w:hRule="exact" w:val="864"/>
      </w:trPr>
      <w:tc>
        <w:tcPr>
          <w:tcW w:w="1267" w:type="dxa"/>
          <w:tcBorders>
            <w:bottom w:val="single" w:sz="4" w:space="0" w:color="auto"/>
          </w:tcBorders>
          <w:shd w:val="clear" w:color="auto" w:fill="auto"/>
          <w:vAlign w:val="bottom"/>
        </w:tcPr>
        <w:p w:rsidR="00F51197" w:rsidRDefault="00F51197" w:rsidP="00F51197">
          <w:pPr>
            <w:pStyle w:val="En-tte"/>
            <w:spacing w:after="120"/>
          </w:pPr>
        </w:p>
      </w:tc>
      <w:tc>
        <w:tcPr>
          <w:tcW w:w="1872" w:type="dxa"/>
          <w:tcBorders>
            <w:bottom w:val="single" w:sz="4" w:space="0" w:color="auto"/>
          </w:tcBorders>
          <w:shd w:val="clear" w:color="auto" w:fill="auto"/>
          <w:vAlign w:val="bottom"/>
        </w:tcPr>
        <w:p w:rsidR="00F51197" w:rsidRPr="00F51197" w:rsidRDefault="00F51197" w:rsidP="00F51197">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F51197" w:rsidRDefault="00F51197" w:rsidP="00F51197">
          <w:pPr>
            <w:pStyle w:val="En-tte"/>
            <w:spacing w:after="120"/>
          </w:pPr>
        </w:p>
      </w:tc>
      <w:tc>
        <w:tcPr>
          <w:tcW w:w="6653" w:type="dxa"/>
          <w:gridSpan w:val="4"/>
          <w:tcBorders>
            <w:bottom w:val="single" w:sz="4" w:space="0" w:color="auto"/>
          </w:tcBorders>
          <w:shd w:val="clear" w:color="auto" w:fill="auto"/>
          <w:vAlign w:val="bottom"/>
        </w:tcPr>
        <w:p w:rsidR="00F51197" w:rsidRPr="00F51197" w:rsidRDefault="00F51197" w:rsidP="00F51197">
          <w:pPr>
            <w:spacing w:after="80" w:line="240" w:lineRule="auto"/>
            <w:jc w:val="right"/>
            <w:rPr>
              <w:position w:val="-4"/>
            </w:rPr>
          </w:pPr>
          <w:r>
            <w:rPr>
              <w:position w:val="-4"/>
              <w:sz w:val="40"/>
            </w:rPr>
            <w:t>ECE</w:t>
          </w:r>
          <w:r>
            <w:rPr>
              <w:position w:val="-4"/>
            </w:rPr>
            <w:t>/TRANS/WP.15/2015/9</w:t>
          </w:r>
        </w:p>
      </w:tc>
    </w:tr>
    <w:tr w:rsidR="00F51197" w:rsidRPr="00F51197" w:rsidTr="00F51197">
      <w:trPr>
        <w:gridAfter w:val="1"/>
        <w:wAfter w:w="18" w:type="dxa"/>
        <w:trHeight w:hRule="exact" w:val="2880"/>
      </w:trPr>
      <w:tc>
        <w:tcPr>
          <w:tcW w:w="1267" w:type="dxa"/>
          <w:tcBorders>
            <w:top w:val="single" w:sz="4" w:space="0" w:color="auto"/>
            <w:bottom w:val="single" w:sz="12" w:space="0" w:color="auto"/>
          </w:tcBorders>
          <w:shd w:val="clear" w:color="auto" w:fill="auto"/>
        </w:tcPr>
        <w:p w:rsidR="00F51197" w:rsidRPr="00F51197" w:rsidRDefault="00F51197" w:rsidP="00F51197">
          <w:pPr>
            <w:pStyle w:val="En-tte"/>
            <w:spacing w:before="120"/>
            <w:jc w:val="center"/>
          </w:pPr>
          <w:r>
            <w:t xml:space="preserve"> </w:t>
          </w:r>
          <w:r>
            <w:rPr>
              <w:lang w:val="fr-FR" w:eastAsia="fr-FR"/>
            </w:rPr>
            <w:drawing>
              <wp:inline distT="0" distB="0" distL="0" distR="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51197" w:rsidRPr="00F51197" w:rsidRDefault="00F51197" w:rsidP="00F51197">
          <w:pPr>
            <w:pStyle w:val="XLarge"/>
            <w:spacing w:before="109"/>
          </w:pPr>
          <w:r>
            <w:t>Economic and Social Council</w:t>
          </w:r>
        </w:p>
      </w:tc>
      <w:tc>
        <w:tcPr>
          <w:tcW w:w="245" w:type="dxa"/>
          <w:tcBorders>
            <w:top w:val="single" w:sz="4" w:space="0" w:color="auto"/>
            <w:bottom w:val="single" w:sz="12" w:space="0" w:color="auto"/>
          </w:tcBorders>
          <w:shd w:val="clear" w:color="auto" w:fill="auto"/>
        </w:tcPr>
        <w:p w:rsidR="00F51197" w:rsidRPr="00F51197" w:rsidRDefault="00F51197" w:rsidP="00F51197">
          <w:pPr>
            <w:pStyle w:val="En-tte"/>
            <w:spacing w:before="109"/>
          </w:pPr>
        </w:p>
      </w:tc>
      <w:tc>
        <w:tcPr>
          <w:tcW w:w="3280" w:type="dxa"/>
          <w:tcBorders>
            <w:top w:val="single" w:sz="4" w:space="0" w:color="auto"/>
            <w:bottom w:val="single" w:sz="12" w:space="0" w:color="auto"/>
          </w:tcBorders>
          <w:shd w:val="clear" w:color="auto" w:fill="auto"/>
        </w:tcPr>
        <w:p w:rsidR="00F51197" w:rsidRDefault="00F51197" w:rsidP="00F51197">
          <w:pPr>
            <w:pStyle w:val="Distribution"/>
            <w:rPr>
              <w:color w:val="010000"/>
            </w:rPr>
          </w:pPr>
          <w:r>
            <w:rPr>
              <w:color w:val="010000"/>
            </w:rPr>
            <w:t>Distr.: General</w:t>
          </w:r>
        </w:p>
        <w:p w:rsidR="00F51197" w:rsidRDefault="00F51197" w:rsidP="00F51197">
          <w:pPr>
            <w:pStyle w:val="Publication"/>
            <w:rPr>
              <w:color w:val="010000"/>
            </w:rPr>
          </w:pPr>
          <w:r>
            <w:rPr>
              <w:color w:val="010000"/>
            </w:rPr>
            <w:t>7 August 2015</w:t>
          </w:r>
        </w:p>
        <w:p w:rsidR="00F51197" w:rsidRDefault="00F51197" w:rsidP="00F51197">
          <w:pPr>
            <w:rPr>
              <w:color w:val="010000"/>
            </w:rPr>
          </w:pPr>
          <w:r>
            <w:rPr>
              <w:color w:val="010000"/>
            </w:rPr>
            <w:t>English</w:t>
          </w:r>
        </w:p>
        <w:p w:rsidR="00F51197" w:rsidRDefault="00F51197" w:rsidP="00F51197">
          <w:pPr>
            <w:pStyle w:val="Original"/>
            <w:rPr>
              <w:color w:val="010000"/>
            </w:rPr>
          </w:pPr>
          <w:r>
            <w:rPr>
              <w:color w:val="010000"/>
            </w:rPr>
            <w:t>Original: French</w:t>
          </w:r>
        </w:p>
        <w:p w:rsidR="00F51197" w:rsidRPr="00F51197" w:rsidRDefault="00F51197" w:rsidP="00F51197"/>
      </w:tc>
    </w:tr>
  </w:tbl>
  <w:p w:rsidR="00F51197" w:rsidRPr="00F51197" w:rsidRDefault="00F51197" w:rsidP="00F51197">
    <w:pPr>
      <w:pStyle w:val="En-tte"/>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475"/>
  <w:hyphenationZone w:val="20"/>
  <w:doNotHyphenateCaps/>
  <w:evenAndOddHeaders/>
  <w:drawingGridHorizontalSpacing w:val="120"/>
  <w:displayHorizontalDrawingGridEvery w:val="2"/>
  <w:characterSpacingControl w:val="doNotCompress"/>
  <w:hdrShapeDefaults>
    <o:shapedefaults v:ext="edit" spidmax="7170"/>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
  <w:docVars>
    <w:docVar w:name="Barcode" w:val="*1513381*"/>
    <w:docVar w:name="CreationDt" w:val="31/08/2015 12:44:39"/>
    <w:docVar w:name="DocCategory" w:val="Doc"/>
    <w:docVar w:name="DocType" w:val="Final"/>
    <w:docVar w:name="DutyStation" w:val="Geneva"/>
    <w:docVar w:name="FooterJN" w:val="GE.15-13381"/>
    <w:docVar w:name="jobn" w:val="GE.15-13381 (E)"/>
    <w:docVar w:name="jobnDT" w:val="GE.15-13381 (E)   310815"/>
    <w:docVar w:name="jobnDTDT" w:val="GE. 15-13381 (E)   310815   310815"/>
    <w:docVar w:name="JobNo" w:val="GE.1513381E"/>
    <w:docVar w:name="JobNo2" w:val="1517522E"/>
    <w:docVar w:name="LocalDrive" w:val="0"/>
    <w:docVar w:name="OandT" w:val="AVT"/>
    <w:docVar w:name="PaperSize" w:val="A4"/>
    <w:docVar w:name="sss1" w:val="ECE/TRANS/WP.15/2015/9"/>
    <w:docVar w:name="sss2" w:val="-"/>
    <w:docVar w:name="Symbol1" w:val="ECE/TRANS/WP.15/2015/9"/>
    <w:docVar w:name="Symbol2" w:val="-"/>
  </w:docVars>
  <w:rsids>
    <w:rsidRoot w:val="00CC7B55"/>
    <w:rsid w:val="0000301C"/>
    <w:rsid w:val="000044BD"/>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CAB"/>
    <w:rsid w:val="000509B8"/>
    <w:rsid w:val="00051981"/>
    <w:rsid w:val="00051D6F"/>
    <w:rsid w:val="00054828"/>
    <w:rsid w:val="00057F15"/>
    <w:rsid w:val="00057FD3"/>
    <w:rsid w:val="00060FB4"/>
    <w:rsid w:val="00062E0F"/>
    <w:rsid w:val="00073B00"/>
    <w:rsid w:val="00076459"/>
    <w:rsid w:val="0007729C"/>
    <w:rsid w:val="00077C68"/>
    <w:rsid w:val="00077DB0"/>
    <w:rsid w:val="000807E2"/>
    <w:rsid w:val="00080953"/>
    <w:rsid w:val="00081CC0"/>
    <w:rsid w:val="000873DA"/>
    <w:rsid w:val="0009142F"/>
    <w:rsid w:val="000930EA"/>
    <w:rsid w:val="00095653"/>
    <w:rsid w:val="00096611"/>
    <w:rsid w:val="000A1401"/>
    <w:rsid w:val="000B2AB1"/>
    <w:rsid w:val="000B6F32"/>
    <w:rsid w:val="000B7349"/>
    <w:rsid w:val="000C30BC"/>
    <w:rsid w:val="000C49BE"/>
    <w:rsid w:val="000C676D"/>
    <w:rsid w:val="000E3E97"/>
    <w:rsid w:val="000E454F"/>
    <w:rsid w:val="000E4DB4"/>
    <w:rsid w:val="000E578F"/>
    <w:rsid w:val="000E6736"/>
    <w:rsid w:val="000E7174"/>
    <w:rsid w:val="000E7902"/>
    <w:rsid w:val="000F0681"/>
    <w:rsid w:val="000F1CED"/>
    <w:rsid w:val="000F5752"/>
    <w:rsid w:val="000F6381"/>
    <w:rsid w:val="000F6E1A"/>
    <w:rsid w:val="00100B22"/>
    <w:rsid w:val="00104C2F"/>
    <w:rsid w:val="00105C9B"/>
    <w:rsid w:val="00107D5F"/>
    <w:rsid w:val="001115D1"/>
    <w:rsid w:val="00111F5A"/>
    <w:rsid w:val="0011241F"/>
    <w:rsid w:val="00112598"/>
    <w:rsid w:val="00113764"/>
    <w:rsid w:val="00114F9E"/>
    <w:rsid w:val="0011565A"/>
    <w:rsid w:val="0012032E"/>
    <w:rsid w:val="001208CF"/>
    <w:rsid w:val="001223CB"/>
    <w:rsid w:val="0012652C"/>
    <w:rsid w:val="00132F77"/>
    <w:rsid w:val="00135DA1"/>
    <w:rsid w:val="00136ECF"/>
    <w:rsid w:val="00146E4B"/>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F8D"/>
    <w:rsid w:val="001D4790"/>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1573"/>
    <w:rsid w:val="00222D9B"/>
    <w:rsid w:val="00223E81"/>
    <w:rsid w:val="00225B63"/>
    <w:rsid w:val="00232F19"/>
    <w:rsid w:val="002339E2"/>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B0DEC"/>
    <w:rsid w:val="002B4B8E"/>
    <w:rsid w:val="002B649C"/>
    <w:rsid w:val="002B67EC"/>
    <w:rsid w:val="002B77DF"/>
    <w:rsid w:val="002C0552"/>
    <w:rsid w:val="002C12A1"/>
    <w:rsid w:val="002C171C"/>
    <w:rsid w:val="002C3AE4"/>
    <w:rsid w:val="002C69A3"/>
    <w:rsid w:val="002C76A9"/>
    <w:rsid w:val="002D0A3F"/>
    <w:rsid w:val="002D25CC"/>
    <w:rsid w:val="002D4228"/>
    <w:rsid w:val="002D4776"/>
    <w:rsid w:val="002E1C17"/>
    <w:rsid w:val="002F0531"/>
    <w:rsid w:val="002F0B79"/>
    <w:rsid w:val="002F5FAC"/>
    <w:rsid w:val="002F7170"/>
    <w:rsid w:val="00300297"/>
    <w:rsid w:val="00303242"/>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AA1"/>
    <w:rsid w:val="00365017"/>
    <w:rsid w:val="003769DF"/>
    <w:rsid w:val="0037786A"/>
    <w:rsid w:val="00383922"/>
    <w:rsid w:val="00387FE0"/>
    <w:rsid w:val="0039024C"/>
    <w:rsid w:val="003928D1"/>
    <w:rsid w:val="00392946"/>
    <w:rsid w:val="00395DFD"/>
    <w:rsid w:val="003A09C3"/>
    <w:rsid w:val="003A5087"/>
    <w:rsid w:val="003B0DE7"/>
    <w:rsid w:val="003B102B"/>
    <w:rsid w:val="003C05E2"/>
    <w:rsid w:val="003C0D55"/>
    <w:rsid w:val="003C3A7D"/>
    <w:rsid w:val="003C42F4"/>
    <w:rsid w:val="003C43F7"/>
    <w:rsid w:val="003D5797"/>
    <w:rsid w:val="003D7F08"/>
    <w:rsid w:val="003E0D98"/>
    <w:rsid w:val="003E7000"/>
    <w:rsid w:val="003E72BD"/>
    <w:rsid w:val="003E78BF"/>
    <w:rsid w:val="003F1E2B"/>
    <w:rsid w:val="003F49AB"/>
    <w:rsid w:val="003F4EDB"/>
    <w:rsid w:val="003F7EC3"/>
    <w:rsid w:val="00401E19"/>
    <w:rsid w:val="0040560E"/>
    <w:rsid w:val="00405629"/>
    <w:rsid w:val="00407301"/>
    <w:rsid w:val="00410A02"/>
    <w:rsid w:val="004125C5"/>
    <w:rsid w:val="00412ACF"/>
    <w:rsid w:val="0041494A"/>
    <w:rsid w:val="00414F44"/>
    <w:rsid w:val="0041500E"/>
    <w:rsid w:val="00417309"/>
    <w:rsid w:val="00434183"/>
    <w:rsid w:val="00436FEA"/>
    <w:rsid w:val="004411C5"/>
    <w:rsid w:val="00441580"/>
    <w:rsid w:val="00441EF4"/>
    <w:rsid w:val="004423AB"/>
    <w:rsid w:val="00443A4A"/>
    <w:rsid w:val="00444725"/>
    <w:rsid w:val="004472AD"/>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5BA"/>
    <w:rsid w:val="004907C3"/>
    <w:rsid w:val="00492648"/>
    <w:rsid w:val="00494C70"/>
    <w:rsid w:val="00496B26"/>
    <w:rsid w:val="00497BF5"/>
    <w:rsid w:val="004A06AE"/>
    <w:rsid w:val="004A36EA"/>
    <w:rsid w:val="004A492C"/>
    <w:rsid w:val="004A5068"/>
    <w:rsid w:val="004A635B"/>
    <w:rsid w:val="004A6F00"/>
    <w:rsid w:val="004B1595"/>
    <w:rsid w:val="004B6AB6"/>
    <w:rsid w:val="004B732D"/>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AA8"/>
    <w:rsid w:val="004F71A8"/>
    <w:rsid w:val="00502499"/>
    <w:rsid w:val="00511E5A"/>
    <w:rsid w:val="00514854"/>
    <w:rsid w:val="00516D15"/>
    <w:rsid w:val="005200EA"/>
    <w:rsid w:val="005300F6"/>
    <w:rsid w:val="00534D74"/>
    <w:rsid w:val="00537D2B"/>
    <w:rsid w:val="00541089"/>
    <w:rsid w:val="00542A9C"/>
    <w:rsid w:val="00542FE7"/>
    <w:rsid w:val="00543905"/>
    <w:rsid w:val="00546F5D"/>
    <w:rsid w:val="005513EE"/>
    <w:rsid w:val="0055474C"/>
    <w:rsid w:val="00554CEC"/>
    <w:rsid w:val="00556788"/>
    <w:rsid w:val="00556945"/>
    <w:rsid w:val="0055753C"/>
    <w:rsid w:val="00560735"/>
    <w:rsid w:val="005607F2"/>
    <w:rsid w:val="005619C0"/>
    <w:rsid w:val="00563C71"/>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B0B96"/>
    <w:rsid w:val="005B426E"/>
    <w:rsid w:val="005B500B"/>
    <w:rsid w:val="005B6B7F"/>
    <w:rsid w:val="005C2441"/>
    <w:rsid w:val="005C394D"/>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65A5"/>
    <w:rsid w:val="00617904"/>
    <w:rsid w:val="006208E6"/>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6134F"/>
    <w:rsid w:val="0066368E"/>
    <w:rsid w:val="00665391"/>
    <w:rsid w:val="0067014A"/>
    <w:rsid w:val="00673A86"/>
    <w:rsid w:val="00673D70"/>
    <w:rsid w:val="00677C8D"/>
    <w:rsid w:val="006845F9"/>
    <w:rsid w:val="006904DC"/>
    <w:rsid w:val="00694DAB"/>
    <w:rsid w:val="006964B0"/>
    <w:rsid w:val="00696C4F"/>
    <w:rsid w:val="00696DA0"/>
    <w:rsid w:val="0069758C"/>
    <w:rsid w:val="006A012D"/>
    <w:rsid w:val="006A188B"/>
    <w:rsid w:val="006A33A3"/>
    <w:rsid w:val="006A39AB"/>
    <w:rsid w:val="006A45EA"/>
    <w:rsid w:val="006A630B"/>
    <w:rsid w:val="006A7C03"/>
    <w:rsid w:val="006B2F19"/>
    <w:rsid w:val="006B4FAA"/>
    <w:rsid w:val="006B513C"/>
    <w:rsid w:val="006B6458"/>
    <w:rsid w:val="006B6CD0"/>
    <w:rsid w:val="006B6EDE"/>
    <w:rsid w:val="006C3723"/>
    <w:rsid w:val="006C465B"/>
    <w:rsid w:val="006C4C17"/>
    <w:rsid w:val="006C7E5F"/>
    <w:rsid w:val="006D0C8A"/>
    <w:rsid w:val="006D42DA"/>
    <w:rsid w:val="006D74B5"/>
    <w:rsid w:val="006D766E"/>
    <w:rsid w:val="006E0E18"/>
    <w:rsid w:val="006E1253"/>
    <w:rsid w:val="006E5457"/>
    <w:rsid w:val="006F40EA"/>
    <w:rsid w:val="006F6266"/>
    <w:rsid w:val="007004CC"/>
    <w:rsid w:val="00702C5A"/>
    <w:rsid w:val="00704652"/>
    <w:rsid w:val="00710880"/>
    <w:rsid w:val="007108C3"/>
    <w:rsid w:val="00716FBE"/>
    <w:rsid w:val="00717723"/>
    <w:rsid w:val="007222CF"/>
    <w:rsid w:val="0072272F"/>
    <w:rsid w:val="00724074"/>
    <w:rsid w:val="00730B23"/>
    <w:rsid w:val="00731357"/>
    <w:rsid w:val="00734332"/>
    <w:rsid w:val="007417DD"/>
    <w:rsid w:val="00743839"/>
    <w:rsid w:val="007444A3"/>
    <w:rsid w:val="00744F35"/>
    <w:rsid w:val="00753D40"/>
    <w:rsid w:val="007608D8"/>
    <w:rsid w:val="00762A8D"/>
    <w:rsid w:val="0076370D"/>
    <w:rsid w:val="0076482E"/>
    <w:rsid w:val="007669B0"/>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304E"/>
    <w:rsid w:val="007E3D89"/>
    <w:rsid w:val="007E46AE"/>
    <w:rsid w:val="007E5210"/>
    <w:rsid w:val="007E7AFA"/>
    <w:rsid w:val="007F23CE"/>
    <w:rsid w:val="007F3C8D"/>
    <w:rsid w:val="007F4A1D"/>
    <w:rsid w:val="007F5F1E"/>
    <w:rsid w:val="007F621D"/>
    <w:rsid w:val="007F6537"/>
    <w:rsid w:val="00802C43"/>
    <w:rsid w:val="0080697C"/>
    <w:rsid w:val="00810F2C"/>
    <w:rsid w:val="008134C8"/>
    <w:rsid w:val="00816CF9"/>
    <w:rsid w:val="00824949"/>
    <w:rsid w:val="00826ECD"/>
    <w:rsid w:val="00835605"/>
    <w:rsid w:val="00835A0F"/>
    <w:rsid w:val="00836679"/>
    <w:rsid w:val="00837F18"/>
    <w:rsid w:val="008446CE"/>
    <w:rsid w:val="00844846"/>
    <w:rsid w:val="008470B8"/>
    <w:rsid w:val="0084786F"/>
    <w:rsid w:val="0085025D"/>
    <w:rsid w:val="0085158E"/>
    <w:rsid w:val="00852178"/>
    <w:rsid w:val="00853FF3"/>
    <w:rsid w:val="0085451D"/>
    <w:rsid w:val="00854EC8"/>
    <w:rsid w:val="008603B4"/>
    <w:rsid w:val="00861579"/>
    <w:rsid w:val="008640BE"/>
    <w:rsid w:val="008642D7"/>
    <w:rsid w:val="0086531E"/>
    <w:rsid w:val="00865C17"/>
    <w:rsid w:val="00867748"/>
    <w:rsid w:val="00870BAC"/>
    <w:rsid w:val="00872D3A"/>
    <w:rsid w:val="00874731"/>
    <w:rsid w:val="00875AA2"/>
    <w:rsid w:val="00875D2D"/>
    <w:rsid w:val="0088069E"/>
    <w:rsid w:val="00880CB5"/>
    <w:rsid w:val="00882652"/>
    <w:rsid w:val="00884D77"/>
    <w:rsid w:val="008858E6"/>
    <w:rsid w:val="00885F41"/>
    <w:rsid w:val="008915FF"/>
    <w:rsid w:val="00895AA1"/>
    <w:rsid w:val="00896C72"/>
    <w:rsid w:val="008971FD"/>
    <w:rsid w:val="008A060A"/>
    <w:rsid w:val="008A7260"/>
    <w:rsid w:val="008A7B66"/>
    <w:rsid w:val="008B026E"/>
    <w:rsid w:val="008B22EF"/>
    <w:rsid w:val="008B38BA"/>
    <w:rsid w:val="008B4249"/>
    <w:rsid w:val="008C0422"/>
    <w:rsid w:val="008C04D4"/>
    <w:rsid w:val="008C394A"/>
    <w:rsid w:val="008C3E90"/>
    <w:rsid w:val="008C4CE3"/>
    <w:rsid w:val="008C6B4B"/>
    <w:rsid w:val="008C7168"/>
    <w:rsid w:val="008D006F"/>
    <w:rsid w:val="008D2798"/>
    <w:rsid w:val="008E0A8C"/>
    <w:rsid w:val="008E2435"/>
    <w:rsid w:val="008E2700"/>
    <w:rsid w:val="008E4C20"/>
    <w:rsid w:val="008F3AD2"/>
    <w:rsid w:val="008F78FD"/>
    <w:rsid w:val="00902473"/>
    <w:rsid w:val="00902D37"/>
    <w:rsid w:val="00902F4F"/>
    <w:rsid w:val="00902F7B"/>
    <w:rsid w:val="00905226"/>
    <w:rsid w:val="009117E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40A1A"/>
    <w:rsid w:val="00941EDA"/>
    <w:rsid w:val="00944FB6"/>
    <w:rsid w:val="00945C9B"/>
    <w:rsid w:val="00947B76"/>
    <w:rsid w:val="00952A4F"/>
    <w:rsid w:val="00954097"/>
    <w:rsid w:val="00955C4C"/>
    <w:rsid w:val="009567F0"/>
    <w:rsid w:val="00956D53"/>
    <w:rsid w:val="00956E53"/>
    <w:rsid w:val="00961D71"/>
    <w:rsid w:val="00961E03"/>
    <w:rsid w:val="00963A67"/>
    <w:rsid w:val="009642DF"/>
    <w:rsid w:val="00966166"/>
    <w:rsid w:val="00966C76"/>
    <w:rsid w:val="00974073"/>
    <w:rsid w:val="00976852"/>
    <w:rsid w:val="009824C8"/>
    <w:rsid w:val="00986111"/>
    <w:rsid w:val="00987852"/>
    <w:rsid w:val="00993204"/>
    <w:rsid w:val="00993D85"/>
    <w:rsid w:val="009946BE"/>
    <w:rsid w:val="009956B4"/>
    <w:rsid w:val="0099600D"/>
    <w:rsid w:val="00997C03"/>
    <w:rsid w:val="009A08DF"/>
    <w:rsid w:val="009A64C4"/>
    <w:rsid w:val="009A7DED"/>
    <w:rsid w:val="009B0CFA"/>
    <w:rsid w:val="009C20D0"/>
    <w:rsid w:val="009C219D"/>
    <w:rsid w:val="009C4614"/>
    <w:rsid w:val="009C6442"/>
    <w:rsid w:val="009C7D16"/>
    <w:rsid w:val="009D23EF"/>
    <w:rsid w:val="009D3A01"/>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B1C"/>
    <w:rsid w:val="00A07847"/>
    <w:rsid w:val="00A12857"/>
    <w:rsid w:val="00A16DCD"/>
    <w:rsid w:val="00A224BA"/>
    <w:rsid w:val="00A24811"/>
    <w:rsid w:val="00A251C7"/>
    <w:rsid w:val="00A25D6E"/>
    <w:rsid w:val="00A2656D"/>
    <w:rsid w:val="00A26996"/>
    <w:rsid w:val="00A274FC"/>
    <w:rsid w:val="00A309AC"/>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54CF"/>
    <w:rsid w:val="00A66505"/>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A7AF6"/>
    <w:rsid w:val="00AB222F"/>
    <w:rsid w:val="00AB2280"/>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37A0A"/>
    <w:rsid w:val="00B434BE"/>
    <w:rsid w:val="00B44C9A"/>
    <w:rsid w:val="00B4752D"/>
    <w:rsid w:val="00B518D4"/>
    <w:rsid w:val="00B51E41"/>
    <w:rsid w:val="00B52F52"/>
    <w:rsid w:val="00B53945"/>
    <w:rsid w:val="00B54B9F"/>
    <w:rsid w:val="00B61B0D"/>
    <w:rsid w:val="00B62DB0"/>
    <w:rsid w:val="00B63FF7"/>
    <w:rsid w:val="00B6409B"/>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2239"/>
    <w:rsid w:val="00BA2886"/>
    <w:rsid w:val="00BA4E0D"/>
    <w:rsid w:val="00BA76AF"/>
    <w:rsid w:val="00BB1AD4"/>
    <w:rsid w:val="00BB3145"/>
    <w:rsid w:val="00BC2DFF"/>
    <w:rsid w:val="00BC41F2"/>
    <w:rsid w:val="00BC44EE"/>
    <w:rsid w:val="00BD0908"/>
    <w:rsid w:val="00BD0DCE"/>
    <w:rsid w:val="00BD2782"/>
    <w:rsid w:val="00BD33F2"/>
    <w:rsid w:val="00BD54BF"/>
    <w:rsid w:val="00BD7175"/>
    <w:rsid w:val="00BE0DC8"/>
    <w:rsid w:val="00BE79D1"/>
    <w:rsid w:val="00BF13A7"/>
    <w:rsid w:val="00BF4169"/>
    <w:rsid w:val="00BF472E"/>
    <w:rsid w:val="00BF7146"/>
    <w:rsid w:val="00BF7DFA"/>
    <w:rsid w:val="00C03CD1"/>
    <w:rsid w:val="00C07058"/>
    <w:rsid w:val="00C10C16"/>
    <w:rsid w:val="00C11584"/>
    <w:rsid w:val="00C12789"/>
    <w:rsid w:val="00C15933"/>
    <w:rsid w:val="00C167E7"/>
    <w:rsid w:val="00C20B4C"/>
    <w:rsid w:val="00C20CC5"/>
    <w:rsid w:val="00C2494E"/>
    <w:rsid w:val="00C24D28"/>
    <w:rsid w:val="00C27D47"/>
    <w:rsid w:val="00C307BD"/>
    <w:rsid w:val="00C33DA4"/>
    <w:rsid w:val="00C35789"/>
    <w:rsid w:val="00C42166"/>
    <w:rsid w:val="00C421CA"/>
    <w:rsid w:val="00C433B8"/>
    <w:rsid w:val="00C4446E"/>
    <w:rsid w:val="00C463AE"/>
    <w:rsid w:val="00C51E36"/>
    <w:rsid w:val="00C604D0"/>
    <w:rsid w:val="00C61226"/>
    <w:rsid w:val="00C643AB"/>
    <w:rsid w:val="00C64C5A"/>
    <w:rsid w:val="00C65EDC"/>
    <w:rsid w:val="00C72EF9"/>
    <w:rsid w:val="00C819A4"/>
    <w:rsid w:val="00C8247E"/>
    <w:rsid w:val="00C83786"/>
    <w:rsid w:val="00C84B2D"/>
    <w:rsid w:val="00C85CCE"/>
    <w:rsid w:val="00C870AF"/>
    <w:rsid w:val="00C903D3"/>
    <w:rsid w:val="00C91877"/>
    <w:rsid w:val="00C91CCF"/>
    <w:rsid w:val="00C926AF"/>
    <w:rsid w:val="00CA07E4"/>
    <w:rsid w:val="00CA605D"/>
    <w:rsid w:val="00CA72F7"/>
    <w:rsid w:val="00CB0E45"/>
    <w:rsid w:val="00CB1B5C"/>
    <w:rsid w:val="00CB2F01"/>
    <w:rsid w:val="00CB2FE8"/>
    <w:rsid w:val="00CB6168"/>
    <w:rsid w:val="00CC1C6D"/>
    <w:rsid w:val="00CC4AF3"/>
    <w:rsid w:val="00CC5B87"/>
    <w:rsid w:val="00CC7B55"/>
    <w:rsid w:val="00CD2056"/>
    <w:rsid w:val="00CD2501"/>
    <w:rsid w:val="00CD362B"/>
    <w:rsid w:val="00CD39B2"/>
    <w:rsid w:val="00CD3B11"/>
    <w:rsid w:val="00CD4E68"/>
    <w:rsid w:val="00CD5CFD"/>
    <w:rsid w:val="00CD5D29"/>
    <w:rsid w:val="00CD7F8F"/>
    <w:rsid w:val="00CE1B29"/>
    <w:rsid w:val="00CE3C21"/>
    <w:rsid w:val="00CE6D11"/>
    <w:rsid w:val="00CF08B0"/>
    <w:rsid w:val="00CF2576"/>
    <w:rsid w:val="00CF5802"/>
    <w:rsid w:val="00CF734C"/>
    <w:rsid w:val="00D048A7"/>
    <w:rsid w:val="00D05C08"/>
    <w:rsid w:val="00D13BFB"/>
    <w:rsid w:val="00D151CD"/>
    <w:rsid w:val="00D20003"/>
    <w:rsid w:val="00D244DC"/>
    <w:rsid w:val="00D269E0"/>
    <w:rsid w:val="00D379B4"/>
    <w:rsid w:val="00D40316"/>
    <w:rsid w:val="00D413BF"/>
    <w:rsid w:val="00D426B1"/>
    <w:rsid w:val="00D42D47"/>
    <w:rsid w:val="00D43BD4"/>
    <w:rsid w:val="00D44AD6"/>
    <w:rsid w:val="00D513B3"/>
    <w:rsid w:val="00D5404C"/>
    <w:rsid w:val="00D54736"/>
    <w:rsid w:val="00D54B65"/>
    <w:rsid w:val="00D60660"/>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B5567"/>
    <w:rsid w:val="00DC15F1"/>
    <w:rsid w:val="00DC220C"/>
    <w:rsid w:val="00DC5D97"/>
    <w:rsid w:val="00DD0473"/>
    <w:rsid w:val="00DD0B1F"/>
    <w:rsid w:val="00DD281C"/>
    <w:rsid w:val="00DD53BD"/>
    <w:rsid w:val="00DE0C29"/>
    <w:rsid w:val="00DE4210"/>
    <w:rsid w:val="00DF27DD"/>
    <w:rsid w:val="00E02BE4"/>
    <w:rsid w:val="00E049B4"/>
    <w:rsid w:val="00E0514B"/>
    <w:rsid w:val="00E05A3F"/>
    <w:rsid w:val="00E05FB1"/>
    <w:rsid w:val="00E06DAD"/>
    <w:rsid w:val="00E103B0"/>
    <w:rsid w:val="00E1107B"/>
    <w:rsid w:val="00E147DD"/>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3FCD"/>
    <w:rsid w:val="00E64F8A"/>
    <w:rsid w:val="00E67750"/>
    <w:rsid w:val="00E677E7"/>
    <w:rsid w:val="00E71190"/>
    <w:rsid w:val="00E75CA7"/>
    <w:rsid w:val="00E763F4"/>
    <w:rsid w:val="00E76523"/>
    <w:rsid w:val="00E76A46"/>
    <w:rsid w:val="00E76B5C"/>
    <w:rsid w:val="00E836AF"/>
    <w:rsid w:val="00E85601"/>
    <w:rsid w:val="00E85EF4"/>
    <w:rsid w:val="00E85EFB"/>
    <w:rsid w:val="00E86E91"/>
    <w:rsid w:val="00E94566"/>
    <w:rsid w:val="00E94860"/>
    <w:rsid w:val="00EA19C9"/>
    <w:rsid w:val="00EA63A7"/>
    <w:rsid w:val="00EA659F"/>
    <w:rsid w:val="00EA739D"/>
    <w:rsid w:val="00EB1E10"/>
    <w:rsid w:val="00EB4B23"/>
    <w:rsid w:val="00EB7547"/>
    <w:rsid w:val="00EB7684"/>
    <w:rsid w:val="00EC008D"/>
    <w:rsid w:val="00EC0FD6"/>
    <w:rsid w:val="00EC2B23"/>
    <w:rsid w:val="00EC4A17"/>
    <w:rsid w:val="00EC744D"/>
    <w:rsid w:val="00ED10BE"/>
    <w:rsid w:val="00ED1D3A"/>
    <w:rsid w:val="00ED256B"/>
    <w:rsid w:val="00ED44D2"/>
    <w:rsid w:val="00EE0440"/>
    <w:rsid w:val="00EE08E8"/>
    <w:rsid w:val="00EE6196"/>
    <w:rsid w:val="00EE77A2"/>
    <w:rsid w:val="00EF0867"/>
    <w:rsid w:val="00EF31CF"/>
    <w:rsid w:val="00EF478C"/>
    <w:rsid w:val="00EF4C0F"/>
    <w:rsid w:val="00EF5557"/>
    <w:rsid w:val="00EF63BE"/>
    <w:rsid w:val="00EF7692"/>
    <w:rsid w:val="00F05F8A"/>
    <w:rsid w:val="00F115B7"/>
    <w:rsid w:val="00F12DCE"/>
    <w:rsid w:val="00F12FAD"/>
    <w:rsid w:val="00F13B57"/>
    <w:rsid w:val="00F141EC"/>
    <w:rsid w:val="00F142CB"/>
    <w:rsid w:val="00F16A17"/>
    <w:rsid w:val="00F20E96"/>
    <w:rsid w:val="00F254B4"/>
    <w:rsid w:val="00F25A51"/>
    <w:rsid w:val="00F260C9"/>
    <w:rsid w:val="00F272B2"/>
    <w:rsid w:val="00F27CCD"/>
    <w:rsid w:val="00F30070"/>
    <w:rsid w:val="00F30B11"/>
    <w:rsid w:val="00F31418"/>
    <w:rsid w:val="00F32DEE"/>
    <w:rsid w:val="00F34519"/>
    <w:rsid w:val="00F35998"/>
    <w:rsid w:val="00F44C19"/>
    <w:rsid w:val="00F44F26"/>
    <w:rsid w:val="00F455C2"/>
    <w:rsid w:val="00F457C3"/>
    <w:rsid w:val="00F45C7C"/>
    <w:rsid w:val="00F47CAA"/>
    <w:rsid w:val="00F51197"/>
    <w:rsid w:val="00F5385D"/>
    <w:rsid w:val="00F538CE"/>
    <w:rsid w:val="00F573A4"/>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2355"/>
    <w:rsid w:val="00FA2933"/>
    <w:rsid w:val="00FB05EA"/>
    <w:rsid w:val="00FB2AE2"/>
    <w:rsid w:val="00FC3370"/>
    <w:rsid w:val="00FC372B"/>
    <w:rsid w:val="00FC3C0B"/>
    <w:rsid w:val="00FC43F4"/>
    <w:rsid w:val="00FC527B"/>
    <w:rsid w:val="00FC62E0"/>
    <w:rsid w:val="00FD0195"/>
    <w:rsid w:val="00FD4657"/>
    <w:rsid w:val="00FD489F"/>
    <w:rsid w:val="00FD78CF"/>
    <w:rsid w:val="00FD7E27"/>
    <w:rsid w:val="00FE0CE3"/>
    <w:rsid w:val="00FE18BF"/>
    <w:rsid w:val="00FE49B3"/>
    <w:rsid w:val="00FE6063"/>
    <w:rsid w:val="00FF1C46"/>
    <w:rsid w:val="00FF5537"/>
    <w:rsid w:val="00FF64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6B4"/>
    <w:pPr>
      <w:suppressAutoHyphens/>
      <w:spacing w:line="240" w:lineRule="exact"/>
    </w:pPr>
    <w:rPr>
      <w:spacing w:val="4"/>
      <w:w w:val="103"/>
      <w:kern w:val="1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Textedebulles">
    <w:name w:val="Balloon Text"/>
    <w:basedOn w:val="Normal"/>
    <w:semiHidden/>
    <w:rsid w:val="00546F5D"/>
    <w:rPr>
      <w:rFonts w:ascii="Tahoma" w:hAnsi="Tahoma" w:cs="Tahoma"/>
      <w:sz w:val="16"/>
      <w:szCs w:val="16"/>
    </w:rPr>
  </w:style>
  <w:style w:type="character" w:styleId="Marquedecommentaire">
    <w:name w:val="annotation reference"/>
    <w:semiHidden/>
    <w:rsid w:val="00546F5D"/>
    <w:rPr>
      <w:sz w:val="6"/>
    </w:rPr>
  </w:style>
  <w:style w:type="character" w:styleId="Appelnotedebasdep">
    <w:name w:val="footnote reference"/>
    <w:aliases w:val="4_G,Footnote Reference/,4_GR"/>
    <w:qFormat/>
    <w:rsid w:val="009956B4"/>
    <w:rPr>
      <w:color w:val="943634" w:themeColor="accent2" w:themeShade="BF"/>
      <w:spacing w:val="5"/>
      <w:w w:val="103"/>
      <w:kern w:val="14"/>
      <w:position w:val="0"/>
      <w:vertAlign w:val="superscript"/>
    </w:rPr>
  </w:style>
  <w:style w:type="character" w:styleId="Appeldenotedefin">
    <w:name w:val="endnote reference"/>
    <w:semiHidden/>
    <w:rsid w:val="009956B4"/>
    <w:rPr>
      <w:color w:val="943634" w:themeColor="accent2" w:themeShade="BF"/>
      <w:spacing w:val="5"/>
      <w:w w:val="103"/>
      <w:kern w:val="14"/>
      <w:position w:val="0"/>
      <w:vertAlign w:val="superscript"/>
    </w:rPr>
  </w:style>
  <w:style w:type="paragraph" w:styleId="Notedebasdepage">
    <w:name w:val="footnote text"/>
    <w:aliases w:val="5_G,5_GR"/>
    <w:basedOn w:val="Normal"/>
    <w:link w:val="NotedebasdepageCar"/>
    <w:qFormat/>
    <w:rsid w:val="005F5764"/>
    <w:pPr>
      <w:widowControl w:val="0"/>
      <w:tabs>
        <w:tab w:val="right" w:pos="418"/>
      </w:tabs>
      <w:spacing w:line="210" w:lineRule="exact"/>
      <w:ind w:left="475" w:hanging="475"/>
    </w:pPr>
    <w:rPr>
      <w:spacing w:val="5"/>
      <w:sz w:val="17"/>
    </w:rPr>
  </w:style>
  <w:style w:type="paragraph" w:styleId="Notedefin">
    <w:name w:val="endnote text"/>
    <w:basedOn w:val="Notedebasdepage"/>
    <w:semiHidden/>
    <w:rsid w:val="00546F5D"/>
  </w:style>
  <w:style w:type="paragraph" w:styleId="Pieddepage">
    <w:name w:val="footer"/>
    <w:rsid w:val="00546F5D"/>
    <w:pPr>
      <w:tabs>
        <w:tab w:val="center" w:pos="4320"/>
        <w:tab w:val="right" w:pos="8640"/>
      </w:tabs>
    </w:pPr>
    <w:rPr>
      <w:b/>
      <w:noProof/>
      <w:sz w:val="17"/>
    </w:rPr>
  </w:style>
  <w:style w:type="paragraph" w:styleId="En-tte">
    <w:name w:val="header"/>
    <w:rsid w:val="00546F5D"/>
    <w:pPr>
      <w:tabs>
        <w:tab w:val="center" w:pos="4320"/>
        <w:tab w:val="right" w:pos="8640"/>
      </w:tabs>
    </w:pPr>
    <w:rPr>
      <w:noProof/>
      <w:sz w:val="17"/>
    </w:rPr>
  </w:style>
  <w:style w:type="character" w:styleId="Numrodeligne">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Textebru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Grilledutableau">
    <w:name w:val="Table Grid"/>
    <w:basedOn w:val="TableauNormal"/>
    <w:rsid w:val="0067014A"/>
    <w:pPr>
      <w:suppressAutoHyphens/>
      <w:spacing w:line="240" w:lineRule="exac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Pieddepage"/>
    <w:rsid w:val="009F0EFA"/>
    <w:rPr>
      <w:spacing w:val="4"/>
      <w:w w:val="103"/>
      <w:kern w:val="14"/>
      <w:lang w:val="en-GB"/>
    </w:rPr>
  </w:style>
  <w:style w:type="character" w:styleId="Lienhypertexte">
    <w:name w:val="Hyperlink"/>
    <w:basedOn w:val="Policepardfau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aire">
    <w:name w:val="annotation text"/>
    <w:basedOn w:val="Normal"/>
    <w:link w:val="CommentaireCar"/>
    <w:rsid w:val="00F51197"/>
    <w:pPr>
      <w:spacing w:line="240" w:lineRule="auto"/>
    </w:pPr>
  </w:style>
  <w:style w:type="character" w:customStyle="1" w:styleId="CommentaireCar">
    <w:name w:val="Commentaire Car"/>
    <w:basedOn w:val="Policepardfaut"/>
    <w:link w:val="Commentaire"/>
    <w:rsid w:val="00F51197"/>
    <w:rPr>
      <w:spacing w:val="4"/>
      <w:w w:val="103"/>
      <w:kern w:val="14"/>
      <w:lang w:val="en-GB"/>
    </w:rPr>
  </w:style>
  <w:style w:type="paragraph" w:styleId="Objetducommentaire">
    <w:name w:val="annotation subject"/>
    <w:basedOn w:val="Commentaire"/>
    <w:next w:val="Commentaire"/>
    <w:link w:val="ObjetducommentaireCar"/>
    <w:rsid w:val="00F51197"/>
    <w:rPr>
      <w:b/>
      <w:bCs/>
    </w:rPr>
  </w:style>
  <w:style w:type="character" w:customStyle="1" w:styleId="ObjetducommentaireCar">
    <w:name w:val="Objet du commentaire Car"/>
    <w:basedOn w:val="CommentaireCar"/>
    <w:link w:val="Objetducommentaire"/>
    <w:rsid w:val="00F51197"/>
    <w:rPr>
      <w:b/>
      <w:bCs/>
      <w:spacing w:val="4"/>
      <w:w w:val="103"/>
      <w:kern w:val="14"/>
      <w:lang w:val="en-GB"/>
    </w:rPr>
  </w:style>
  <w:style w:type="character" w:customStyle="1" w:styleId="NotedebasdepageCar">
    <w:name w:val="Note de bas de page Car"/>
    <w:aliases w:val="5_G Car,5_GR Car"/>
    <w:link w:val="Notedebasdepage"/>
    <w:rsid w:val="00743839"/>
    <w:rPr>
      <w:spacing w:val="5"/>
      <w:w w:val="103"/>
      <w:kern w:val="14"/>
      <w:sz w:val="17"/>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6B4"/>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Footnote Reference/,4_GR"/>
    <w:qFormat/>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5_GR"/>
    <w:basedOn w:val="Normal"/>
    <w:link w:val="FootnoteTextChar"/>
    <w:qFormat/>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F51197"/>
    <w:pPr>
      <w:spacing w:line="240" w:lineRule="auto"/>
    </w:pPr>
  </w:style>
  <w:style w:type="character" w:customStyle="1" w:styleId="CommentTextChar">
    <w:name w:val="Comment Text Char"/>
    <w:basedOn w:val="DefaultParagraphFont"/>
    <w:link w:val="CommentText"/>
    <w:rsid w:val="00F51197"/>
    <w:rPr>
      <w:spacing w:val="4"/>
      <w:w w:val="103"/>
      <w:kern w:val="14"/>
      <w:lang w:val="en-GB"/>
    </w:rPr>
  </w:style>
  <w:style w:type="paragraph" w:styleId="CommentSubject">
    <w:name w:val="annotation subject"/>
    <w:basedOn w:val="CommentText"/>
    <w:next w:val="CommentText"/>
    <w:link w:val="CommentSubjectChar"/>
    <w:rsid w:val="00F51197"/>
    <w:rPr>
      <w:b/>
      <w:bCs/>
    </w:rPr>
  </w:style>
  <w:style w:type="character" w:customStyle="1" w:styleId="CommentSubjectChar">
    <w:name w:val="Comment Subject Char"/>
    <w:basedOn w:val="CommentTextChar"/>
    <w:link w:val="CommentSubject"/>
    <w:rsid w:val="00F51197"/>
    <w:rPr>
      <w:b/>
      <w:bCs/>
      <w:spacing w:val="4"/>
      <w:w w:val="103"/>
      <w:kern w:val="14"/>
      <w:lang w:val="en-GB"/>
    </w:rPr>
  </w:style>
  <w:style w:type="character" w:customStyle="1" w:styleId="FootnoteTextChar">
    <w:name w:val="Footnote Text Char"/>
    <w:aliases w:val="5_G Char,5_GR Char"/>
    <w:link w:val="FootnoteText"/>
    <w:rsid w:val="00743839"/>
    <w:rPr>
      <w:spacing w:val="5"/>
      <w:w w:val="103"/>
      <w:kern w:val="14"/>
      <w:sz w:val="17"/>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DC87-8973-4602-863A-46343D15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Etpu</vt:lpstr>
    </vt:vector>
  </TitlesOfParts>
  <Company>DCM</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Anni Vi Tirol</dc:creator>
  <cp:lastModifiedBy>Maison</cp:lastModifiedBy>
  <cp:revision>2</cp:revision>
  <cp:lastPrinted>2015-08-31T12:54:00Z</cp:lastPrinted>
  <dcterms:created xsi:type="dcterms:W3CDTF">2015-09-30T12:49:00Z</dcterms:created>
  <dcterms:modified xsi:type="dcterms:W3CDTF">2015-09-30T12:49:00Z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1513381</vt:lpwstr>
  </property>
  <property fmtid="{D5CDD505-2E9C-101B-9397-08002B2CF9AE}" pid="3" name="ODSRefJobNo">
    <vt:lpwstr>1517522E</vt:lpwstr>
  </property>
  <property fmtid="{D5CDD505-2E9C-101B-9397-08002B2CF9AE}" pid="4" name="Symbol1">
    <vt:lpwstr>ECE/TRANS/WP.15/2015/9</vt:lpwstr>
  </property>
  <property fmtid="{D5CDD505-2E9C-101B-9397-08002B2CF9AE}" pid="5" name="Symbol2">
    <vt:lpwstr/>
  </property>
  <property fmtid="{D5CDD505-2E9C-101B-9397-08002B2CF9AE}" pid="6" name="Translator">
    <vt:lpwstr/>
  </property>
  <property fmtid="{D5CDD505-2E9C-101B-9397-08002B2CF9AE}" pid="7" name="Operator">
    <vt:lpwstr>AVT</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7 August 2015</vt:lpwstr>
  </property>
  <property fmtid="{D5CDD505-2E9C-101B-9397-08002B2CF9AE}" pid="12" name="Original">
    <vt:lpwstr>French</vt:lpwstr>
  </property>
  <property fmtid="{D5CDD505-2E9C-101B-9397-08002B2CF9AE}" pid="13" name="Release Date">
    <vt:lpwstr>310815</vt:lpwstr>
  </property>
</Properties>
</file>