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18" w:rsidRDefault="00527B18" w:rsidP="00527B18">
      <w:pPr>
        <w:spacing w:line="240" w:lineRule="auto"/>
        <w:rPr>
          <w:sz w:val="2"/>
        </w:rPr>
        <w:sectPr w:rsidR="00527B18" w:rsidSect="00527B1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527B18" w:rsidRDefault="00527B18" w:rsidP="00527B18">
      <w:pPr>
        <w:pStyle w:val="H1"/>
        <w:spacing w:after="120"/>
        <w:rPr>
          <w:sz w:val="28"/>
        </w:rPr>
      </w:pPr>
      <w:r>
        <w:rPr>
          <w:sz w:val="28"/>
        </w:rPr>
        <w:lastRenderedPageBreak/>
        <w:t>Commission économique pour l’Europe</w:t>
      </w:r>
    </w:p>
    <w:p w:rsidR="00527B18" w:rsidRDefault="00527B18" w:rsidP="00527B18">
      <w:pPr>
        <w:pStyle w:val="H1"/>
        <w:spacing w:after="120" w:line="300" w:lineRule="exact"/>
        <w:rPr>
          <w:b w:val="0"/>
          <w:sz w:val="28"/>
        </w:rPr>
      </w:pPr>
      <w:r>
        <w:rPr>
          <w:b w:val="0"/>
          <w:sz w:val="28"/>
        </w:rPr>
        <w:t>Comité des transports intérieurs</w:t>
      </w:r>
    </w:p>
    <w:p w:rsidR="0030066F" w:rsidRDefault="0030066F" w:rsidP="0030066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0066F">
        <w:rPr>
          <w:lang w:val="fr-FR"/>
        </w:rPr>
        <w:t xml:space="preserve">Groupe de travail des transports </w:t>
      </w:r>
      <w:r>
        <w:rPr>
          <w:lang w:val="fr-FR"/>
        </w:rPr>
        <w:br/>
      </w:r>
      <w:r w:rsidRPr="0030066F">
        <w:rPr>
          <w:lang w:val="fr-FR"/>
        </w:rPr>
        <w:t>de marchandises dangereuses</w:t>
      </w:r>
    </w:p>
    <w:p w:rsidR="0030066F" w:rsidRPr="0030066F" w:rsidRDefault="0030066F" w:rsidP="0030066F">
      <w:pPr>
        <w:spacing w:line="120" w:lineRule="exact"/>
        <w:rPr>
          <w:sz w:val="10"/>
          <w:lang w:val="fr-FR"/>
        </w:rPr>
      </w:pPr>
    </w:p>
    <w:p w:rsidR="0030066F" w:rsidRPr="0030066F" w:rsidRDefault="0030066F" w:rsidP="0030066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0066F">
        <w:rPr>
          <w:lang w:val="fr-FR"/>
        </w:rPr>
        <w:t>Quatre-vingt-dix-neuvième session</w:t>
      </w:r>
    </w:p>
    <w:p w:rsidR="0030066F" w:rsidRPr="0030066F" w:rsidRDefault="0030066F" w:rsidP="003006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Genève, 9-13 </w:t>
      </w:r>
      <w:r w:rsidRPr="0030066F">
        <w:rPr>
          <w:lang w:val="fr-FR"/>
        </w:rPr>
        <w:t>novembre 2015</w:t>
      </w:r>
    </w:p>
    <w:p w:rsidR="0030066F" w:rsidRPr="0030066F" w:rsidRDefault="0030066F" w:rsidP="003006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0066F">
        <w:rPr>
          <w:lang w:val="fr-FR"/>
        </w:rPr>
        <w:t>Point 6 b) de l’ordre du jour provisoire</w:t>
      </w:r>
    </w:p>
    <w:p w:rsidR="00527B18" w:rsidRDefault="0030066F" w:rsidP="0030066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0066F">
        <w:rPr>
          <w:lang w:val="fr-FR"/>
        </w:rPr>
        <w:t>Propositions d’amendement</w:t>
      </w:r>
      <w:r w:rsidR="001E4E5A">
        <w:rPr>
          <w:lang w:val="fr-FR"/>
        </w:rPr>
        <w:t>s</w:t>
      </w:r>
      <w:r w:rsidRPr="0030066F">
        <w:rPr>
          <w:lang w:val="fr-FR"/>
        </w:rPr>
        <w:t xml:space="preserve"> aux annexes A et B </w:t>
      </w:r>
      <w:r>
        <w:rPr>
          <w:lang w:val="fr-FR"/>
        </w:rPr>
        <w:br/>
      </w:r>
      <w:r w:rsidRPr="0030066F">
        <w:rPr>
          <w:lang w:val="fr-FR"/>
        </w:rPr>
        <w:t>de l’ADR</w:t>
      </w:r>
      <w:r>
        <w:rPr>
          <w:lang w:val="fr-FR"/>
        </w:rPr>
        <w:t> </w:t>
      </w:r>
      <w:r w:rsidRPr="0030066F">
        <w:rPr>
          <w:lang w:val="fr-FR"/>
        </w:rPr>
        <w:t>:</w:t>
      </w:r>
      <w:r>
        <w:rPr>
          <w:lang w:val="fr-FR"/>
        </w:rPr>
        <w:t xml:space="preserve"> </w:t>
      </w:r>
      <w:r w:rsidRPr="0030066F">
        <w:rPr>
          <w:lang w:val="fr-FR"/>
        </w:rPr>
        <w:t>propositions diverses</w:t>
      </w:r>
    </w:p>
    <w:p w:rsidR="0030066F" w:rsidRPr="0030066F" w:rsidRDefault="0030066F" w:rsidP="0030066F">
      <w:pPr>
        <w:spacing w:line="120" w:lineRule="exact"/>
        <w:rPr>
          <w:sz w:val="10"/>
          <w:lang w:val="fr-FR"/>
        </w:rPr>
      </w:pPr>
    </w:p>
    <w:p w:rsidR="0030066F" w:rsidRPr="0030066F" w:rsidRDefault="0030066F" w:rsidP="0030066F">
      <w:pPr>
        <w:spacing w:line="120" w:lineRule="exact"/>
        <w:rPr>
          <w:sz w:val="10"/>
          <w:lang w:val="fr-FR"/>
        </w:rPr>
      </w:pPr>
    </w:p>
    <w:p w:rsidR="0030066F" w:rsidRPr="0030066F" w:rsidRDefault="0030066F" w:rsidP="0030066F">
      <w:pPr>
        <w:spacing w:line="120" w:lineRule="exact"/>
        <w:rPr>
          <w:sz w:val="10"/>
          <w:lang w:val="fr-FR"/>
        </w:rPr>
      </w:pPr>
    </w:p>
    <w:p w:rsidR="0030066F" w:rsidRDefault="0030066F" w:rsidP="0030066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066F">
        <w:rPr>
          <w:lang w:val="fr-FR"/>
        </w:rPr>
        <w:tab/>
      </w:r>
      <w:r w:rsidRPr="0030066F">
        <w:rPr>
          <w:lang w:val="fr-FR"/>
        </w:rPr>
        <w:tab/>
        <w:t xml:space="preserve">Utilisation du gaz de pétrole liquéfié (GPL) et du gaz naturel comprimé (GNC) </w:t>
      </w:r>
      <w:r w:rsidR="008A1B00">
        <w:rPr>
          <w:lang w:val="fr-FR"/>
        </w:rPr>
        <w:t>comme</w:t>
      </w:r>
      <w:r w:rsidRPr="0030066F">
        <w:rPr>
          <w:lang w:val="fr-FR"/>
        </w:rPr>
        <w:t xml:space="preserve"> carburant</w:t>
      </w:r>
      <w:r w:rsidR="008A1B00">
        <w:rPr>
          <w:lang w:val="fr-FR"/>
        </w:rPr>
        <w:t>s</w:t>
      </w:r>
      <w:r w:rsidRPr="0030066F">
        <w:rPr>
          <w:lang w:val="fr-FR"/>
        </w:rPr>
        <w:t xml:space="preserve"> pour les véhicules transportant des marchandises dangereuses</w:t>
      </w:r>
    </w:p>
    <w:p w:rsidR="0030066F" w:rsidRPr="0030066F" w:rsidRDefault="0030066F" w:rsidP="0030066F">
      <w:pPr>
        <w:pStyle w:val="SingleTxt"/>
        <w:spacing w:after="0" w:line="120" w:lineRule="exact"/>
        <w:rPr>
          <w:sz w:val="10"/>
          <w:lang w:val="fr-FR"/>
        </w:rPr>
      </w:pPr>
    </w:p>
    <w:p w:rsidR="0030066F" w:rsidRPr="0030066F" w:rsidRDefault="0030066F" w:rsidP="0030066F">
      <w:pPr>
        <w:pStyle w:val="SingleTxt"/>
        <w:spacing w:after="0" w:line="120" w:lineRule="exact"/>
        <w:rPr>
          <w:sz w:val="10"/>
          <w:lang w:val="fr-FR"/>
        </w:rPr>
      </w:pPr>
    </w:p>
    <w:p w:rsidR="0030066F" w:rsidRDefault="0030066F" w:rsidP="003006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066F">
        <w:rPr>
          <w:lang w:val="fr-FR"/>
        </w:rPr>
        <w:tab/>
      </w:r>
      <w:r w:rsidRPr="0030066F">
        <w:rPr>
          <w:lang w:val="fr-FR"/>
        </w:rPr>
        <w:tab/>
        <w:t>Communication de l’AEGPL et de NGV Global</w:t>
      </w:r>
      <w:r w:rsidR="00FD0F01" w:rsidRPr="00903C5B">
        <w:rPr>
          <w:rStyle w:val="FootnoteReference"/>
          <w:b w:val="0"/>
          <w:sz w:val="20"/>
          <w:szCs w:val="20"/>
          <w:lang w:val="fr-FR"/>
        </w:rPr>
        <w:footnoteReference w:id="1"/>
      </w:r>
    </w:p>
    <w:p w:rsidR="0030066F" w:rsidRPr="0030066F" w:rsidRDefault="0030066F" w:rsidP="0030066F">
      <w:pPr>
        <w:pStyle w:val="SingleTxt"/>
        <w:spacing w:after="0" w:line="120" w:lineRule="exact"/>
        <w:rPr>
          <w:sz w:val="10"/>
          <w:lang w:val="fr-FR"/>
        </w:rPr>
      </w:pPr>
    </w:p>
    <w:p w:rsidR="0030066F" w:rsidRPr="0030066F" w:rsidRDefault="0030066F" w:rsidP="0030066F">
      <w:pPr>
        <w:pStyle w:val="SingleTxt"/>
        <w:spacing w:after="0" w:line="120" w:lineRule="exact"/>
        <w:rPr>
          <w:sz w:val="10"/>
          <w:lang w:val="fr-FR"/>
        </w:rPr>
      </w:pPr>
    </w:p>
    <w:p w:rsidR="0030066F" w:rsidRPr="00247542" w:rsidRDefault="0030066F" w:rsidP="00247542">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47542" w:rsidTr="00247542">
        <w:tc>
          <w:tcPr>
            <w:tcW w:w="10051" w:type="dxa"/>
            <w:tcBorders>
              <w:top w:val="single" w:sz="2" w:space="0" w:color="auto"/>
            </w:tcBorders>
            <w:shd w:val="clear" w:color="auto" w:fill="auto"/>
          </w:tcPr>
          <w:p w:rsidR="00247542" w:rsidRPr="00247542" w:rsidRDefault="00247542" w:rsidP="006B490F">
            <w:pPr>
              <w:tabs>
                <w:tab w:val="left" w:pos="240"/>
              </w:tabs>
              <w:spacing w:before="240" w:after="120"/>
              <w:rPr>
                <w:i/>
                <w:sz w:val="24"/>
                <w:lang w:val="fr-FR"/>
              </w:rPr>
            </w:pPr>
            <w:r>
              <w:rPr>
                <w:i/>
                <w:sz w:val="24"/>
                <w:lang w:val="fr-FR"/>
              </w:rPr>
              <w:tab/>
              <w:t>Résumé</w:t>
            </w:r>
          </w:p>
        </w:tc>
      </w:tr>
      <w:tr w:rsidR="00247542" w:rsidTr="00247542">
        <w:tc>
          <w:tcPr>
            <w:tcW w:w="10051" w:type="dxa"/>
            <w:shd w:val="clear" w:color="auto" w:fill="auto"/>
          </w:tcPr>
          <w:p w:rsidR="00247542" w:rsidRPr="00247542" w:rsidRDefault="006B490F" w:rsidP="00111357">
            <w:pPr>
              <w:pStyle w:val="SingleTxt"/>
              <w:tabs>
                <w:tab w:val="clear" w:pos="1267"/>
                <w:tab w:val="left" w:pos="246"/>
              </w:tabs>
              <w:ind w:left="2693" w:hanging="2693"/>
              <w:rPr>
                <w:lang w:val="fr-FR"/>
              </w:rPr>
            </w:pPr>
            <w:r>
              <w:rPr>
                <w:b/>
                <w:lang w:val="fr-FR"/>
              </w:rPr>
              <w:tab/>
            </w:r>
            <w:r w:rsidR="00247542" w:rsidRPr="00247542">
              <w:rPr>
                <w:b/>
                <w:lang w:val="fr-FR"/>
              </w:rPr>
              <w:t>Résumé analytique</w:t>
            </w:r>
            <w:r w:rsidR="00750AA2" w:rsidRPr="00750AA2">
              <w:rPr>
                <w:lang w:val="fr-FR"/>
              </w:rPr>
              <w:t> </w:t>
            </w:r>
            <w:r w:rsidR="00247542" w:rsidRPr="00750AA2">
              <w:rPr>
                <w:lang w:val="fr-FR"/>
              </w:rPr>
              <w:t>:</w:t>
            </w:r>
            <w:r w:rsidR="00247542" w:rsidRPr="00750AA2">
              <w:rPr>
                <w:lang w:val="fr-FR"/>
              </w:rPr>
              <w:tab/>
            </w:r>
            <w:r>
              <w:rPr>
                <w:lang w:val="fr-FR"/>
              </w:rPr>
              <w:tab/>
            </w:r>
            <w:r w:rsidR="00247542" w:rsidRPr="00247542">
              <w:rPr>
                <w:lang w:val="fr-FR"/>
              </w:rPr>
              <w:t>Amendements au chapitre 9.2 visant à autoriser l’utilisation du gaz naturel comprimé (GNC) et du gaz de pétrole liquéfié (GPL) comme carburant</w:t>
            </w:r>
            <w:r w:rsidR="00A71FD7">
              <w:rPr>
                <w:lang w:val="fr-FR"/>
              </w:rPr>
              <w:t>s</w:t>
            </w:r>
            <w:r w:rsidR="00247542" w:rsidRPr="00247542">
              <w:rPr>
                <w:lang w:val="fr-FR"/>
              </w:rPr>
              <w:t xml:space="preserve"> pour les véhicules transportant des marchandises dangereuses.</w:t>
            </w:r>
          </w:p>
        </w:tc>
      </w:tr>
      <w:tr w:rsidR="00247542" w:rsidTr="00247542">
        <w:tc>
          <w:tcPr>
            <w:tcW w:w="10051" w:type="dxa"/>
            <w:shd w:val="clear" w:color="auto" w:fill="auto"/>
          </w:tcPr>
          <w:p w:rsidR="00247542" w:rsidRPr="00247542" w:rsidRDefault="00247542" w:rsidP="00111357">
            <w:pPr>
              <w:pStyle w:val="SingleTxt"/>
              <w:tabs>
                <w:tab w:val="clear" w:pos="1267"/>
                <w:tab w:val="left" w:pos="246"/>
              </w:tabs>
              <w:ind w:left="2693" w:hanging="2693"/>
              <w:rPr>
                <w:lang w:val="fr-FR"/>
              </w:rPr>
            </w:pPr>
            <w:r>
              <w:rPr>
                <w:lang w:val="fr-FR"/>
              </w:rPr>
              <w:tab/>
            </w:r>
            <w:r w:rsidRPr="00247542">
              <w:rPr>
                <w:b/>
                <w:lang w:val="fr-FR"/>
              </w:rPr>
              <w:t>Mesure à prendre</w:t>
            </w:r>
            <w:r w:rsidR="00750AA2" w:rsidRPr="00750AA2">
              <w:rPr>
                <w:lang w:val="fr-FR"/>
              </w:rPr>
              <w:t> </w:t>
            </w:r>
            <w:r w:rsidRPr="00750AA2">
              <w:rPr>
                <w:lang w:val="fr-FR"/>
              </w:rPr>
              <w:t>:</w:t>
            </w:r>
            <w:r w:rsidRPr="00750AA2">
              <w:rPr>
                <w:lang w:val="fr-FR"/>
              </w:rPr>
              <w:tab/>
            </w:r>
            <w:r w:rsidR="006B490F">
              <w:rPr>
                <w:lang w:val="fr-FR"/>
              </w:rPr>
              <w:tab/>
            </w:r>
            <w:r w:rsidR="00E84192">
              <w:rPr>
                <w:lang w:val="fr-FR"/>
              </w:rPr>
              <w:t>Modifier les</w:t>
            </w:r>
            <w:r w:rsidRPr="00247542">
              <w:rPr>
                <w:lang w:val="fr-FR"/>
              </w:rPr>
              <w:t xml:space="preserve"> chapitres 1.6.5 et 9.2.4 </w:t>
            </w:r>
            <w:r w:rsidR="00E84192">
              <w:rPr>
                <w:lang w:val="fr-FR"/>
              </w:rPr>
              <w:t xml:space="preserve">en y incluant </w:t>
            </w:r>
            <w:r w:rsidRPr="00247542">
              <w:rPr>
                <w:lang w:val="fr-FR"/>
              </w:rPr>
              <w:t>le GNC et le GPL</w:t>
            </w:r>
            <w:r w:rsidR="00E84192">
              <w:rPr>
                <w:lang w:val="fr-FR"/>
              </w:rPr>
              <w:t>,</w:t>
            </w:r>
            <w:r w:rsidRPr="00247542">
              <w:rPr>
                <w:lang w:val="fr-FR"/>
              </w:rPr>
              <w:t xml:space="preserve"> avec des renvois aux </w:t>
            </w:r>
            <w:r w:rsidR="00AD5623">
              <w:rPr>
                <w:lang w:val="fr-FR"/>
              </w:rPr>
              <w:t xml:space="preserve">Règlements respectifs de la </w:t>
            </w:r>
            <w:r w:rsidRPr="00247542">
              <w:rPr>
                <w:lang w:val="fr-FR"/>
              </w:rPr>
              <w:t>CEE.</w:t>
            </w:r>
          </w:p>
        </w:tc>
      </w:tr>
      <w:tr w:rsidR="00247542" w:rsidTr="00247542">
        <w:tc>
          <w:tcPr>
            <w:tcW w:w="10051" w:type="dxa"/>
            <w:tcBorders>
              <w:bottom w:val="nil"/>
            </w:tcBorders>
            <w:shd w:val="clear" w:color="auto" w:fill="auto"/>
          </w:tcPr>
          <w:p w:rsidR="00247542" w:rsidRPr="00247542" w:rsidRDefault="00247542" w:rsidP="00111357">
            <w:pPr>
              <w:pStyle w:val="SingleTxt"/>
              <w:tabs>
                <w:tab w:val="clear" w:pos="1267"/>
                <w:tab w:val="left" w:pos="246"/>
              </w:tabs>
              <w:ind w:left="2693" w:hanging="2693"/>
              <w:rPr>
                <w:lang w:val="fr-FR"/>
              </w:rPr>
            </w:pPr>
            <w:r>
              <w:rPr>
                <w:lang w:val="fr-FR"/>
              </w:rPr>
              <w:tab/>
            </w:r>
            <w:r w:rsidRPr="00247542">
              <w:rPr>
                <w:b/>
                <w:lang w:val="fr-FR"/>
              </w:rPr>
              <w:t>Documents de référence</w:t>
            </w:r>
            <w:r w:rsidR="00750AA2">
              <w:rPr>
                <w:b/>
                <w:lang w:val="fr-FR"/>
              </w:rPr>
              <w:t> </w:t>
            </w:r>
            <w:r w:rsidRPr="00247542">
              <w:rPr>
                <w:lang w:val="fr-FR"/>
              </w:rPr>
              <w:t>:</w:t>
            </w:r>
            <w:r w:rsidRPr="00247542">
              <w:rPr>
                <w:lang w:val="fr-FR"/>
              </w:rPr>
              <w:tab/>
              <w:t>ECE/TRANS</w:t>
            </w:r>
            <w:r w:rsidR="00E84192">
              <w:rPr>
                <w:lang w:val="fr-FR"/>
              </w:rPr>
              <w:t>/WP.15/226, ECE/TRANS/WP.15/228 et</w:t>
            </w:r>
            <w:r w:rsidRPr="00247542">
              <w:rPr>
                <w:lang w:val="fr-FR"/>
              </w:rPr>
              <w:t xml:space="preserve"> documents INF.3 (Suède), INF.4 (NGV Global), INF.12 (NGV Global), INF.15 (AEGPL), INF.16 (AEGPL) de la quatre-vingt-dix-huitième session.</w:t>
            </w:r>
          </w:p>
        </w:tc>
      </w:tr>
      <w:tr w:rsidR="00247542" w:rsidTr="00247542">
        <w:tc>
          <w:tcPr>
            <w:tcW w:w="10051" w:type="dxa"/>
            <w:tcBorders>
              <w:bottom w:val="single" w:sz="2" w:space="0" w:color="auto"/>
            </w:tcBorders>
            <w:shd w:val="clear" w:color="auto" w:fill="auto"/>
          </w:tcPr>
          <w:p w:rsidR="00247542" w:rsidRPr="00247542" w:rsidRDefault="00247542" w:rsidP="00247542">
            <w:pPr>
              <w:pStyle w:val="SingleTxt"/>
              <w:rPr>
                <w:lang w:val="fr-FR"/>
              </w:rPr>
            </w:pPr>
          </w:p>
        </w:tc>
      </w:tr>
    </w:tbl>
    <w:p w:rsidR="0030066F" w:rsidRDefault="0030066F">
      <w:pPr>
        <w:spacing w:line="240" w:lineRule="auto"/>
        <w:rPr>
          <w:b/>
          <w:lang w:val="fr-FR"/>
        </w:rPr>
      </w:pPr>
      <w:r>
        <w:rPr>
          <w:b/>
          <w:lang w:val="fr-FR"/>
        </w:rPr>
        <w:br w:type="page"/>
      </w:r>
    </w:p>
    <w:p w:rsidR="00247542" w:rsidRDefault="00ED1CDB" w:rsidP="00ED1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247542" w:rsidRPr="00247542">
        <w:rPr>
          <w:lang w:val="fr-FR"/>
        </w:rPr>
        <w:tab/>
        <w:t>Introduction</w:t>
      </w:r>
    </w:p>
    <w:p w:rsidR="00ED1CDB" w:rsidRPr="00ED1CDB" w:rsidRDefault="00ED1CDB" w:rsidP="00ED1CDB">
      <w:pPr>
        <w:pStyle w:val="SingleTxt"/>
        <w:spacing w:after="0" w:line="120" w:lineRule="exact"/>
        <w:rPr>
          <w:sz w:val="10"/>
          <w:lang w:val="fr-FR"/>
        </w:rPr>
      </w:pPr>
    </w:p>
    <w:p w:rsidR="00ED1CDB" w:rsidRPr="00ED1CDB" w:rsidRDefault="00ED1CDB" w:rsidP="00ED1CDB">
      <w:pPr>
        <w:pStyle w:val="SingleTxt"/>
        <w:spacing w:after="0" w:line="120" w:lineRule="exact"/>
        <w:rPr>
          <w:sz w:val="10"/>
          <w:lang w:val="fr-FR"/>
        </w:rPr>
      </w:pP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propositions de modification </w:t>
      </w:r>
      <w:r w:rsidR="005E243D">
        <w:rPr>
          <w:lang w:val="fr-FR"/>
        </w:rPr>
        <w:t>de</w:t>
      </w:r>
      <w:r w:rsidRPr="00247542">
        <w:rPr>
          <w:lang w:val="fr-FR"/>
        </w:rPr>
        <w:t xml:space="preserve"> l’ADR (en particulier du chapitre 9.2) pour y inclure des dispositions applicables aux véhicules alimentés par des carburants gazeux ont suscité des débats au cours desquels l’AEGPL et NGV Global ont été invitées à fournir de plus amples justifications. S’appuyant sur le document ECE/TRANS/WP.15/2014/16, ces deux organisations souhaitent préciser les amendements suggérés et traiter d’autres questions qui ont été abordées par des délégations au cours de la quatre-vingt-dix-septième session (novembre 2014).</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Les amendements suggérés s’appuient sur une technologie fiable et bien établie. On dénombre dans le monde plus de 25</w:t>
      </w:r>
      <w:r w:rsidR="00ED1CDB">
        <w:rPr>
          <w:lang w:val="fr-FR"/>
        </w:rPr>
        <w:t xml:space="preserve"> </w:t>
      </w:r>
      <w:r w:rsidRPr="00247542">
        <w:rPr>
          <w:lang w:val="fr-FR"/>
        </w:rPr>
        <w:t>millions de véhicules fonctionnant au gaz de pétrole liquéfié (GPL) et plus de 21</w:t>
      </w:r>
      <w:r w:rsidR="00ED1CDB">
        <w:rPr>
          <w:lang w:val="fr-FR"/>
        </w:rPr>
        <w:t xml:space="preserve"> </w:t>
      </w:r>
      <w:r w:rsidRPr="00247542">
        <w:rPr>
          <w:lang w:val="fr-FR"/>
        </w:rPr>
        <w:t>millions fonctionnant au gaz naturel (dont près de 1,5 million de poids lourds et d’autobus). Des véhicules lourds équipés de moteurs à allumage par compression ont été transformés de manière à pouvoir fonctionner simultanément avec du gazole et des carburants gazeux (véhicules bicarburants). Les</w:t>
      </w:r>
      <w:r w:rsidR="00ED1CDB">
        <w:rPr>
          <w:lang w:val="fr-FR"/>
        </w:rPr>
        <w:t xml:space="preserve"> </w:t>
      </w:r>
      <w:r w:rsidRPr="00247542">
        <w:rPr>
          <w:lang w:val="fr-FR"/>
        </w:rPr>
        <w:t>Règlements de la CEE relatifs aux organes des équipements GPL et GNC et à leur utilisation sur des véhicules routiers (</w:t>
      </w:r>
      <w:r w:rsidR="005E243D">
        <w:rPr>
          <w:lang w:val="fr-FR"/>
        </w:rPr>
        <w:t xml:space="preserve">respectivement </w:t>
      </w:r>
      <w:r w:rsidRPr="00247542">
        <w:rPr>
          <w:lang w:val="fr-FR"/>
        </w:rPr>
        <w:t xml:space="preserve">Règlements </w:t>
      </w:r>
      <w:r w:rsidR="00ED1CDB">
        <w:rPr>
          <w:lang w:val="fr-FR"/>
        </w:rPr>
        <w:t>n</w:t>
      </w:r>
      <w:r w:rsidR="00ED1CDB" w:rsidRPr="00ED1CDB">
        <w:rPr>
          <w:vertAlign w:val="superscript"/>
          <w:lang w:val="fr-FR"/>
        </w:rPr>
        <w:t>o</w:t>
      </w:r>
      <w:r w:rsidR="00ED1CDB">
        <w:rPr>
          <w:lang w:val="fr-FR"/>
        </w:rPr>
        <w:t> </w:t>
      </w:r>
      <w:r w:rsidRPr="00247542">
        <w:rPr>
          <w:lang w:val="fr-FR"/>
        </w:rPr>
        <w:t>67 (série</w:t>
      </w:r>
      <w:r w:rsidR="00ED1CDB">
        <w:rPr>
          <w:lang w:val="fr-FR"/>
        </w:rPr>
        <w:t xml:space="preserve"> </w:t>
      </w:r>
      <w:r w:rsidRPr="00247542">
        <w:rPr>
          <w:lang w:val="fr-FR"/>
        </w:rPr>
        <w:t xml:space="preserve">01 d’amendements) et </w:t>
      </w:r>
      <w:r w:rsidR="00ED1CDB">
        <w:rPr>
          <w:lang w:val="fr-FR"/>
        </w:rPr>
        <w:t>n</w:t>
      </w:r>
      <w:r w:rsidR="00ED1CDB" w:rsidRPr="00ED1CDB">
        <w:rPr>
          <w:vertAlign w:val="superscript"/>
          <w:lang w:val="fr-FR"/>
        </w:rPr>
        <w:t>o</w:t>
      </w:r>
      <w:r w:rsidR="00ED1CDB">
        <w:rPr>
          <w:lang w:val="fr-FR"/>
        </w:rPr>
        <w:t> </w:t>
      </w:r>
      <w:r w:rsidRPr="00247542">
        <w:rPr>
          <w:lang w:val="fr-FR"/>
        </w:rPr>
        <w:t xml:space="preserve">110) sont en vigueur depuis de nombreuses années. Des prescriptions applicables aux véhicules bicarburants ont été introduites récemment dans le Règlement de la CEE </w:t>
      </w:r>
      <w:r w:rsidR="00ED1CDB">
        <w:rPr>
          <w:lang w:val="fr-FR"/>
        </w:rPr>
        <w:t>n</w:t>
      </w:r>
      <w:r w:rsidR="00ED1CDB" w:rsidRPr="00ED1CDB">
        <w:rPr>
          <w:vertAlign w:val="superscript"/>
          <w:lang w:val="fr-FR"/>
        </w:rPr>
        <w:t>o</w:t>
      </w:r>
      <w:r w:rsidR="00ED1CDB">
        <w:rPr>
          <w:lang w:val="fr-FR"/>
        </w:rPr>
        <w:t> </w:t>
      </w:r>
      <w:r w:rsidRPr="00247542">
        <w:rPr>
          <w:lang w:val="fr-FR"/>
        </w:rPr>
        <w:t>49 (portant sur les véhicules utilitaires lourds) et sont entrées en vigueur en</w:t>
      </w:r>
      <w:r w:rsidR="00ED1CDB">
        <w:rPr>
          <w:lang w:val="fr-FR"/>
        </w:rPr>
        <w:t xml:space="preserve"> </w:t>
      </w:r>
      <w:r w:rsidRPr="00247542">
        <w:rPr>
          <w:lang w:val="fr-FR"/>
        </w:rPr>
        <w:t>juillet 2014. Les carburants et équipements GPL et gaz naturel (GNC et GNL) sont pleinement autorisés, régis par un corpus substantiel de Règlements de la CEE en vigueur ainsi que par des normes et règlements adoptés par de nombreux pays dans le monde.</w:t>
      </w:r>
    </w:p>
    <w:p w:rsidR="00247542" w:rsidRDefault="00247542" w:rsidP="001972A8">
      <w:pPr>
        <w:pStyle w:val="SingleTxt"/>
        <w:numPr>
          <w:ilvl w:val="0"/>
          <w:numId w:val="8"/>
        </w:numPr>
        <w:tabs>
          <w:tab w:val="clear" w:pos="475"/>
          <w:tab w:val="num" w:pos="1742"/>
        </w:tabs>
        <w:ind w:left="1267"/>
        <w:rPr>
          <w:lang w:val="fr-FR"/>
        </w:rPr>
      </w:pPr>
      <w:r w:rsidRPr="00247542">
        <w:rPr>
          <w:lang w:val="fr-FR"/>
        </w:rPr>
        <w:t>Parallèlement à l’objectif visant à mettre en place une réglement</w:t>
      </w:r>
      <w:r w:rsidR="00BA2A46">
        <w:rPr>
          <w:lang w:val="fr-FR"/>
        </w:rPr>
        <w:t xml:space="preserve">ation </w:t>
      </w:r>
      <w:r w:rsidRPr="00247542">
        <w:rPr>
          <w:lang w:val="fr-FR"/>
        </w:rPr>
        <w:t>harmonisée et cohérente pour le GPL et le GNC, l’AEGPL et NGV Global plaident pour que ces carburants, les équipements liés à ces carburants et les véhicules alimentés par ces carburants</w:t>
      </w:r>
      <w:r w:rsidR="00BA2A46">
        <w:rPr>
          <w:lang w:val="fr-FR"/>
        </w:rPr>
        <w:t>,</w:t>
      </w:r>
      <w:r w:rsidRPr="00247542">
        <w:rPr>
          <w:lang w:val="fr-FR"/>
        </w:rPr>
        <w:t xml:space="preserve"> qui sont bien établis sur le marché</w:t>
      </w:r>
      <w:r w:rsidR="00BA2A46">
        <w:rPr>
          <w:lang w:val="fr-FR"/>
        </w:rPr>
        <w:t>,</w:t>
      </w:r>
      <w:r w:rsidRPr="00247542">
        <w:rPr>
          <w:lang w:val="fr-FR"/>
        </w:rPr>
        <w:t xml:space="preserve"> fassent l’objet de prescriptions spécifiques dans l’ADR accompagnées d’un</w:t>
      </w:r>
      <w:r w:rsidR="00BA2A46">
        <w:rPr>
          <w:lang w:val="fr-FR"/>
        </w:rPr>
        <w:t xml:space="preserve"> renvoi </w:t>
      </w:r>
      <w:r w:rsidRPr="00247542">
        <w:rPr>
          <w:lang w:val="fr-FR"/>
        </w:rPr>
        <w:t>aux Règlements de la CEE applicables (</w:t>
      </w:r>
      <w:r w:rsidR="00ED1CDB">
        <w:rPr>
          <w:lang w:val="fr-FR"/>
        </w:rPr>
        <w:t>n</w:t>
      </w:r>
      <w:r w:rsidR="00ED1CDB" w:rsidRPr="00ED1CDB">
        <w:rPr>
          <w:vertAlign w:val="superscript"/>
          <w:lang w:val="fr-FR"/>
        </w:rPr>
        <w:t>o</w:t>
      </w:r>
      <w:r w:rsidR="00ED1CDB">
        <w:rPr>
          <w:vertAlign w:val="superscript"/>
          <w:lang w:val="fr-FR"/>
        </w:rPr>
        <w:t>s</w:t>
      </w:r>
      <w:r w:rsidR="00ED1CDB">
        <w:rPr>
          <w:lang w:val="fr-FR"/>
        </w:rPr>
        <w:t> </w:t>
      </w:r>
      <w:r w:rsidRPr="00247542">
        <w:rPr>
          <w:lang w:val="fr-FR"/>
        </w:rPr>
        <w:t>67 (série</w:t>
      </w:r>
      <w:r w:rsidR="00ED1CDB">
        <w:rPr>
          <w:lang w:val="fr-FR"/>
        </w:rPr>
        <w:t xml:space="preserve"> </w:t>
      </w:r>
      <w:r w:rsidRPr="00247542">
        <w:rPr>
          <w:lang w:val="fr-FR"/>
        </w:rPr>
        <w:t>01 d’amendements) et 110). Par conséquent, les deux organisations soutiennent l’idée selon laquelle les prescriptions supplémentaires relatives aux spécificités du transport des marchandises dangereuses non encore traitées par le Forum mondial de l’harmonisation des Règlements concernant les véhicules (WP.29) devraient être incluses dans l’ADR. Cette combinaison des Règlements de la CEE (</w:t>
      </w:r>
      <w:r w:rsidR="00ED1CDB">
        <w:rPr>
          <w:lang w:val="fr-FR"/>
        </w:rPr>
        <w:t>n</w:t>
      </w:r>
      <w:r w:rsidR="00ED1CDB" w:rsidRPr="00ED1CDB">
        <w:rPr>
          <w:vertAlign w:val="superscript"/>
          <w:lang w:val="fr-FR"/>
        </w:rPr>
        <w:t>o</w:t>
      </w:r>
      <w:r w:rsidR="00ED1CDB">
        <w:rPr>
          <w:vertAlign w:val="superscript"/>
          <w:lang w:val="fr-FR"/>
        </w:rPr>
        <w:t>s</w:t>
      </w:r>
      <w:r w:rsidR="00ED1CDB">
        <w:rPr>
          <w:lang w:val="fr-FR"/>
        </w:rPr>
        <w:t> </w:t>
      </w:r>
      <w:r w:rsidRPr="00247542">
        <w:rPr>
          <w:lang w:val="fr-FR"/>
        </w:rPr>
        <w:t>67 (série</w:t>
      </w:r>
      <w:r w:rsidR="00ED1CDB">
        <w:rPr>
          <w:lang w:val="fr-FR"/>
        </w:rPr>
        <w:t xml:space="preserve"> </w:t>
      </w:r>
      <w:r w:rsidRPr="00247542">
        <w:rPr>
          <w:lang w:val="fr-FR"/>
        </w:rPr>
        <w:t>01 d’amendements) et 110) et des prescriptions supplémentaires susmentionnées garantira des conditions de sécurité suffisantes pour justifier l’utilisation du GPL et du GNC comme carburants pour les poids lourds transportant des marchandises dangereuses. L’AEGPL et NGV Global proposent de modifier le libellé de l’ADR en conséquence.</w:t>
      </w:r>
    </w:p>
    <w:p w:rsidR="00ED1CDB" w:rsidRPr="00ED1CDB" w:rsidRDefault="00ED1CDB" w:rsidP="00ED1CDB">
      <w:pPr>
        <w:pStyle w:val="SingleTxt"/>
        <w:spacing w:after="0" w:line="120" w:lineRule="exact"/>
        <w:rPr>
          <w:sz w:val="10"/>
          <w:lang w:val="fr-FR"/>
        </w:rPr>
      </w:pPr>
    </w:p>
    <w:p w:rsidR="00ED1CDB" w:rsidRPr="00ED1CDB" w:rsidRDefault="00ED1CDB" w:rsidP="00ED1CDB">
      <w:pPr>
        <w:pStyle w:val="SingleTxt"/>
        <w:spacing w:after="0" w:line="120" w:lineRule="exact"/>
        <w:rPr>
          <w:sz w:val="10"/>
          <w:lang w:val="fr-FR"/>
        </w:rPr>
      </w:pPr>
    </w:p>
    <w:p w:rsidR="00247542" w:rsidRDefault="00ED1CDB" w:rsidP="00ED1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47542" w:rsidRPr="00247542">
        <w:rPr>
          <w:lang w:val="fr-FR"/>
        </w:rPr>
        <w:tab/>
        <w:t>Propriétés des carburants gazeux</w:t>
      </w:r>
    </w:p>
    <w:p w:rsidR="00ED1CDB" w:rsidRPr="00ED1CDB" w:rsidRDefault="00ED1CDB" w:rsidP="00ED1CDB">
      <w:pPr>
        <w:pStyle w:val="SingleTxt"/>
        <w:spacing w:after="0" w:line="120" w:lineRule="exact"/>
        <w:rPr>
          <w:sz w:val="10"/>
          <w:lang w:val="fr-FR"/>
        </w:rPr>
      </w:pPr>
    </w:p>
    <w:p w:rsidR="00ED1CDB" w:rsidRPr="00ED1CDB" w:rsidRDefault="00ED1CDB" w:rsidP="00ED1CDB">
      <w:pPr>
        <w:pStyle w:val="SingleTxt"/>
        <w:spacing w:after="0" w:line="120" w:lineRule="exact"/>
        <w:rPr>
          <w:sz w:val="10"/>
          <w:lang w:val="fr-FR"/>
        </w:rPr>
      </w:pP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 GPL et le GNC, gazeux à l’état naturel dans </w:t>
      </w:r>
      <w:r w:rsidR="00BA2A46">
        <w:rPr>
          <w:lang w:val="fr-FR"/>
        </w:rPr>
        <w:t>de</w:t>
      </w:r>
      <w:r w:rsidRPr="00247542">
        <w:rPr>
          <w:lang w:val="fr-FR"/>
        </w:rPr>
        <w:t>s conditions normales de température et de pression, peuvent s</w:t>
      </w:r>
      <w:r w:rsidR="00BA2A46">
        <w:rPr>
          <w:lang w:val="fr-FR"/>
        </w:rPr>
        <w:t xml:space="preserve">e mélanger. Dans un espace ventilé (en particulier à l’extérieur), </w:t>
      </w:r>
      <w:r w:rsidRPr="00247542">
        <w:rPr>
          <w:lang w:val="fr-FR"/>
        </w:rPr>
        <w:t>la dissipation est assez rapide pour que le risque soit pratiquement négligeable.</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Le GNC et le GPL ne sont ni oxydants ni corrosifs et ne réagissent pas avec d’autres substances chimiques.</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Le GNC et le GPL ne sont pas toxiques et, si l’on excepte le fait qu’ils provoquent un déplacement d’air (risque d’asphyxie), n’ont pas d’effets nocifs sur l’homme.</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lastRenderedPageBreak/>
        <w:t>Le GNC et le GPL sont des marchandises dangereuses, inflammables, des gaz comprimés et liquéfiés sous faible pression, appartenant à la classe</w:t>
      </w:r>
      <w:r w:rsidR="00ED1CDB">
        <w:rPr>
          <w:lang w:val="fr-FR"/>
        </w:rPr>
        <w:t xml:space="preserve"> </w:t>
      </w:r>
      <w:r w:rsidRPr="00247542">
        <w:rPr>
          <w:lang w:val="fr-FR"/>
        </w:rPr>
        <w:t>2, codes de classification</w:t>
      </w:r>
      <w:r w:rsidR="00AC7F7C">
        <w:rPr>
          <w:lang w:val="fr-FR"/>
        </w:rPr>
        <w:t xml:space="preserve"> respectivement</w:t>
      </w:r>
      <w:r w:rsidRPr="00247542">
        <w:rPr>
          <w:lang w:val="fr-FR"/>
        </w:rPr>
        <w:t xml:space="preserve"> 1F et 2F. Il leur a été attribué les numéros ONU suivants</w:t>
      </w:r>
      <w:r w:rsidR="00ED1CDB">
        <w:rPr>
          <w:lang w:val="fr-FR"/>
        </w:rPr>
        <w:t> </w:t>
      </w:r>
      <w:r w:rsidRPr="00247542">
        <w:rPr>
          <w:lang w:val="fr-FR"/>
        </w:rPr>
        <w:t>: 1971 pour le GNC et 1965 pour le GPL.</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En cas d’exposition prolongée (plusieurs heures), le GPL en phase liquide peut agir comme un solvant pour certaines matières.</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Les documents techniques énumérés ci-après décrivent plus en détail les propriétés physiques, les aspects relatifs à la sécurité et les risques potentiels</w:t>
      </w:r>
      <w:r w:rsidR="00ED1CDB">
        <w:rPr>
          <w:lang w:val="fr-FR"/>
        </w:rPr>
        <w:t> </w:t>
      </w:r>
      <w:r w:rsidRPr="00247542">
        <w:rPr>
          <w:lang w:val="fr-FR"/>
        </w:rPr>
        <w:t>:</w:t>
      </w:r>
    </w:p>
    <w:p w:rsidR="00247542" w:rsidRPr="00247542" w:rsidRDefault="00247542" w:rsidP="00ED1CDB">
      <w:pPr>
        <w:pStyle w:val="Bullet1"/>
        <w:rPr>
          <w:lang w:val="fr-FR"/>
        </w:rPr>
      </w:pPr>
      <w:r w:rsidRPr="00247542">
        <w:rPr>
          <w:lang w:val="fr-FR"/>
        </w:rPr>
        <w:t>Documents INF.23 (NGV Global) et INF.24 (AEGPL) de la quatre-vingt-dix-septième session;</w:t>
      </w:r>
    </w:p>
    <w:p w:rsidR="00247542" w:rsidRDefault="00247542" w:rsidP="00ED1CDB">
      <w:pPr>
        <w:pStyle w:val="Bullet1"/>
        <w:rPr>
          <w:lang w:val="fr-FR"/>
        </w:rPr>
      </w:pPr>
      <w:r w:rsidRPr="00247542">
        <w:rPr>
          <w:lang w:val="fr-FR"/>
        </w:rPr>
        <w:t>Documents INF.4 (NGV Global) et INF.15 (AEGPL) de la quatre-vingt-dix-huitième session.</w:t>
      </w:r>
    </w:p>
    <w:p w:rsidR="00ED1CDB" w:rsidRPr="00ED1CDB" w:rsidRDefault="00ED1CDB" w:rsidP="00ED1CDB">
      <w:pPr>
        <w:pStyle w:val="SingleTxt"/>
        <w:spacing w:after="0" w:line="120" w:lineRule="exact"/>
        <w:rPr>
          <w:sz w:val="10"/>
          <w:lang w:val="fr-FR"/>
        </w:rPr>
      </w:pPr>
    </w:p>
    <w:p w:rsidR="00ED1CDB" w:rsidRPr="00ED1CDB" w:rsidRDefault="00ED1CDB" w:rsidP="00ED1CDB">
      <w:pPr>
        <w:pStyle w:val="SingleTxt"/>
        <w:spacing w:after="0" w:line="120" w:lineRule="exact"/>
        <w:rPr>
          <w:sz w:val="10"/>
          <w:lang w:val="fr-FR"/>
        </w:rPr>
      </w:pPr>
    </w:p>
    <w:p w:rsidR="00247542" w:rsidRDefault="00ED1CDB" w:rsidP="00ED1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47542" w:rsidRPr="00247542">
        <w:rPr>
          <w:lang w:val="fr-FR"/>
        </w:rPr>
        <w:tab/>
        <w:t xml:space="preserve">Systèmes d’alimentation en carburants gazeux, </w:t>
      </w:r>
      <w:r>
        <w:rPr>
          <w:lang w:val="fr-FR"/>
        </w:rPr>
        <w:br/>
      </w:r>
      <w:r w:rsidR="00247542" w:rsidRPr="00247542">
        <w:rPr>
          <w:lang w:val="fr-FR"/>
        </w:rPr>
        <w:t>y</w:t>
      </w:r>
      <w:r w:rsidR="00A71FD7">
        <w:rPr>
          <w:lang w:val="fr-FR"/>
        </w:rPr>
        <w:t> </w:t>
      </w:r>
      <w:r w:rsidR="00247542" w:rsidRPr="00247542">
        <w:rPr>
          <w:lang w:val="fr-FR"/>
        </w:rPr>
        <w:t>compris les réservoirs et bouteilles à carburant</w:t>
      </w:r>
    </w:p>
    <w:p w:rsidR="00ED1CDB" w:rsidRPr="00ED1CDB" w:rsidRDefault="00ED1CDB" w:rsidP="00ED1CDB">
      <w:pPr>
        <w:pStyle w:val="SingleTxt"/>
        <w:spacing w:after="0" w:line="120" w:lineRule="exact"/>
        <w:rPr>
          <w:sz w:val="10"/>
          <w:lang w:val="fr-FR"/>
        </w:rPr>
      </w:pPr>
    </w:p>
    <w:p w:rsidR="00ED1CDB" w:rsidRPr="00ED1CDB" w:rsidRDefault="00ED1CDB" w:rsidP="00ED1CDB">
      <w:pPr>
        <w:pStyle w:val="SingleTxt"/>
        <w:spacing w:after="0" w:line="120" w:lineRule="exact"/>
        <w:rPr>
          <w:sz w:val="10"/>
          <w:lang w:val="fr-FR"/>
        </w:rPr>
      </w:pP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Les prescription</w:t>
      </w:r>
      <w:r w:rsidR="00A5424C">
        <w:rPr>
          <w:lang w:val="fr-FR"/>
        </w:rPr>
        <w:t>s techniques figurant dans les R</w:t>
      </w:r>
      <w:r w:rsidRPr="00247542">
        <w:rPr>
          <w:lang w:val="fr-FR"/>
        </w:rPr>
        <w:t xml:space="preserve">èglements existants (Règlements de la CEE </w:t>
      </w:r>
      <w:r w:rsidR="00ED1CDB">
        <w:rPr>
          <w:lang w:val="fr-FR"/>
        </w:rPr>
        <w:t>n</w:t>
      </w:r>
      <w:r w:rsidR="00ED1CDB" w:rsidRPr="00ED1CDB">
        <w:rPr>
          <w:vertAlign w:val="superscript"/>
          <w:lang w:val="fr-FR"/>
        </w:rPr>
        <w:t>o</w:t>
      </w:r>
      <w:r w:rsidR="00ED1CDB">
        <w:rPr>
          <w:vertAlign w:val="superscript"/>
          <w:lang w:val="fr-FR"/>
        </w:rPr>
        <w:t>s</w:t>
      </w:r>
      <w:r w:rsidR="00ED1CDB">
        <w:rPr>
          <w:lang w:val="fr-FR"/>
        </w:rPr>
        <w:t> </w:t>
      </w:r>
      <w:r w:rsidRPr="00247542">
        <w:rPr>
          <w:lang w:val="fr-FR"/>
        </w:rPr>
        <w:t>67 (série 01 d’amendements) et 110) tiennent compte des différences entre les carburants afin d’assurer des niveaux de sécurité comparables à ceux des carburants liquides.</w:t>
      </w:r>
    </w:p>
    <w:p w:rsidR="00247542" w:rsidRPr="00E21CEA" w:rsidRDefault="00247542" w:rsidP="001972A8">
      <w:pPr>
        <w:pStyle w:val="SingleTxt"/>
        <w:numPr>
          <w:ilvl w:val="0"/>
          <w:numId w:val="8"/>
        </w:numPr>
        <w:tabs>
          <w:tab w:val="clear" w:pos="475"/>
          <w:tab w:val="num" w:pos="1742"/>
        </w:tabs>
        <w:ind w:left="1267"/>
        <w:rPr>
          <w:lang w:val="fr-FR"/>
        </w:rPr>
      </w:pPr>
      <w:r w:rsidRPr="00E21CEA">
        <w:rPr>
          <w:lang w:val="fr-FR"/>
        </w:rPr>
        <w:t>Les réservoirs de GPL et les bouteilles de GNC doivent supporter les pressions élevées nécessaires au stockage de ces carburants. Les règlements respectifs comportent des prescriptions plus rigoureuses que pour les réservoirs de carburant liquide.</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réservoirs de GPL et les bouteilles de GNC doivent être fixés sur le châssis du véhicule pour pouvoir supporter des contraintes mécaniques importantes. Les fixations exigées sont tenues </w:t>
      </w:r>
      <w:r w:rsidR="00D67994">
        <w:rPr>
          <w:lang w:val="fr-FR"/>
        </w:rPr>
        <w:t>de résister à</w:t>
      </w:r>
      <w:r w:rsidRPr="00247542">
        <w:rPr>
          <w:lang w:val="fr-FR"/>
        </w:rPr>
        <w:t xml:space="preserve"> des accélérations supérieures à 5,5 g.</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Conformément aux Règlements de la CEE qui leur sont expressément applicables, les réservoirs de GPL et les bouteilles de GNC doivent être équipés de soupapes qui se ferment automatiquement pour couper l’alimentation en cas d’accident et d’arrêt du moteur et pour empêcher les fuites du carburant par les tuyauteries endommagées.</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Étant donné que les tuyauteries de carburant ne contiennent pas un volume important de carburant, la libération de gaz est limitée, ce qui réduit considérablement le risque d’incendie du véhicule. En tant que tels, les systèmes d’alimentation en GNC et GPL résistent au moins aussi bien que les systèmes d’alimentation en gazole et ils présentent moins de risques de fuite importante.</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bouteilles de GNC et les réservoirs de GPL sont conçus pour offrir une protection totale contre le risque d’incendie. La fiabilité de chaque type de système de stockage de carburant est validée par des épreuves d’exposition au feu au cours desquelles le réservoir rempli à sa capacité nominale est exposé à un foyer uniforme qui l’enveloppe complètement dans les flammes. La soupape de surpression </w:t>
      </w:r>
      <w:r w:rsidR="009B35D7">
        <w:rPr>
          <w:lang w:val="fr-FR"/>
        </w:rPr>
        <w:t>relâche</w:t>
      </w:r>
      <w:r w:rsidRPr="00247542">
        <w:rPr>
          <w:lang w:val="fr-FR"/>
        </w:rPr>
        <w:t xml:space="preserve"> progressivement la pression, de façon contrôlée, jusqu’au moment où il ne reste plus de carburant, empêchant ainsi le réservoir d’éclater.</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Étant donné que l’équipement électrique des systèmes d’alimentation en GNC et en GPL satisfaisant aux dispositions des </w:t>
      </w:r>
      <w:r w:rsidR="00926446">
        <w:rPr>
          <w:lang w:val="fr-FR"/>
        </w:rPr>
        <w:t>R</w:t>
      </w:r>
      <w:r w:rsidRPr="00247542">
        <w:rPr>
          <w:lang w:val="fr-FR"/>
        </w:rPr>
        <w:t xml:space="preserve">èglements pertinents ne respecte pas </w:t>
      </w:r>
      <w:r w:rsidRPr="00247542">
        <w:rPr>
          <w:lang w:val="fr-FR"/>
        </w:rPr>
        <w:lastRenderedPageBreak/>
        <w:t>nécessairement les dispositions du 9.2.2</w:t>
      </w:r>
      <w:r w:rsidR="00AF00C1" w:rsidRPr="00FD0F01">
        <w:rPr>
          <w:rStyle w:val="FootnoteReference"/>
          <w:lang w:val="fr-FR"/>
        </w:rPr>
        <w:footnoteReference w:id="2"/>
      </w:r>
      <w:r w:rsidRPr="00247542">
        <w:rPr>
          <w:lang w:val="fr-FR"/>
        </w:rPr>
        <w:t>, il conviendra peut-être de modifier l’équipement en question pour le rendre conforme.</w:t>
      </w:r>
    </w:p>
    <w:p w:rsidR="00247542" w:rsidRDefault="00247542" w:rsidP="001972A8">
      <w:pPr>
        <w:pStyle w:val="SingleTxt"/>
        <w:numPr>
          <w:ilvl w:val="0"/>
          <w:numId w:val="8"/>
        </w:numPr>
        <w:tabs>
          <w:tab w:val="clear" w:pos="475"/>
          <w:tab w:val="num" w:pos="1742"/>
        </w:tabs>
        <w:ind w:left="1267"/>
        <w:rPr>
          <w:lang w:val="fr-FR"/>
        </w:rPr>
      </w:pPr>
      <w:r w:rsidRPr="00247542">
        <w:rPr>
          <w:lang w:val="fr-FR"/>
        </w:rPr>
        <w:t>On trouvera d’autres évaluations approfondies des dangers potentiels et des moyens techniques d’y faire face dans les documents informels, établis respectivement pour le GNC et le GPL, sur lesquels s’appuie le présent document de travail (voir le paragraphe</w:t>
      </w:r>
      <w:r w:rsidR="00834978">
        <w:rPr>
          <w:lang w:val="fr-FR"/>
        </w:rPr>
        <w:t> </w:t>
      </w:r>
      <w:r w:rsidRPr="00247542">
        <w:rPr>
          <w:lang w:val="fr-FR"/>
        </w:rPr>
        <w:t>9 du présent document).</w:t>
      </w:r>
    </w:p>
    <w:p w:rsidR="00ED1CDB" w:rsidRPr="00ED1CDB" w:rsidRDefault="00ED1CDB" w:rsidP="00ED1CDB">
      <w:pPr>
        <w:pStyle w:val="SingleTxt"/>
        <w:spacing w:after="0" w:line="120" w:lineRule="exact"/>
        <w:rPr>
          <w:sz w:val="10"/>
          <w:lang w:val="fr-FR"/>
        </w:rPr>
      </w:pPr>
    </w:p>
    <w:p w:rsidR="00ED1CDB" w:rsidRPr="00ED1CDB" w:rsidRDefault="00ED1CDB" w:rsidP="00ED1CDB">
      <w:pPr>
        <w:pStyle w:val="SingleTxt"/>
        <w:spacing w:after="0" w:line="120" w:lineRule="exact"/>
        <w:rPr>
          <w:sz w:val="10"/>
          <w:lang w:val="fr-FR"/>
        </w:rPr>
      </w:pPr>
    </w:p>
    <w:p w:rsidR="00247542" w:rsidRPr="00305994" w:rsidRDefault="00ED1CDB" w:rsidP="00ED1C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05994">
        <w:rPr>
          <w:lang w:val="fr-FR"/>
        </w:rPr>
        <w:tab/>
      </w:r>
      <w:r w:rsidR="00247542" w:rsidRPr="00305994">
        <w:rPr>
          <w:lang w:val="fr-FR"/>
        </w:rPr>
        <w:tab/>
        <w:t>Propositions</w:t>
      </w:r>
    </w:p>
    <w:p w:rsidR="00ED1CDB" w:rsidRPr="00ED1CDB" w:rsidRDefault="00ED1CDB" w:rsidP="00ED1CDB">
      <w:pPr>
        <w:pStyle w:val="SingleTxt"/>
        <w:spacing w:after="0" w:line="120" w:lineRule="exact"/>
        <w:rPr>
          <w:sz w:val="10"/>
          <w:lang w:val="fr-FR"/>
        </w:rPr>
      </w:pPr>
    </w:p>
    <w:p w:rsidR="00ED1CDB" w:rsidRPr="00ED1CDB" w:rsidRDefault="00ED1CDB" w:rsidP="00ED1CDB">
      <w:pPr>
        <w:pStyle w:val="SingleTxt"/>
        <w:spacing w:after="0" w:line="120" w:lineRule="exact"/>
        <w:rPr>
          <w:sz w:val="10"/>
          <w:lang w:val="fr-FR"/>
        </w:rPr>
      </w:pP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propositions d’amendements suivantes </w:t>
      </w:r>
      <w:r w:rsidR="00305994">
        <w:rPr>
          <w:lang w:val="fr-FR"/>
        </w:rPr>
        <w:t xml:space="preserve">se fondent sur </w:t>
      </w:r>
      <w:r w:rsidRPr="00247542">
        <w:rPr>
          <w:lang w:val="fr-FR"/>
        </w:rPr>
        <w:t xml:space="preserve">le nouveau texte de l’ADR 2017 </w:t>
      </w:r>
      <w:r w:rsidR="00305994">
        <w:rPr>
          <w:lang w:val="fr-FR"/>
        </w:rPr>
        <w:t>adopté</w:t>
      </w:r>
      <w:r w:rsidRPr="00247542">
        <w:rPr>
          <w:lang w:val="fr-FR"/>
        </w:rPr>
        <w:t xml:space="preserve"> à la session de mai 2014 (quatre-vingt-seizième session)</w:t>
      </w:r>
      <w:r w:rsidR="00305994">
        <w:rPr>
          <w:lang w:val="fr-FR"/>
        </w:rPr>
        <w:t>, qui est reproduit</w:t>
      </w:r>
      <w:r w:rsidRPr="00247542">
        <w:rPr>
          <w:lang w:val="fr-FR"/>
        </w:rPr>
        <w:t xml:space="preserve"> dans le document ECE/TRANS/WP.15/224; elles tiennent compte des observations formulées par les délégations aux deux organisations après la quatre-vingt-dix-septième session (voir le document ECE/TRANS/WP.15/226).</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suppressions apparaissent en caractères biffés et le texte nouveau en caractères </w:t>
      </w:r>
      <w:r w:rsidRPr="004A3ECC">
        <w:rPr>
          <w:i/>
          <w:u w:val="single"/>
          <w:lang w:val="fr-FR"/>
        </w:rPr>
        <w:t>italiques et soulignés</w:t>
      </w:r>
      <w:r w:rsidRPr="00247542">
        <w:rPr>
          <w:lang w:val="fr-FR"/>
        </w:rPr>
        <w:t>.</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Modifier la liste des définitions du 1.2.1 comme suit</w:t>
      </w:r>
      <w:r w:rsidR="00ED1CDB">
        <w:rPr>
          <w:lang w:val="fr-FR"/>
        </w:rPr>
        <w:t> </w:t>
      </w:r>
      <w:r w:rsidRPr="00247542">
        <w:rPr>
          <w:lang w:val="fr-FR"/>
        </w:rPr>
        <w:t>:</w:t>
      </w:r>
    </w:p>
    <w:p w:rsidR="00247542" w:rsidRPr="00247542" w:rsidRDefault="00ED1CDB" w:rsidP="00247542">
      <w:pPr>
        <w:pStyle w:val="SingleTxt"/>
        <w:rPr>
          <w:u w:val="single"/>
          <w:lang w:val="fr-FR"/>
        </w:rPr>
      </w:pPr>
      <w:r w:rsidRPr="00182984">
        <w:rPr>
          <w:i/>
          <w:u w:val="single"/>
          <w:lang w:val="fr-FR"/>
        </w:rPr>
        <w:t>« </w:t>
      </w:r>
      <w:r w:rsidR="00247542" w:rsidRPr="00182984">
        <w:rPr>
          <w:i/>
          <w:u w:val="single"/>
          <w:lang w:val="fr-FR"/>
        </w:rPr>
        <w:t>Gaz naturel comprimé (GNC) »</w:t>
      </w:r>
      <w:r w:rsidR="00247542" w:rsidRPr="00247542">
        <w:rPr>
          <w:u w:val="single"/>
          <w:lang w:val="fr-FR"/>
        </w:rPr>
        <w:t xml:space="preserve">, un gaz comprimé composé de gaz naturel à forte teneur en méthane auquel a été attribué le </w:t>
      </w:r>
      <w:r w:rsidR="00313E8E">
        <w:rPr>
          <w:u w:val="single"/>
          <w:lang w:val="fr-FR"/>
        </w:rPr>
        <w:t>numéro ON</w:t>
      </w:r>
      <w:r w:rsidR="00247542" w:rsidRPr="00247542">
        <w:rPr>
          <w:u w:val="single"/>
          <w:lang w:val="fr-FR"/>
        </w:rPr>
        <w:t>U 1971.</w:t>
      </w:r>
    </w:p>
    <w:p w:rsidR="00247542" w:rsidRPr="00247542" w:rsidRDefault="00ED1CDB" w:rsidP="00247542">
      <w:pPr>
        <w:pStyle w:val="SingleTxt"/>
        <w:rPr>
          <w:u w:val="single"/>
          <w:lang w:val="fr-FR"/>
        </w:rPr>
      </w:pPr>
      <w:r w:rsidRPr="00182984">
        <w:rPr>
          <w:i/>
          <w:u w:val="single"/>
          <w:lang w:val="fr-FR"/>
        </w:rPr>
        <w:t>« </w:t>
      </w:r>
      <w:r w:rsidR="00247542" w:rsidRPr="00182984">
        <w:rPr>
          <w:i/>
          <w:u w:val="single"/>
          <w:lang w:val="fr-FR"/>
        </w:rPr>
        <w:t>Gaz naturel liquéfié (GNL)</w:t>
      </w:r>
      <w:r w:rsidRPr="00182984">
        <w:rPr>
          <w:i/>
          <w:u w:val="single"/>
          <w:lang w:val="fr-FR"/>
        </w:rPr>
        <w:t> »</w:t>
      </w:r>
      <w:r w:rsidR="00247542" w:rsidRPr="00247542">
        <w:rPr>
          <w:u w:val="single"/>
          <w:lang w:val="fr-FR"/>
        </w:rPr>
        <w:t xml:space="preserve">, un gaz mis sous forme liquide par réfrigération composé de gaz naturel à forte teneur en méthane auquel a été attribué le </w:t>
      </w:r>
      <w:r w:rsidR="009B6318">
        <w:rPr>
          <w:u w:val="single"/>
          <w:lang w:val="fr-FR"/>
        </w:rPr>
        <w:t>numéro </w:t>
      </w:r>
      <w:r w:rsidR="00247542" w:rsidRPr="00247542">
        <w:rPr>
          <w:u w:val="single"/>
          <w:lang w:val="fr-FR"/>
        </w:rPr>
        <w:t>ONU 1972.</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Modifier le 1.6.5.17 comme suit</w:t>
      </w:r>
      <w:r w:rsidR="00ED1CDB">
        <w:rPr>
          <w:lang w:val="fr-FR"/>
        </w:rPr>
        <w:t> </w:t>
      </w:r>
      <w:r w:rsidRPr="00247542">
        <w:rPr>
          <w:lang w:val="fr-FR"/>
        </w:rPr>
        <w:t>:</w:t>
      </w:r>
    </w:p>
    <w:p w:rsidR="00247542" w:rsidRPr="00247542" w:rsidRDefault="00ED1CDB" w:rsidP="00DD3353">
      <w:pPr>
        <w:pStyle w:val="SingleTxt"/>
        <w:ind w:left="2693" w:hanging="1426"/>
        <w:rPr>
          <w:lang w:val="fr-FR"/>
        </w:rPr>
      </w:pPr>
      <w:r>
        <w:rPr>
          <w:lang w:val="fr-FR"/>
        </w:rPr>
        <w:t>« </w:t>
      </w:r>
      <w:r w:rsidR="00247542" w:rsidRPr="00247542">
        <w:rPr>
          <w:lang w:val="fr-FR"/>
        </w:rPr>
        <w:t>1.6.5.17</w:t>
      </w:r>
      <w:r w:rsidR="00247542" w:rsidRPr="00247542">
        <w:rPr>
          <w:lang w:val="fr-FR"/>
        </w:rPr>
        <w:tab/>
      </w:r>
      <w:r w:rsidR="00DD3353">
        <w:rPr>
          <w:lang w:val="fr-FR"/>
        </w:rPr>
        <w:tab/>
      </w:r>
      <w:r w:rsidR="00247542" w:rsidRPr="00247542">
        <w:rPr>
          <w:lang w:val="fr-FR"/>
        </w:rPr>
        <w:t>Les véhicules FL et OX immatriculés avant le 1</w:t>
      </w:r>
      <w:r w:rsidR="00247542" w:rsidRPr="00247542">
        <w:rPr>
          <w:vertAlign w:val="superscript"/>
          <w:lang w:val="fr-FR"/>
        </w:rPr>
        <w:t>er</w:t>
      </w:r>
      <w:r w:rsidR="00247542" w:rsidRPr="00247542">
        <w:rPr>
          <w:lang w:val="fr-FR"/>
        </w:rPr>
        <w:t> juillet 2017, fonctionnant au GNL</w:t>
      </w:r>
      <w:r w:rsidR="00305994" w:rsidRPr="001C33B8">
        <w:rPr>
          <w:i/>
          <w:u w:val="single"/>
          <w:lang w:val="fr-FR"/>
        </w:rPr>
        <w:t xml:space="preserve">, au </w:t>
      </w:r>
      <w:r w:rsidR="00247542" w:rsidRPr="001C33B8">
        <w:rPr>
          <w:i/>
          <w:u w:val="single"/>
          <w:lang w:val="fr-FR"/>
        </w:rPr>
        <w:t>G</w:t>
      </w:r>
      <w:r w:rsidR="00305994" w:rsidRPr="001C33B8">
        <w:rPr>
          <w:i/>
          <w:u w:val="single"/>
          <w:lang w:val="fr-FR"/>
        </w:rPr>
        <w:t>NC</w:t>
      </w:r>
      <w:r w:rsidR="00247542" w:rsidRPr="001C33B8">
        <w:rPr>
          <w:i/>
          <w:u w:val="single"/>
          <w:lang w:val="fr-FR"/>
        </w:rPr>
        <w:t xml:space="preserve"> ou au GPL</w:t>
      </w:r>
      <w:r w:rsidR="00247542" w:rsidRPr="00247542">
        <w:rPr>
          <w:lang w:val="fr-FR"/>
        </w:rPr>
        <w:t xml:space="preserve"> et qui ne sont pas pleinement conformes aux dispositions </w:t>
      </w:r>
      <w:r w:rsidR="00247542" w:rsidRPr="00082D87">
        <w:rPr>
          <w:strike/>
          <w:lang w:val="fr-FR"/>
        </w:rPr>
        <w:t xml:space="preserve">du </w:t>
      </w:r>
      <w:r w:rsidR="00247542" w:rsidRPr="00082D87">
        <w:rPr>
          <w:i/>
          <w:u w:val="single"/>
          <w:lang w:val="fr-FR"/>
        </w:rPr>
        <w:t>des</w:t>
      </w:r>
      <w:r w:rsidR="00247542" w:rsidRPr="00247542">
        <w:rPr>
          <w:lang w:val="fr-FR"/>
        </w:rPr>
        <w:t xml:space="preserve"> Règlement</w:t>
      </w:r>
      <w:r w:rsidR="00247542" w:rsidRPr="00082D87">
        <w:rPr>
          <w:i/>
          <w:u w:val="single"/>
          <w:lang w:val="fr-FR"/>
        </w:rPr>
        <w:t>s</w:t>
      </w:r>
      <w:r w:rsidR="00247542" w:rsidRPr="00247542">
        <w:rPr>
          <w:lang w:val="fr-FR"/>
        </w:rPr>
        <w:t xml:space="preserve"> de la CEE </w:t>
      </w:r>
      <w:r w:rsidR="00305994" w:rsidRPr="008B29A5">
        <w:rPr>
          <w:i/>
          <w:u w:val="single"/>
          <w:lang w:val="fr-FR"/>
        </w:rPr>
        <w:t>respectivement</w:t>
      </w:r>
      <w:r w:rsidR="00305994">
        <w:rPr>
          <w:lang w:val="fr-FR"/>
        </w:rPr>
        <w:t xml:space="preserve"> </w:t>
      </w:r>
      <w:r>
        <w:rPr>
          <w:lang w:val="fr-FR"/>
        </w:rPr>
        <w:t>n</w:t>
      </w:r>
      <w:r w:rsidRPr="00ED1CDB">
        <w:rPr>
          <w:vertAlign w:val="superscript"/>
          <w:lang w:val="fr-FR"/>
        </w:rPr>
        <w:t>o</w:t>
      </w:r>
      <w:r>
        <w:rPr>
          <w:vertAlign w:val="superscript"/>
          <w:lang w:val="fr-FR"/>
        </w:rPr>
        <w:t>s</w:t>
      </w:r>
      <w:r>
        <w:rPr>
          <w:lang w:val="fr-FR"/>
        </w:rPr>
        <w:t> </w:t>
      </w:r>
      <w:r w:rsidR="00247542" w:rsidRPr="00247542">
        <w:rPr>
          <w:lang w:val="fr-FR"/>
        </w:rPr>
        <w:t>110</w:t>
      </w:r>
      <w:r w:rsidR="00247542" w:rsidRPr="00247542">
        <w:rPr>
          <w:u w:val="single"/>
          <w:lang w:val="fr-FR"/>
        </w:rPr>
        <w:t xml:space="preserve"> </w:t>
      </w:r>
      <w:r w:rsidR="00247542" w:rsidRPr="001C33B8">
        <w:rPr>
          <w:i/>
          <w:u w:val="single"/>
          <w:lang w:val="fr-FR"/>
        </w:rPr>
        <w:t>et 67 (série</w:t>
      </w:r>
      <w:r w:rsidRPr="001C33B8">
        <w:rPr>
          <w:i/>
          <w:u w:val="single"/>
          <w:lang w:val="fr-FR"/>
        </w:rPr>
        <w:t xml:space="preserve"> </w:t>
      </w:r>
      <w:r w:rsidR="00247542" w:rsidRPr="001C33B8">
        <w:rPr>
          <w:i/>
          <w:u w:val="single"/>
          <w:lang w:val="fr-FR"/>
        </w:rPr>
        <w:t>01 d’amendements)</w:t>
      </w:r>
      <w:r w:rsidR="00247542" w:rsidRPr="00247542">
        <w:rPr>
          <w:lang w:val="fr-FR"/>
        </w:rPr>
        <w:t>, pourront encore être utilisés avec l’accord de l’autorité compétente du pays d’immatriculation, s’il peut être démontré qu’ils offrent un niveau de sécurité équivalent. ».</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Modifier le 9.2.4.3 comme suit</w:t>
      </w:r>
      <w:r w:rsidR="00ED1CDB">
        <w:rPr>
          <w:lang w:val="fr-FR"/>
        </w:rPr>
        <w:t> </w:t>
      </w:r>
      <w:r w:rsidRPr="00247542">
        <w:rPr>
          <w:lang w:val="fr-FR"/>
        </w:rPr>
        <w:t>:</w:t>
      </w:r>
    </w:p>
    <w:p w:rsidR="00247542" w:rsidRDefault="00ED1CDB" w:rsidP="00247542">
      <w:pPr>
        <w:pStyle w:val="SingleTxt"/>
        <w:rPr>
          <w:lang w:val="fr-FR"/>
        </w:rPr>
      </w:pPr>
      <w:r>
        <w:rPr>
          <w:lang w:val="fr-FR"/>
        </w:rPr>
        <w:t>« </w:t>
      </w:r>
      <w:r w:rsidR="00DD3353">
        <w:rPr>
          <w:lang w:val="fr-FR"/>
        </w:rPr>
        <w:t>9.2.4.3</w:t>
      </w:r>
      <w:r w:rsidR="00DD3353">
        <w:rPr>
          <w:lang w:val="fr-FR"/>
        </w:rPr>
        <w:tab/>
      </w:r>
      <w:r w:rsidR="00DD3353">
        <w:rPr>
          <w:lang w:val="fr-FR"/>
        </w:rPr>
        <w:tab/>
      </w:r>
      <w:r w:rsidR="00247542" w:rsidRPr="00247542">
        <w:rPr>
          <w:lang w:val="fr-FR"/>
        </w:rPr>
        <w:t>Réservoirs</w:t>
      </w:r>
      <w:r w:rsidR="00247542" w:rsidRPr="00BB4917">
        <w:rPr>
          <w:i/>
          <w:u w:val="single"/>
          <w:lang w:val="fr-FR"/>
        </w:rPr>
        <w:t xml:space="preserve"> et bouteilles</w:t>
      </w:r>
      <w:r w:rsidR="00247542" w:rsidRPr="00BB4917">
        <w:rPr>
          <w:i/>
          <w:lang w:val="fr-FR"/>
        </w:rPr>
        <w:t xml:space="preserve"> </w:t>
      </w:r>
      <w:r w:rsidR="00247542" w:rsidRPr="00247542">
        <w:rPr>
          <w:lang w:val="fr-FR"/>
        </w:rPr>
        <w:t>de carburant</w:t>
      </w:r>
    </w:p>
    <w:p w:rsidR="00247542" w:rsidRPr="00247542" w:rsidRDefault="00DD3353" w:rsidP="00DD3353">
      <w:pPr>
        <w:pStyle w:val="SingleTxt"/>
        <w:ind w:left="2693" w:hanging="1426"/>
        <w:rPr>
          <w:lang w:val="fr-FR"/>
        </w:rPr>
      </w:pPr>
      <w:r>
        <w:rPr>
          <w:lang w:val="fr-FR"/>
        </w:rPr>
        <w:tab/>
      </w:r>
      <w:r>
        <w:rPr>
          <w:lang w:val="fr-FR"/>
        </w:rPr>
        <w:tab/>
      </w:r>
      <w:r>
        <w:rPr>
          <w:lang w:val="fr-FR"/>
        </w:rPr>
        <w:tab/>
      </w:r>
      <w:r w:rsidR="00247542" w:rsidRPr="00247542">
        <w:rPr>
          <w:lang w:val="fr-FR"/>
        </w:rPr>
        <w:t xml:space="preserve">Les </w:t>
      </w:r>
      <w:r w:rsidR="00247542" w:rsidRPr="00BB4917">
        <w:rPr>
          <w:lang w:val="fr-FR"/>
        </w:rPr>
        <w:t>réservoirs et bouteilles</w:t>
      </w:r>
      <w:r w:rsidR="00247542" w:rsidRPr="00247542">
        <w:rPr>
          <w:lang w:val="fr-FR"/>
        </w:rPr>
        <w:t xml:space="preserve"> de carburant pour l’alimentation du moteur du véhicule doivent répondre aux prescriptions suivantes</w:t>
      </w:r>
      <w:r w:rsidR="00ED1CDB">
        <w:rPr>
          <w:lang w:val="fr-FR"/>
        </w:rPr>
        <w:t> </w:t>
      </w:r>
      <w:r w:rsidR="00247542" w:rsidRPr="00247542">
        <w:rPr>
          <w:lang w:val="fr-FR"/>
        </w:rPr>
        <w:t>:</w:t>
      </w:r>
    </w:p>
    <w:p w:rsidR="00247542" w:rsidRPr="00247542" w:rsidRDefault="00DD3353" w:rsidP="00936BE2">
      <w:pPr>
        <w:pStyle w:val="SingleTxt"/>
        <w:ind w:left="2693" w:hanging="1426"/>
        <w:rPr>
          <w:lang w:val="fr-FR"/>
        </w:rPr>
      </w:pPr>
      <w:r>
        <w:rPr>
          <w:lang w:val="fr-FR"/>
        </w:rPr>
        <w:tab/>
      </w:r>
      <w:r>
        <w:rPr>
          <w:lang w:val="fr-FR"/>
        </w:rPr>
        <w:tab/>
      </w:r>
      <w:r w:rsidR="00ED1CDB">
        <w:rPr>
          <w:lang w:val="fr-FR"/>
        </w:rPr>
        <w:tab/>
      </w:r>
      <w:r w:rsidR="00247542" w:rsidRPr="00247542">
        <w:rPr>
          <w:lang w:val="fr-FR"/>
        </w:rPr>
        <w:t>a)</w:t>
      </w:r>
      <w:r w:rsidR="00247542" w:rsidRPr="00247542">
        <w:rPr>
          <w:lang w:val="fr-FR"/>
        </w:rPr>
        <w:tab/>
        <w:t>En cas de fuite</w:t>
      </w:r>
      <w:r w:rsidR="00247542" w:rsidRPr="00EE6FD7">
        <w:rPr>
          <w:strike/>
          <w:lang w:val="fr-FR"/>
        </w:rPr>
        <w:t>, dans les conditions normales de fonctionnement du véhicule,</w:t>
      </w:r>
      <w:r w:rsidR="00247542" w:rsidRPr="00247542">
        <w:rPr>
          <w:lang w:val="fr-FR"/>
        </w:rPr>
        <w:t xml:space="preserve"> </w:t>
      </w:r>
      <w:r w:rsidR="00247542" w:rsidRPr="00F16FFA">
        <w:rPr>
          <w:i/>
          <w:u w:val="single"/>
          <w:lang w:val="fr-FR"/>
        </w:rPr>
        <w:t xml:space="preserve">survenant dans des conditions normales de transport, </w:t>
      </w:r>
      <w:r w:rsidR="00247542" w:rsidRPr="00247542">
        <w:rPr>
          <w:lang w:val="fr-FR"/>
        </w:rPr>
        <w:t xml:space="preserve">le carburant </w:t>
      </w:r>
      <w:r w:rsidR="00247542" w:rsidRPr="00F16FFA">
        <w:rPr>
          <w:i/>
          <w:u w:val="single"/>
          <w:lang w:val="fr-FR"/>
        </w:rPr>
        <w:t>liquide ou la phase liquide d’un carburant gazeux doit s’écouler sur le sol et</w:t>
      </w:r>
      <w:r w:rsidR="00247542" w:rsidRPr="00247542">
        <w:rPr>
          <w:lang w:val="fr-FR"/>
        </w:rPr>
        <w:t xml:space="preserve"> ne doit pas venir au contact </w:t>
      </w:r>
      <w:r w:rsidR="00247542" w:rsidRPr="00F16FFA">
        <w:rPr>
          <w:i/>
          <w:u w:val="single"/>
          <w:lang w:val="fr-FR"/>
        </w:rPr>
        <w:t>du chargement ni</w:t>
      </w:r>
      <w:r w:rsidR="00247542" w:rsidRPr="00247542">
        <w:rPr>
          <w:lang w:val="fr-FR"/>
        </w:rPr>
        <w:t xml:space="preserve"> de parties chaudes du véhicule</w:t>
      </w:r>
      <w:r w:rsidR="00247542" w:rsidRPr="00EE6FD7">
        <w:rPr>
          <w:strike/>
          <w:lang w:val="fr-FR"/>
        </w:rPr>
        <w:t xml:space="preserve"> ni du chargement</w:t>
      </w:r>
      <w:r w:rsidR="00247542" w:rsidRPr="00247542">
        <w:rPr>
          <w:lang w:val="fr-FR"/>
        </w:rPr>
        <w:t>;</w:t>
      </w:r>
    </w:p>
    <w:p w:rsidR="00247542" w:rsidRPr="00247542" w:rsidRDefault="00ED1CDB" w:rsidP="00936BE2">
      <w:pPr>
        <w:pStyle w:val="SingleTxt"/>
        <w:ind w:left="2693" w:hanging="1426"/>
        <w:rPr>
          <w:i/>
          <w:u w:val="single"/>
          <w:lang w:val="fr-FR"/>
        </w:rPr>
      </w:pPr>
      <w:r>
        <w:rPr>
          <w:lang w:val="fr-FR"/>
        </w:rPr>
        <w:lastRenderedPageBreak/>
        <w:tab/>
      </w:r>
      <w:r w:rsidR="00936BE2">
        <w:rPr>
          <w:lang w:val="fr-FR"/>
        </w:rPr>
        <w:tab/>
      </w:r>
      <w:r w:rsidR="00936BE2">
        <w:rPr>
          <w:lang w:val="fr-FR"/>
        </w:rPr>
        <w:tab/>
      </w:r>
      <w:r w:rsidR="00247542" w:rsidRPr="00247542">
        <w:rPr>
          <w:lang w:val="fr-FR"/>
        </w:rPr>
        <w:t>b)</w:t>
      </w:r>
      <w:r>
        <w:rPr>
          <w:lang w:val="fr-FR"/>
        </w:rPr>
        <w:tab/>
      </w:r>
      <w:r w:rsidR="00247542" w:rsidRPr="00247542">
        <w:rPr>
          <w:lang w:val="fr-FR"/>
        </w:rPr>
        <w:t xml:space="preserve">Les réservoirs de carburant pour les combustibles liquides doivent être conformes aux dispositions du Règlement de la CEE </w:t>
      </w:r>
      <w:r>
        <w:rPr>
          <w:lang w:val="fr-FR"/>
        </w:rPr>
        <w:t>n</w:t>
      </w:r>
      <w:r w:rsidRPr="00ED1CDB">
        <w:rPr>
          <w:vertAlign w:val="superscript"/>
          <w:lang w:val="fr-FR"/>
        </w:rPr>
        <w:t>o</w:t>
      </w:r>
      <w:r>
        <w:rPr>
          <w:lang w:val="fr-FR"/>
        </w:rPr>
        <w:t> </w:t>
      </w:r>
      <w:r w:rsidR="00247542" w:rsidRPr="00247542">
        <w:rPr>
          <w:lang w:val="fr-FR"/>
        </w:rPr>
        <w:t>34</w:t>
      </w:r>
      <w:r w:rsidR="00247542" w:rsidRPr="00247542">
        <w:rPr>
          <w:vertAlign w:val="superscript"/>
          <w:lang w:val="fr-FR"/>
        </w:rPr>
        <w:t>7</w:t>
      </w:r>
      <w:r w:rsidR="00247542" w:rsidRPr="00247542">
        <w:rPr>
          <w:lang w:val="fr-FR"/>
        </w:rPr>
        <w:t>; les réservoirs contenant de l’essence doivent être équipés d’un dispositif coupe-flammes efficace s’adaptant à l’orifice de remplissage ou d’un dispositif permettant de maintenir l’orifice de remplissage hermétiquement fermé.</w:t>
      </w:r>
      <w:r w:rsidR="00247542" w:rsidRPr="00247542">
        <w:rPr>
          <w:i/>
          <w:u w:val="single"/>
          <w:lang w:val="fr-FR"/>
        </w:rPr>
        <w:t xml:space="preserve"> Les réservoirs de GPL et les bouteilles de GNC doivent satisfaire aux prescriptions pertinentes du Règlement de la CEE </w:t>
      </w:r>
      <w:r w:rsidRPr="00ED1CDB">
        <w:rPr>
          <w:i/>
          <w:u w:val="single"/>
          <w:lang w:val="fr-FR"/>
        </w:rPr>
        <w:t>n</w:t>
      </w:r>
      <w:r w:rsidRPr="00ED1CDB">
        <w:rPr>
          <w:i/>
          <w:u w:val="single"/>
          <w:vertAlign w:val="superscript"/>
          <w:lang w:val="fr-FR"/>
        </w:rPr>
        <w:t>o</w:t>
      </w:r>
      <w:r w:rsidRPr="00ED1CDB">
        <w:rPr>
          <w:i/>
          <w:u w:val="single"/>
          <w:lang w:val="fr-FR"/>
        </w:rPr>
        <w:t> </w:t>
      </w:r>
      <w:r w:rsidR="00247542" w:rsidRPr="00247542">
        <w:rPr>
          <w:i/>
          <w:u w:val="single"/>
          <w:lang w:val="fr-FR"/>
        </w:rPr>
        <w:t>110</w:t>
      </w:r>
      <w:r w:rsidR="00247542" w:rsidRPr="00247542">
        <w:rPr>
          <w:vertAlign w:val="superscript"/>
          <w:lang w:val="fr-FR"/>
        </w:rPr>
        <w:t>7</w:t>
      </w:r>
      <w:r w:rsidR="00247542" w:rsidRPr="00247542">
        <w:rPr>
          <w:i/>
          <w:u w:val="single"/>
          <w:lang w:val="fr-FR"/>
        </w:rPr>
        <w:t xml:space="preserve">. Les réservoirs de GPL doivent satisfaire aux prescriptions du Règlement de la CEE </w:t>
      </w:r>
      <w:r w:rsidRPr="00ED1CDB">
        <w:rPr>
          <w:i/>
          <w:u w:val="single"/>
          <w:lang w:val="fr-FR"/>
        </w:rPr>
        <w:t>n</w:t>
      </w:r>
      <w:r w:rsidRPr="00ED1CDB">
        <w:rPr>
          <w:i/>
          <w:u w:val="single"/>
          <w:vertAlign w:val="superscript"/>
          <w:lang w:val="fr-FR"/>
        </w:rPr>
        <w:t>o</w:t>
      </w:r>
      <w:r w:rsidRPr="00ED1CDB">
        <w:rPr>
          <w:i/>
          <w:u w:val="single"/>
          <w:lang w:val="fr-FR"/>
        </w:rPr>
        <w:t> </w:t>
      </w:r>
      <w:r>
        <w:rPr>
          <w:i/>
          <w:u w:val="single"/>
          <w:lang w:val="fr-FR"/>
        </w:rPr>
        <w:t>67 (série </w:t>
      </w:r>
      <w:r w:rsidR="00247542" w:rsidRPr="00247542">
        <w:rPr>
          <w:i/>
          <w:u w:val="single"/>
          <w:lang w:val="fr-FR"/>
        </w:rPr>
        <w:t>01 d’amendements).</w:t>
      </w:r>
    </w:p>
    <w:p w:rsidR="00247542" w:rsidRPr="00247542" w:rsidRDefault="00936BE2" w:rsidP="00936BE2">
      <w:pPr>
        <w:pStyle w:val="SingleTxt"/>
        <w:ind w:left="2693" w:hanging="1426"/>
        <w:rPr>
          <w:i/>
          <w:u w:val="single"/>
          <w:lang w:val="fr-FR"/>
        </w:rPr>
      </w:pPr>
      <w:r>
        <w:rPr>
          <w:lang w:val="fr-FR"/>
        </w:rPr>
        <w:tab/>
      </w:r>
      <w:r>
        <w:rPr>
          <w:lang w:val="fr-FR"/>
        </w:rPr>
        <w:tab/>
      </w:r>
      <w:r w:rsidR="00ED1CDB" w:rsidRPr="00ED1CDB">
        <w:rPr>
          <w:lang w:val="fr-FR"/>
        </w:rPr>
        <w:tab/>
      </w:r>
      <w:r w:rsidR="00247542" w:rsidRPr="00247542">
        <w:rPr>
          <w:i/>
          <w:u w:val="single"/>
          <w:lang w:val="fr-FR"/>
        </w:rPr>
        <w:t>c)</w:t>
      </w:r>
      <w:r w:rsidR="00247542" w:rsidRPr="00247542">
        <w:rPr>
          <w:i/>
          <w:u w:val="single"/>
          <w:lang w:val="fr-FR"/>
        </w:rPr>
        <w:tab/>
        <w:t>L’ouverture ou les ouvertures de vidange des dispositifs ou des soupapes de décompression doit (doivent) être orientée(s) dans une direction autre que celle du chargement, des réservoirs de carburant et des parties chaudes du véhicule, et ne doivent pas se diriger vers des espaces fermés, d’autres véhicules, des dispositifs montés à l’extérieur et comportant une admission d’air (climatiseur, par exemple), ou vers le circuit d’admission d’air ou le circuit d’échappement du moteur.</w:t>
      </w:r>
      <w:r w:rsidR="0048307E">
        <w:rPr>
          <w:lang w:val="fr-FR"/>
        </w:rPr>
        <w:t> ».</w:t>
      </w:r>
    </w:p>
    <w:p w:rsidR="00891961" w:rsidRPr="00AD19C6" w:rsidRDefault="00891961" w:rsidP="00891961">
      <w:pPr>
        <w:pStyle w:val="Footer"/>
        <w:spacing w:after="80"/>
        <w:ind w:left="792"/>
        <w:rPr>
          <w:sz w:val="16"/>
          <w:lang w:val="fr-CH"/>
        </w:rPr>
      </w:pPr>
      <w:r w:rsidRPr="00AD19C6">
        <w:rPr>
          <w:sz w:val="16"/>
          <w:lang w:val="fr-CH"/>
        </w:rPr>
        <w:t>__________________</w:t>
      </w:r>
    </w:p>
    <w:p w:rsidR="00891961" w:rsidRDefault="00891961" w:rsidP="00891961">
      <w:pPr>
        <w:pStyle w:val="FootnoteText"/>
        <w:tabs>
          <w:tab w:val="right" w:pos="1195"/>
          <w:tab w:val="left" w:pos="1267"/>
          <w:tab w:val="left" w:pos="1742"/>
          <w:tab w:val="left" w:pos="2218"/>
          <w:tab w:val="left" w:pos="2693"/>
        </w:tabs>
        <w:ind w:left="1267" w:right="1260" w:hanging="432"/>
        <w:rPr>
          <w:i/>
          <w:lang w:val="fr-FR"/>
        </w:rPr>
      </w:pPr>
      <w:r w:rsidRPr="00891961">
        <w:rPr>
          <w:vertAlign w:val="superscript"/>
          <w:lang w:val="fr-FR"/>
        </w:rPr>
        <w:tab/>
      </w:r>
      <w:r w:rsidRPr="00891961">
        <w:rPr>
          <w:i/>
          <w:szCs w:val="17"/>
          <w:vertAlign w:val="superscript"/>
          <w:lang w:val="fr-FR"/>
        </w:rPr>
        <w:t>6</w:t>
      </w:r>
      <w:r w:rsidRPr="00891961">
        <w:rPr>
          <w:szCs w:val="17"/>
          <w:vertAlign w:val="superscript"/>
          <w:lang w:val="fr-FR"/>
        </w:rPr>
        <w:tab/>
      </w:r>
      <w:r w:rsidRPr="00891961">
        <w:rPr>
          <w:i/>
          <w:lang w:val="fr-FR"/>
        </w:rPr>
        <w:t>Règlement n</w:t>
      </w:r>
      <w:r w:rsidRPr="00891961">
        <w:rPr>
          <w:i/>
          <w:vertAlign w:val="superscript"/>
          <w:lang w:val="fr-FR"/>
        </w:rPr>
        <w:t>o</w:t>
      </w:r>
      <w:r w:rsidRPr="00891961">
        <w:rPr>
          <w:i/>
          <w:lang w:val="fr-FR"/>
        </w:rPr>
        <w:t xml:space="preserve"> 34 </w:t>
      </w:r>
      <w:r w:rsidRPr="00247542">
        <w:rPr>
          <w:i/>
          <w:lang w:val="fr-FR"/>
        </w:rPr>
        <w:t>de la CEE (Prescriptions uniformes relatives à l’homologation des véhicules en ce qui concerne la prévention des risques d’incendie).</w:t>
      </w:r>
    </w:p>
    <w:p w:rsidR="00247542" w:rsidRPr="00247542" w:rsidRDefault="00891961" w:rsidP="00891961">
      <w:pPr>
        <w:pStyle w:val="FootnoteText"/>
        <w:tabs>
          <w:tab w:val="right" w:pos="1195"/>
          <w:tab w:val="left" w:pos="1267"/>
          <w:tab w:val="left" w:pos="1742"/>
          <w:tab w:val="left" w:pos="2218"/>
          <w:tab w:val="left" w:pos="2693"/>
        </w:tabs>
        <w:ind w:left="1267" w:right="1260" w:hanging="432"/>
        <w:rPr>
          <w:i/>
          <w:iCs/>
          <w:lang w:val="fr-FR"/>
        </w:rPr>
      </w:pPr>
      <w:r>
        <w:rPr>
          <w:i/>
          <w:lang w:val="fr-FR"/>
        </w:rPr>
        <w:tab/>
      </w:r>
      <w:r w:rsidR="00247542" w:rsidRPr="00891961">
        <w:rPr>
          <w:i/>
          <w:vertAlign w:val="superscript"/>
          <w:lang w:val="fr-FR"/>
        </w:rPr>
        <w:t>7</w:t>
      </w:r>
      <w:r w:rsidR="00247542" w:rsidRPr="00247542">
        <w:rPr>
          <w:lang w:val="fr-FR"/>
        </w:rPr>
        <w:tab/>
      </w:r>
      <w:r w:rsidR="00247542" w:rsidRPr="00247542">
        <w:rPr>
          <w:i/>
          <w:lang w:val="fr-FR"/>
        </w:rPr>
        <w:t xml:space="preserve">Règlement de la CEE </w:t>
      </w:r>
      <w:r w:rsidR="0048307E" w:rsidRPr="0048307E">
        <w:rPr>
          <w:i/>
          <w:lang w:val="fr-FR"/>
        </w:rPr>
        <w:t>n</w:t>
      </w:r>
      <w:r w:rsidR="0048307E" w:rsidRPr="0048307E">
        <w:rPr>
          <w:i/>
          <w:vertAlign w:val="superscript"/>
          <w:lang w:val="fr-FR"/>
        </w:rPr>
        <w:t>o</w:t>
      </w:r>
      <w:r w:rsidR="0048307E" w:rsidRPr="0048307E">
        <w:rPr>
          <w:i/>
          <w:lang w:val="fr-FR"/>
        </w:rPr>
        <w:t> </w:t>
      </w:r>
      <w:r w:rsidR="00247542" w:rsidRPr="00247542">
        <w:rPr>
          <w:i/>
          <w:lang w:val="fr-FR"/>
        </w:rPr>
        <w:t>110 (Prescriptions uniformes relatives à l’homologation</w:t>
      </w:r>
      <w:r w:rsidR="0048307E">
        <w:rPr>
          <w:i/>
          <w:lang w:val="fr-FR"/>
        </w:rPr>
        <w:t> </w:t>
      </w:r>
      <w:r w:rsidR="00247542" w:rsidRPr="00247542">
        <w:rPr>
          <w:i/>
          <w:lang w:val="fr-FR"/>
        </w:rPr>
        <w:t>:</w:t>
      </w:r>
    </w:p>
    <w:p w:rsidR="00247542" w:rsidRDefault="00891961" w:rsidP="00891961">
      <w:pPr>
        <w:pStyle w:val="FootnoteText"/>
        <w:tabs>
          <w:tab w:val="right" w:pos="1195"/>
          <w:tab w:val="left" w:pos="1267"/>
          <w:tab w:val="left" w:pos="1742"/>
          <w:tab w:val="left" w:pos="2218"/>
          <w:tab w:val="left" w:pos="2693"/>
        </w:tabs>
        <w:ind w:left="1267" w:right="1260" w:hanging="432"/>
        <w:rPr>
          <w:i/>
          <w:iCs/>
          <w:lang w:val="fr-FR"/>
        </w:rPr>
      </w:pPr>
      <w:r>
        <w:rPr>
          <w:i/>
          <w:iCs/>
          <w:lang w:val="fr-FR"/>
        </w:rPr>
        <w:tab/>
      </w:r>
      <w:r>
        <w:rPr>
          <w:i/>
          <w:iCs/>
          <w:lang w:val="fr-FR"/>
        </w:rPr>
        <w:tab/>
      </w:r>
      <w:r w:rsidR="00247542" w:rsidRPr="00247542">
        <w:rPr>
          <w:i/>
          <w:iCs/>
          <w:lang w:val="fr-FR"/>
        </w:rPr>
        <w:t>I.</w:t>
      </w:r>
      <w:r w:rsidR="0048307E">
        <w:rPr>
          <w:i/>
          <w:iCs/>
          <w:lang w:val="fr-FR"/>
        </w:rPr>
        <w:tab/>
      </w:r>
      <w:r w:rsidR="00247542" w:rsidRPr="00247542">
        <w:rPr>
          <w:i/>
          <w:iCs/>
          <w:lang w:val="fr-FR"/>
        </w:rPr>
        <w:t xml:space="preserve">Des </w:t>
      </w:r>
      <w:r w:rsidR="00247542" w:rsidRPr="00891961">
        <w:rPr>
          <w:i/>
          <w:lang w:val="fr-FR"/>
        </w:rPr>
        <w:t>organes</w:t>
      </w:r>
      <w:r w:rsidR="00247542" w:rsidRPr="00247542">
        <w:rPr>
          <w:i/>
          <w:iCs/>
          <w:lang w:val="fr-FR"/>
        </w:rPr>
        <w:t xml:space="preserve"> spéciaux pour l’alimentation du moteur a</w:t>
      </w:r>
      <w:r w:rsidR="00753C17">
        <w:rPr>
          <w:i/>
          <w:iCs/>
          <w:lang w:val="fr-FR"/>
        </w:rPr>
        <w:t xml:space="preserve">u gaz naturel comprimé (GNC) </w:t>
      </w:r>
      <w:r w:rsidR="00247542" w:rsidRPr="00247542">
        <w:rPr>
          <w:i/>
          <w:iCs/>
          <w:lang w:val="fr-FR"/>
        </w:rPr>
        <w:t>ou au gaz naturel liquéfié (GNL) sur les véhicules;</w:t>
      </w:r>
    </w:p>
    <w:p w:rsidR="00247542" w:rsidRDefault="00891961" w:rsidP="00891961">
      <w:pPr>
        <w:pStyle w:val="FootnoteText"/>
        <w:tabs>
          <w:tab w:val="right" w:pos="1195"/>
          <w:tab w:val="left" w:pos="1267"/>
          <w:tab w:val="left" w:pos="1742"/>
          <w:tab w:val="left" w:pos="2218"/>
          <w:tab w:val="left" w:pos="2693"/>
        </w:tabs>
        <w:ind w:left="1267" w:right="1260" w:hanging="432"/>
        <w:rPr>
          <w:i/>
          <w:lang w:val="fr-FR"/>
        </w:rPr>
      </w:pPr>
      <w:r>
        <w:rPr>
          <w:i/>
          <w:iCs/>
          <w:lang w:val="fr-FR"/>
        </w:rPr>
        <w:tab/>
      </w:r>
      <w:r>
        <w:rPr>
          <w:i/>
          <w:iCs/>
          <w:lang w:val="fr-FR"/>
        </w:rPr>
        <w:tab/>
      </w:r>
      <w:r w:rsidR="00247542" w:rsidRPr="00247542">
        <w:rPr>
          <w:i/>
          <w:lang w:val="fr-FR"/>
        </w:rPr>
        <w:t>II.</w:t>
      </w:r>
      <w:r w:rsidR="0048307E">
        <w:rPr>
          <w:i/>
          <w:lang w:val="fr-FR"/>
        </w:rPr>
        <w:tab/>
      </w:r>
      <w:r w:rsidR="00247542" w:rsidRPr="00247542">
        <w:rPr>
          <w:i/>
          <w:lang w:val="fr-FR"/>
        </w:rPr>
        <w:t>Des véhicules munis d’organes spéciaux d’un type homologué pour l’alimentation du moteur a</w:t>
      </w:r>
      <w:r w:rsidR="00AD79C1">
        <w:rPr>
          <w:i/>
          <w:lang w:val="fr-FR"/>
        </w:rPr>
        <w:t xml:space="preserve">u gaz naturel comprimé (GNC) </w:t>
      </w:r>
      <w:r w:rsidR="00247542" w:rsidRPr="00247542">
        <w:rPr>
          <w:i/>
          <w:lang w:val="fr-FR"/>
        </w:rPr>
        <w:t>ou au gaz naturel liquéfié (GNL) en ce qui concerne l’installation de ces organes</w:t>
      </w:r>
      <w:r w:rsidR="0074513B">
        <w:rPr>
          <w:i/>
          <w:lang w:val="fr-FR"/>
        </w:rPr>
        <w:t>)</w:t>
      </w:r>
      <w:r w:rsidR="00247542" w:rsidRPr="00247542">
        <w:rPr>
          <w:i/>
          <w:lang w:val="fr-FR"/>
        </w:rPr>
        <w:t>.</w:t>
      </w:r>
    </w:p>
    <w:p w:rsidR="00247542" w:rsidRPr="00247542" w:rsidRDefault="00891961" w:rsidP="00891961">
      <w:pPr>
        <w:pStyle w:val="FootnoteText"/>
        <w:tabs>
          <w:tab w:val="right" w:pos="1195"/>
          <w:tab w:val="left" w:pos="1267"/>
          <w:tab w:val="left" w:pos="1742"/>
          <w:tab w:val="left" w:pos="2218"/>
          <w:tab w:val="left" w:pos="2693"/>
        </w:tabs>
        <w:ind w:left="1267" w:right="1260" w:hanging="432"/>
        <w:rPr>
          <w:i/>
          <w:iCs/>
          <w:u w:val="single"/>
          <w:lang w:val="fr-FR"/>
        </w:rPr>
      </w:pPr>
      <w:r>
        <w:rPr>
          <w:i/>
          <w:lang w:val="fr-FR"/>
        </w:rPr>
        <w:tab/>
      </w:r>
      <w:r w:rsidR="00247542" w:rsidRPr="00891961">
        <w:rPr>
          <w:i/>
          <w:vertAlign w:val="superscript"/>
          <w:lang w:val="fr-FR"/>
        </w:rPr>
        <w:t>8</w:t>
      </w:r>
      <w:r w:rsidR="00247542" w:rsidRPr="00247542">
        <w:rPr>
          <w:lang w:val="fr-FR"/>
        </w:rPr>
        <w:tab/>
      </w:r>
      <w:r w:rsidR="00247542" w:rsidRPr="00AD79C1">
        <w:rPr>
          <w:i/>
          <w:u w:val="single"/>
          <w:lang w:val="fr-FR"/>
        </w:rPr>
        <w:t xml:space="preserve">Règlement </w:t>
      </w:r>
      <w:r w:rsidR="0048307E" w:rsidRPr="0048307E">
        <w:rPr>
          <w:i/>
          <w:u w:val="single"/>
          <w:lang w:val="fr-FR"/>
        </w:rPr>
        <w:t>n</w:t>
      </w:r>
      <w:r w:rsidR="0048307E" w:rsidRPr="0048307E">
        <w:rPr>
          <w:i/>
          <w:u w:val="single"/>
          <w:vertAlign w:val="superscript"/>
          <w:lang w:val="fr-FR"/>
        </w:rPr>
        <w:t>o</w:t>
      </w:r>
      <w:r w:rsidR="0048307E" w:rsidRPr="0048307E">
        <w:rPr>
          <w:i/>
          <w:u w:val="single"/>
          <w:lang w:val="fr-FR"/>
        </w:rPr>
        <w:t> </w:t>
      </w:r>
      <w:r w:rsidR="00247542" w:rsidRPr="00247542">
        <w:rPr>
          <w:i/>
          <w:u w:val="single"/>
          <w:lang w:val="fr-FR"/>
        </w:rPr>
        <w:t>67 (série 01 d’amendements) de la CEE (Prescriptions uniformes relatives à l’homologation</w:t>
      </w:r>
      <w:r w:rsidR="0048307E">
        <w:rPr>
          <w:i/>
          <w:u w:val="single"/>
          <w:lang w:val="fr-FR"/>
        </w:rPr>
        <w:t> </w:t>
      </w:r>
      <w:r w:rsidR="00247542" w:rsidRPr="00247542">
        <w:rPr>
          <w:i/>
          <w:u w:val="single"/>
          <w:lang w:val="fr-FR"/>
        </w:rPr>
        <w:t>:</w:t>
      </w:r>
    </w:p>
    <w:p w:rsidR="00247542" w:rsidRPr="00247542" w:rsidRDefault="00891961" w:rsidP="00891961">
      <w:pPr>
        <w:pStyle w:val="FootnoteText"/>
        <w:tabs>
          <w:tab w:val="right" w:pos="1195"/>
          <w:tab w:val="left" w:pos="1267"/>
          <w:tab w:val="left" w:pos="1742"/>
          <w:tab w:val="left" w:pos="2218"/>
          <w:tab w:val="left" w:pos="2693"/>
        </w:tabs>
        <w:ind w:left="1267" w:right="1260" w:hanging="432"/>
        <w:rPr>
          <w:i/>
          <w:iCs/>
          <w:u w:val="single"/>
          <w:lang w:val="fr-FR"/>
        </w:rPr>
      </w:pPr>
      <w:r w:rsidRPr="00891961">
        <w:rPr>
          <w:i/>
          <w:iCs/>
          <w:lang w:val="fr-FR"/>
        </w:rPr>
        <w:tab/>
      </w:r>
      <w:r w:rsidRPr="00891961">
        <w:rPr>
          <w:i/>
          <w:iCs/>
          <w:lang w:val="fr-FR"/>
        </w:rPr>
        <w:tab/>
      </w:r>
      <w:r w:rsidR="00247542" w:rsidRPr="00247542">
        <w:rPr>
          <w:i/>
          <w:iCs/>
          <w:u w:val="single"/>
          <w:lang w:val="fr-FR"/>
        </w:rPr>
        <w:t>I.</w:t>
      </w:r>
      <w:r w:rsidR="0048307E">
        <w:rPr>
          <w:i/>
          <w:iCs/>
          <w:u w:val="single"/>
          <w:lang w:val="fr-FR"/>
        </w:rPr>
        <w:tab/>
      </w:r>
      <w:r w:rsidR="00247542" w:rsidRPr="00247542">
        <w:rPr>
          <w:i/>
          <w:iCs/>
          <w:u w:val="single"/>
          <w:lang w:val="fr-FR"/>
        </w:rPr>
        <w:t>Des équipements spéciaux pour l’alimentation du moteur aux gaz de pétrole liquéfiés sur les véhicules des catégories M et N;</w:t>
      </w:r>
    </w:p>
    <w:p w:rsidR="00247542" w:rsidRDefault="00891961" w:rsidP="00891961">
      <w:pPr>
        <w:pStyle w:val="FootnoteText"/>
        <w:tabs>
          <w:tab w:val="right" w:pos="1195"/>
          <w:tab w:val="left" w:pos="1267"/>
          <w:tab w:val="left" w:pos="1742"/>
          <w:tab w:val="left" w:pos="2218"/>
          <w:tab w:val="left" w:pos="2693"/>
        </w:tabs>
        <w:ind w:left="1267" w:right="1260" w:hanging="432"/>
        <w:rPr>
          <w:i/>
          <w:u w:val="single"/>
          <w:lang w:val="fr-FR"/>
        </w:rPr>
      </w:pPr>
      <w:r w:rsidRPr="00891961">
        <w:rPr>
          <w:i/>
          <w:lang w:val="fr-FR"/>
        </w:rPr>
        <w:tab/>
      </w:r>
      <w:r w:rsidRPr="00891961">
        <w:rPr>
          <w:i/>
          <w:lang w:val="fr-FR"/>
        </w:rPr>
        <w:tab/>
      </w:r>
      <w:r w:rsidR="00247542" w:rsidRPr="00247542">
        <w:rPr>
          <w:i/>
          <w:u w:val="single"/>
          <w:lang w:val="fr-FR"/>
        </w:rPr>
        <w:t>II.</w:t>
      </w:r>
      <w:r w:rsidR="0048307E">
        <w:rPr>
          <w:i/>
          <w:u w:val="single"/>
          <w:lang w:val="fr-FR"/>
        </w:rPr>
        <w:tab/>
      </w:r>
      <w:r w:rsidR="00247542" w:rsidRPr="00247542">
        <w:rPr>
          <w:i/>
          <w:u w:val="single"/>
          <w:lang w:val="fr-FR"/>
        </w:rPr>
        <w:t xml:space="preserve">Des véhicules des catégories M et N munis d’un équipement spécial </w:t>
      </w:r>
      <w:r w:rsidR="00247542" w:rsidRPr="000C3947">
        <w:rPr>
          <w:i/>
          <w:u w:val="single"/>
          <w:lang w:val="fr-FR"/>
        </w:rPr>
        <w:t>pour l’alimentation</w:t>
      </w:r>
      <w:r w:rsidR="00247542" w:rsidRPr="00247542">
        <w:rPr>
          <w:i/>
          <w:u w:val="single"/>
          <w:lang w:val="fr-FR"/>
        </w:rPr>
        <w:t xml:space="preserve"> du moteur aux gaz de pétrole liquéfiés, en ce qui concerne l’installation de cet équipement.</w:t>
      </w:r>
    </w:p>
    <w:p w:rsidR="00891961" w:rsidRPr="00891961" w:rsidRDefault="00891961" w:rsidP="00891961">
      <w:pPr>
        <w:pStyle w:val="SingleTxt"/>
        <w:spacing w:after="0" w:line="120" w:lineRule="exact"/>
        <w:rPr>
          <w:i/>
          <w:sz w:val="10"/>
          <w:u w:val="single"/>
          <w:lang w:val="fr-FR"/>
        </w:rPr>
      </w:pPr>
    </w:p>
    <w:p w:rsidR="00891961" w:rsidRPr="00891961" w:rsidRDefault="00891961" w:rsidP="00891961">
      <w:pPr>
        <w:pStyle w:val="SingleTxt"/>
        <w:spacing w:after="0" w:line="120" w:lineRule="exact"/>
        <w:rPr>
          <w:i/>
          <w:iCs/>
          <w:sz w:val="10"/>
          <w:u w:val="single"/>
          <w:lang w:val="fr-FR"/>
        </w:rPr>
      </w:pP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Modifier le 9.2.4.4 comme suit</w:t>
      </w:r>
      <w:r w:rsidR="0048307E">
        <w:rPr>
          <w:lang w:val="fr-FR"/>
        </w:rPr>
        <w:t> </w:t>
      </w:r>
      <w:r w:rsidRPr="00247542">
        <w:rPr>
          <w:lang w:val="fr-FR"/>
        </w:rPr>
        <w:t>:</w:t>
      </w:r>
    </w:p>
    <w:p w:rsidR="00247542" w:rsidRPr="00247542" w:rsidRDefault="0048307E" w:rsidP="00247542">
      <w:pPr>
        <w:pStyle w:val="SingleTxt"/>
        <w:rPr>
          <w:lang w:val="fr-FR"/>
        </w:rPr>
      </w:pPr>
      <w:r>
        <w:rPr>
          <w:lang w:val="fr-FR"/>
        </w:rPr>
        <w:t>« </w:t>
      </w:r>
      <w:r w:rsidR="00247542" w:rsidRPr="00247542">
        <w:rPr>
          <w:lang w:val="fr-FR"/>
        </w:rPr>
        <w:t>9.2.4.4</w:t>
      </w:r>
      <w:r w:rsidR="00247542" w:rsidRPr="00247542">
        <w:rPr>
          <w:lang w:val="fr-FR"/>
        </w:rPr>
        <w:tab/>
      </w:r>
      <w:r w:rsidR="00B214A9">
        <w:rPr>
          <w:lang w:val="fr-FR"/>
        </w:rPr>
        <w:tab/>
      </w:r>
      <w:r w:rsidR="00247542" w:rsidRPr="00247542">
        <w:rPr>
          <w:lang w:val="fr-FR"/>
        </w:rPr>
        <w:t>Moteur</w:t>
      </w:r>
    </w:p>
    <w:p w:rsidR="00247542" w:rsidRDefault="00AB3782" w:rsidP="00CA03C8">
      <w:pPr>
        <w:pStyle w:val="SingleTxt"/>
        <w:ind w:left="2693" w:hanging="1426"/>
        <w:rPr>
          <w:lang w:val="fr-FR"/>
        </w:rPr>
      </w:pPr>
      <w:r>
        <w:rPr>
          <w:lang w:val="fr-FR"/>
        </w:rPr>
        <w:tab/>
      </w:r>
      <w:r>
        <w:rPr>
          <w:lang w:val="fr-FR"/>
        </w:rPr>
        <w:tab/>
      </w:r>
      <w:r w:rsidR="00B214A9">
        <w:rPr>
          <w:lang w:val="fr-FR"/>
        </w:rPr>
        <w:tab/>
      </w:r>
      <w:r w:rsidR="00247542" w:rsidRPr="00247542">
        <w:rPr>
          <w:lang w:val="fr-FR"/>
        </w:rPr>
        <w:t xml:space="preserve">Les moteurs entraînant les véhicules doivent être équipés et placés de façon à éviter tout danger pour le chargement à la suite d’échauffement ou d’inflammation. L’utilisation de </w:t>
      </w:r>
      <w:r w:rsidR="00247542" w:rsidRPr="00523EFB">
        <w:rPr>
          <w:i/>
          <w:u w:val="single"/>
          <w:lang w:val="fr-FR"/>
        </w:rPr>
        <w:t>GNC ou</w:t>
      </w:r>
      <w:r w:rsidR="00247542" w:rsidRPr="00247542">
        <w:rPr>
          <w:lang w:val="fr-FR"/>
        </w:rPr>
        <w:t xml:space="preserve"> </w:t>
      </w:r>
      <w:r w:rsidR="00247542" w:rsidRPr="00523EFB">
        <w:rPr>
          <w:strike/>
          <w:lang w:val="fr-FR"/>
        </w:rPr>
        <w:t>de gaz naturel liquéfié (</w:t>
      </w:r>
      <w:r w:rsidR="00247542" w:rsidRPr="00247542">
        <w:rPr>
          <w:lang w:val="fr-FR"/>
        </w:rPr>
        <w:t>GNL</w:t>
      </w:r>
      <w:r w:rsidR="00247542" w:rsidRPr="00523EFB">
        <w:rPr>
          <w:strike/>
          <w:lang w:val="fr-FR"/>
        </w:rPr>
        <w:t>)</w:t>
      </w:r>
      <w:r w:rsidR="00247542" w:rsidRPr="00247542">
        <w:rPr>
          <w:lang w:val="fr-FR"/>
        </w:rPr>
        <w:t xml:space="preserve"> comme carburant ne doit être admise que si les organes spéciaux pour le </w:t>
      </w:r>
      <w:r w:rsidR="00247542" w:rsidRPr="00523EFB">
        <w:rPr>
          <w:i/>
          <w:u w:val="single"/>
          <w:lang w:val="fr-FR"/>
        </w:rPr>
        <w:t>GNC et le</w:t>
      </w:r>
      <w:r w:rsidR="00247542" w:rsidRPr="00247542">
        <w:rPr>
          <w:lang w:val="fr-FR"/>
        </w:rPr>
        <w:t xml:space="preserve"> GNL sont homologués conformément </w:t>
      </w:r>
      <w:r w:rsidR="00247542" w:rsidRPr="00523EFB">
        <w:rPr>
          <w:i/>
          <w:u w:val="single"/>
          <w:lang w:val="fr-FR"/>
        </w:rPr>
        <w:t>au</w:t>
      </w:r>
      <w:r w:rsidR="00247542" w:rsidRPr="00247542">
        <w:rPr>
          <w:lang w:val="fr-FR"/>
        </w:rPr>
        <w:t xml:space="preserve"> Règlement de la CEE </w:t>
      </w:r>
      <w:r w:rsidR="0048307E">
        <w:rPr>
          <w:lang w:val="fr-FR"/>
        </w:rPr>
        <w:t>n</w:t>
      </w:r>
      <w:r w:rsidR="0048307E" w:rsidRPr="00ED1CDB">
        <w:rPr>
          <w:vertAlign w:val="superscript"/>
          <w:lang w:val="fr-FR"/>
        </w:rPr>
        <w:t>o</w:t>
      </w:r>
      <w:r w:rsidR="0048307E">
        <w:rPr>
          <w:lang w:val="fr-FR"/>
        </w:rPr>
        <w:t> </w:t>
      </w:r>
      <w:r w:rsidR="00247542" w:rsidRPr="00247542">
        <w:rPr>
          <w:lang w:val="fr-FR"/>
        </w:rPr>
        <w:t>110</w:t>
      </w:r>
      <w:r w:rsidR="00247542" w:rsidRPr="00247542">
        <w:rPr>
          <w:vertAlign w:val="superscript"/>
          <w:lang w:val="fr-FR"/>
        </w:rPr>
        <w:t>7</w:t>
      </w:r>
      <w:r w:rsidR="00247542" w:rsidRPr="00247542">
        <w:rPr>
          <w:lang w:val="fr-FR"/>
        </w:rPr>
        <w:t xml:space="preserve"> et </w:t>
      </w:r>
      <w:r w:rsidR="00247542" w:rsidRPr="00523EFB">
        <w:rPr>
          <w:i/>
          <w:u w:val="single"/>
          <w:lang w:val="fr-FR"/>
        </w:rPr>
        <w:t>satisfont aux prescriptions du 9.2.2. L’</w:t>
      </w:r>
      <w:r w:rsidR="00247542" w:rsidRPr="00523EFB">
        <w:rPr>
          <w:strike/>
          <w:lang w:val="fr-FR"/>
        </w:rPr>
        <w:t xml:space="preserve">si leur </w:t>
      </w:r>
      <w:r w:rsidR="00247542" w:rsidRPr="00247542">
        <w:rPr>
          <w:lang w:val="fr-FR"/>
        </w:rPr>
        <w:t xml:space="preserve">installation sur le véhicule </w:t>
      </w:r>
      <w:r w:rsidR="00247542" w:rsidRPr="00523EFB">
        <w:rPr>
          <w:strike/>
          <w:lang w:val="fr-FR"/>
        </w:rPr>
        <w:t>est conforme</w:t>
      </w:r>
      <w:r w:rsidR="00247542" w:rsidRPr="00247542">
        <w:rPr>
          <w:lang w:val="fr-FR"/>
        </w:rPr>
        <w:t xml:space="preserve"> </w:t>
      </w:r>
      <w:r w:rsidR="00247542" w:rsidRPr="00523EFB">
        <w:rPr>
          <w:i/>
          <w:u w:val="single"/>
          <w:lang w:val="fr-FR"/>
        </w:rPr>
        <w:t>devra être conforme</w:t>
      </w:r>
      <w:r w:rsidR="00247542" w:rsidRPr="00247542">
        <w:rPr>
          <w:lang w:val="fr-FR"/>
        </w:rPr>
        <w:t xml:space="preserve"> aux prescriptions techniques de ce même Règlement</w:t>
      </w:r>
      <w:r w:rsidR="00247542" w:rsidRPr="00247542">
        <w:rPr>
          <w:vertAlign w:val="superscript"/>
          <w:lang w:val="fr-FR"/>
        </w:rPr>
        <w:t>7</w:t>
      </w:r>
      <w:r w:rsidR="00247542" w:rsidRPr="00523EFB">
        <w:rPr>
          <w:i/>
          <w:u w:val="single"/>
          <w:lang w:val="fr-FR"/>
        </w:rPr>
        <w:t xml:space="preserve"> et du 9.2.2</w:t>
      </w:r>
      <w:r w:rsidR="00247542" w:rsidRPr="00247542">
        <w:rPr>
          <w:lang w:val="fr-FR"/>
        </w:rPr>
        <w:t xml:space="preserve">. </w:t>
      </w:r>
      <w:r w:rsidR="00247542" w:rsidRPr="006B0518">
        <w:rPr>
          <w:i/>
          <w:u w:val="single"/>
          <w:lang w:val="fr-FR"/>
        </w:rPr>
        <w:t xml:space="preserve">L’utilisation de GPL comme carburant ne doit être admise que si les organes spéciaux pour le GPL sont homologués conformément au Règlement de la CEE </w:t>
      </w:r>
      <w:r w:rsidR="0048307E" w:rsidRPr="006B0518">
        <w:rPr>
          <w:i/>
          <w:u w:val="single"/>
          <w:lang w:val="fr-FR"/>
        </w:rPr>
        <w:t>n</w:t>
      </w:r>
      <w:r w:rsidR="0048307E" w:rsidRPr="006B0518">
        <w:rPr>
          <w:i/>
          <w:u w:val="single"/>
          <w:vertAlign w:val="superscript"/>
          <w:lang w:val="fr-FR"/>
        </w:rPr>
        <w:t>o</w:t>
      </w:r>
      <w:r w:rsidR="0048307E" w:rsidRPr="006B0518">
        <w:rPr>
          <w:i/>
          <w:u w:val="single"/>
          <w:lang w:val="fr-FR"/>
        </w:rPr>
        <w:t> </w:t>
      </w:r>
      <w:r w:rsidR="00247542" w:rsidRPr="006B0518">
        <w:rPr>
          <w:i/>
          <w:u w:val="single"/>
          <w:lang w:val="fr-FR"/>
        </w:rPr>
        <w:t>67 (série 01 d’amendements)</w:t>
      </w:r>
      <w:r w:rsidR="00247542" w:rsidRPr="006B0518">
        <w:rPr>
          <w:i/>
          <w:u w:val="single"/>
          <w:vertAlign w:val="superscript"/>
          <w:lang w:val="fr-FR"/>
        </w:rPr>
        <w:t xml:space="preserve">8 </w:t>
      </w:r>
      <w:r w:rsidR="00247542" w:rsidRPr="006B0518">
        <w:rPr>
          <w:i/>
          <w:u w:val="single"/>
          <w:lang w:val="fr-FR"/>
        </w:rPr>
        <w:t>et satisfont aux prescriptions du 9.2.2.</w:t>
      </w:r>
      <w:r w:rsidR="00247542" w:rsidRPr="00AB3782">
        <w:rPr>
          <w:lang w:val="fr-FR"/>
        </w:rPr>
        <w:t xml:space="preserve"> </w:t>
      </w:r>
      <w:r w:rsidR="00247542" w:rsidRPr="006B0518">
        <w:rPr>
          <w:i/>
          <w:u w:val="single"/>
          <w:lang w:val="fr-FR"/>
        </w:rPr>
        <w:t xml:space="preserve">L’installation sur le véhicule devra être conforme aux prescriptions techniques du 9.2.2 et du Règlement de la CEE </w:t>
      </w:r>
      <w:r w:rsidR="0048307E" w:rsidRPr="006B0518">
        <w:rPr>
          <w:i/>
          <w:u w:val="single"/>
          <w:lang w:val="fr-FR"/>
        </w:rPr>
        <w:t>n</w:t>
      </w:r>
      <w:r w:rsidR="0048307E" w:rsidRPr="006B0518">
        <w:rPr>
          <w:i/>
          <w:u w:val="single"/>
          <w:vertAlign w:val="superscript"/>
          <w:lang w:val="fr-FR"/>
        </w:rPr>
        <w:t>o</w:t>
      </w:r>
      <w:r w:rsidR="0048307E" w:rsidRPr="006B0518">
        <w:rPr>
          <w:i/>
          <w:u w:val="single"/>
          <w:lang w:val="fr-FR"/>
        </w:rPr>
        <w:t> </w:t>
      </w:r>
      <w:r w:rsidR="00247542" w:rsidRPr="006B0518">
        <w:rPr>
          <w:i/>
          <w:u w:val="single"/>
          <w:lang w:val="fr-FR"/>
        </w:rPr>
        <w:t>67 (série</w:t>
      </w:r>
      <w:r w:rsidR="0048307E" w:rsidRPr="006B0518">
        <w:rPr>
          <w:i/>
          <w:u w:val="single"/>
          <w:lang w:val="fr-FR"/>
        </w:rPr>
        <w:t> </w:t>
      </w:r>
      <w:r w:rsidR="00247542" w:rsidRPr="006B0518">
        <w:rPr>
          <w:i/>
          <w:u w:val="single"/>
          <w:lang w:val="fr-FR"/>
        </w:rPr>
        <w:t>01 d’amendements)</w:t>
      </w:r>
      <w:r w:rsidR="00247542" w:rsidRPr="006B0518">
        <w:rPr>
          <w:i/>
          <w:u w:val="single"/>
          <w:vertAlign w:val="superscript"/>
          <w:lang w:val="fr-FR"/>
        </w:rPr>
        <w:t>8</w:t>
      </w:r>
      <w:r w:rsidR="00247542" w:rsidRPr="00247542">
        <w:rPr>
          <w:lang w:val="fr-FR"/>
        </w:rPr>
        <w:t xml:space="preserve">. Dans le cas de véhicules EX/II et EX/III, le moteur doit être à allumage par compression et fonctionner uniquement avec des carburants </w:t>
      </w:r>
      <w:r w:rsidR="00247542" w:rsidRPr="006B0518">
        <w:rPr>
          <w:i/>
          <w:u w:val="single"/>
          <w:lang w:val="fr-FR"/>
        </w:rPr>
        <w:t>liquides</w:t>
      </w:r>
      <w:r w:rsidR="00247542" w:rsidRPr="00247542">
        <w:rPr>
          <w:lang w:val="fr-FR"/>
        </w:rPr>
        <w:t xml:space="preserve"> dont le point d’éclair est supérieur à 55 °C. </w:t>
      </w:r>
      <w:r w:rsidR="00247542" w:rsidRPr="006B0518">
        <w:rPr>
          <w:i/>
          <w:u w:val="single"/>
          <w:lang w:val="fr-FR"/>
        </w:rPr>
        <w:t>Les gaz ne doivent pas être utilisés.</w:t>
      </w:r>
      <w:r w:rsidR="0048307E">
        <w:rPr>
          <w:lang w:val="fr-FR"/>
        </w:rPr>
        <w:t> ».</w:t>
      </w:r>
    </w:p>
    <w:p w:rsidR="00E73D0E" w:rsidRPr="00AD19C6" w:rsidRDefault="00E73D0E" w:rsidP="00CA03C8">
      <w:pPr>
        <w:pStyle w:val="Footer"/>
        <w:spacing w:after="80"/>
        <w:ind w:left="792"/>
        <w:rPr>
          <w:sz w:val="16"/>
          <w:lang w:val="fr-CH"/>
        </w:rPr>
      </w:pPr>
      <w:r w:rsidRPr="00AD19C6">
        <w:rPr>
          <w:sz w:val="16"/>
          <w:lang w:val="fr-CH"/>
        </w:rPr>
        <w:lastRenderedPageBreak/>
        <w:t>__________________</w:t>
      </w:r>
    </w:p>
    <w:p w:rsidR="00247542" w:rsidRPr="00247542" w:rsidRDefault="00E73D0E" w:rsidP="00CA03C8">
      <w:pPr>
        <w:pStyle w:val="FootnoteText"/>
        <w:tabs>
          <w:tab w:val="right" w:pos="1195"/>
          <w:tab w:val="left" w:pos="1267"/>
          <w:tab w:val="left" w:pos="1742"/>
          <w:tab w:val="left" w:pos="2218"/>
          <w:tab w:val="left" w:pos="2693"/>
        </w:tabs>
        <w:ind w:left="1267" w:right="1260" w:hanging="432"/>
        <w:rPr>
          <w:i/>
          <w:iCs/>
          <w:lang w:val="fr-FR"/>
        </w:rPr>
      </w:pPr>
      <w:r w:rsidRPr="00891961">
        <w:rPr>
          <w:vertAlign w:val="superscript"/>
          <w:lang w:val="fr-FR"/>
        </w:rPr>
        <w:tab/>
      </w:r>
      <w:r w:rsidR="00247542" w:rsidRPr="00D21729">
        <w:rPr>
          <w:i/>
          <w:vertAlign w:val="superscript"/>
          <w:lang w:val="fr-FR"/>
        </w:rPr>
        <w:t>7</w:t>
      </w:r>
      <w:r w:rsidR="00247542" w:rsidRPr="00247542">
        <w:rPr>
          <w:vertAlign w:val="superscript"/>
          <w:lang w:val="fr-FR"/>
        </w:rPr>
        <w:tab/>
      </w:r>
      <w:r w:rsidR="00247542" w:rsidRPr="00247542">
        <w:rPr>
          <w:i/>
          <w:lang w:val="fr-FR"/>
        </w:rPr>
        <w:t xml:space="preserve">Règlement de la CEE </w:t>
      </w:r>
      <w:r w:rsidR="0048307E" w:rsidRPr="0048307E">
        <w:rPr>
          <w:i/>
          <w:lang w:val="fr-FR"/>
        </w:rPr>
        <w:t>n</w:t>
      </w:r>
      <w:r w:rsidR="0048307E" w:rsidRPr="0048307E">
        <w:rPr>
          <w:i/>
          <w:vertAlign w:val="superscript"/>
          <w:lang w:val="fr-FR"/>
        </w:rPr>
        <w:t>o</w:t>
      </w:r>
      <w:r w:rsidR="0048307E" w:rsidRPr="0048307E">
        <w:rPr>
          <w:i/>
          <w:lang w:val="fr-FR"/>
        </w:rPr>
        <w:t> </w:t>
      </w:r>
      <w:r w:rsidR="00247542" w:rsidRPr="00247542">
        <w:rPr>
          <w:i/>
          <w:lang w:val="fr-FR"/>
        </w:rPr>
        <w:t>110 (Prescriptions uniformes relatives à l’homologation</w:t>
      </w:r>
      <w:r w:rsidR="0048307E">
        <w:rPr>
          <w:i/>
          <w:lang w:val="fr-FR"/>
        </w:rPr>
        <w:t> </w:t>
      </w:r>
      <w:r w:rsidR="00247542" w:rsidRPr="00247542">
        <w:rPr>
          <w:i/>
          <w:lang w:val="fr-FR"/>
        </w:rPr>
        <w:t>:</w:t>
      </w:r>
    </w:p>
    <w:p w:rsidR="00247542" w:rsidRPr="00247542" w:rsidRDefault="00E73D0E" w:rsidP="00CA03C8">
      <w:pPr>
        <w:pStyle w:val="FootnoteText"/>
        <w:tabs>
          <w:tab w:val="right" w:pos="1195"/>
          <w:tab w:val="left" w:pos="1267"/>
          <w:tab w:val="left" w:pos="1742"/>
          <w:tab w:val="left" w:pos="2218"/>
          <w:tab w:val="left" w:pos="2693"/>
        </w:tabs>
        <w:ind w:left="1267" w:right="1260" w:hanging="432"/>
        <w:rPr>
          <w:i/>
          <w:iCs/>
          <w:lang w:val="fr-FR"/>
        </w:rPr>
      </w:pPr>
      <w:r>
        <w:rPr>
          <w:i/>
          <w:iCs/>
          <w:lang w:val="fr-FR"/>
        </w:rPr>
        <w:tab/>
      </w:r>
      <w:r>
        <w:rPr>
          <w:i/>
          <w:iCs/>
          <w:lang w:val="fr-FR"/>
        </w:rPr>
        <w:tab/>
      </w:r>
      <w:r w:rsidR="00247542" w:rsidRPr="00247542">
        <w:rPr>
          <w:i/>
          <w:iCs/>
          <w:lang w:val="fr-FR"/>
        </w:rPr>
        <w:t>I.</w:t>
      </w:r>
      <w:r w:rsidR="0048307E">
        <w:rPr>
          <w:i/>
          <w:iCs/>
          <w:lang w:val="fr-FR"/>
        </w:rPr>
        <w:tab/>
      </w:r>
      <w:r w:rsidR="00247542" w:rsidRPr="00247542">
        <w:rPr>
          <w:i/>
          <w:iCs/>
          <w:lang w:val="fr-FR"/>
        </w:rPr>
        <w:t xml:space="preserve">Des </w:t>
      </w:r>
      <w:r w:rsidR="00247542" w:rsidRPr="00E73D0E">
        <w:rPr>
          <w:i/>
          <w:lang w:val="fr-FR"/>
        </w:rPr>
        <w:t>organes</w:t>
      </w:r>
      <w:r w:rsidR="00247542" w:rsidRPr="00247542">
        <w:rPr>
          <w:i/>
          <w:iCs/>
          <w:lang w:val="fr-FR"/>
        </w:rPr>
        <w:t xml:space="preserve"> spéciaux pour l’alimentation du moteur au gaz naturel comprimé (GNC) ou au gaz naturel liquéfié (GNL) sur les véhicules;</w:t>
      </w:r>
    </w:p>
    <w:p w:rsidR="00247542" w:rsidRPr="00247542" w:rsidRDefault="00E73D0E" w:rsidP="00CA03C8">
      <w:pPr>
        <w:pStyle w:val="FootnoteText"/>
        <w:tabs>
          <w:tab w:val="right" w:pos="1195"/>
          <w:tab w:val="left" w:pos="1267"/>
          <w:tab w:val="left" w:pos="1742"/>
          <w:tab w:val="left" w:pos="2218"/>
          <w:tab w:val="left" w:pos="2693"/>
        </w:tabs>
        <w:ind w:left="1267" w:right="1260" w:hanging="432"/>
        <w:rPr>
          <w:i/>
          <w:iCs/>
          <w:lang w:val="fr-FR"/>
        </w:rPr>
      </w:pPr>
      <w:r>
        <w:rPr>
          <w:i/>
          <w:lang w:val="fr-FR"/>
        </w:rPr>
        <w:tab/>
      </w:r>
      <w:r>
        <w:rPr>
          <w:i/>
          <w:lang w:val="fr-FR"/>
        </w:rPr>
        <w:tab/>
      </w:r>
      <w:r w:rsidR="00247542" w:rsidRPr="00247542">
        <w:rPr>
          <w:i/>
          <w:lang w:val="fr-FR"/>
        </w:rPr>
        <w:t>II.</w:t>
      </w:r>
      <w:r w:rsidR="0048307E">
        <w:rPr>
          <w:i/>
          <w:lang w:val="fr-FR"/>
        </w:rPr>
        <w:tab/>
      </w:r>
      <w:r w:rsidR="00247542" w:rsidRPr="00247542">
        <w:rPr>
          <w:i/>
          <w:lang w:val="fr-FR"/>
        </w:rPr>
        <w:t>Des véhicules munis d’organes spéciaux d’un type homologué pour l’alimentation du moteur a</w:t>
      </w:r>
      <w:r>
        <w:rPr>
          <w:i/>
          <w:lang w:val="fr-FR"/>
        </w:rPr>
        <w:t xml:space="preserve">u gaz naturel comprimé (GNC) </w:t>
      </w:r>
      <w:r w:rsidR="00247542" w:rsidRPr="00247542">
        <w:rPr>
          <w:i/>
          <w:lang w:val="fr-FR"/>
        </w:rPr>
        <w:t>ou au gaz naturel liquéfié (GNL) en ce qui concerne l’installation de ces organes).</w:t>
      </w:r>
    </w:p>
    <w:p w:rsidR="00247542" w:rsidRPr="00247542" w:rsidRDefault="005000B6" w:rsidP="00E73D0E">
      <w:pPr>
        <w:pStyle w:val="FootnoteText"/>
        <w:tabs>
          <w:tab w:val="right" w:pos="1195"/>
          <w:tab w:val="left" w:pos="1267"/>
          <w:tab w:val="left" w:pos="1742"/>
          <w:tab w:val="left" w:pos="2218"/>
          <w:tab w:val="left" w:pos="2693"/>
        </w:tabs>
        <w:ind w:left="1267" w:right="1260" w:hanging="432"/>
        <w:rPr>
          <w:i/>
          <w:iCs/>
          <w:u w:val="single"/>
          <w:lang w:val="fr-FR"/>
        </w:rPr>
      </w:pPr>
      <w:r>
        <w:rPr>
          <w:vertAlign w:val="superscript"/>
          <w:lang w:val="fr-FR"/>
        </w:rPr>
        <w:tab/>
      </w:r>
      <w:r w:rsidR="00247542" w:rsidRPr="00D21729">
        <w:rPr>
          <w:i/>
          <w:vertAlign w:val="superscript"/>
          <w:lang w:val="fr-FR"/>
        </w:rPr>
        <w:t>8</w:t>
      </w:r>
      <w:r w:rsidR="00247542" w:rsidRPr="00247542">
        <w:rPr>
          <w:vertAlign w:val="superscript"/>
          <w:lang w:val="fr-FR"/>
        </w:rPr>
        <w:tab/>
      </w:r>
      <w:r w:rsidR="00247542" w:rsidRPr="00945C8B">
        <w:rPr>
          <w:i/>
          <w:u w:val="single"/>
          <w:lang w:val="fr-FR"/>
        </w:rPr>
        <w:t>Règlement</w:t>
      </w:r>
      <w:r w:rsidR="00247542" w:rsidRPr="00247542">
        <w:rPr>
          <w:i/>
          <w:u w:val="single"/>
          <w:lang w:val="fr-FR"/>
        </w:rPr>
        <w:t xml:space="preserve"> </w:t>
      </w:r>
      <w:r w:rsidR="0048307E" w:rsidRPr="0048307E">
        <w:rPr>
          <w:i/>
          <w:u w:val="single"/>
          <w:lang w:val="fr-FR"/>
        </w:rPr>
        <w:t>n</w:t>
      </w:r>
      <w:r w:rsidR="0048307E" w:rsidRPr="0048307E">
        <w:rPr>
          <w:i/>
          <w:u w:val="single"/>
          <w:vertAlign w:val="superscript"/>
          <w:lang w:val="fr-FR"/>
        </w:rPr>
        <w:t>o</w:t>
      </w:r>
      <w:r w:rsidR="0048307E" w:rsidRPr="0048307E">
        <w:rPr>
          <w:i/>
          <w:u w:val="single"/>
          <w:lang w:val="fr-FR"/>
        </w:rPr>
        <w:t> </w:t>
      </w:r>
      <w:r w:rsidR="00247542" w:rsidRPr="00247542">
        <w:rPr>
          <w:i/>
          <w:u w:val="single"/>
          <w:lang w:val="fr-FR"/>
        </w:rPr>
        <w:t>67 (série 01 d’amendements) de la CEE (Prescriptions uniformes relatives à l’homologation</w:t>
      </w:r>
      <w:r w:rsidR="0048307E">
        <w:rPr>
          <w:i/>
          <w:u w:val="single"/>
          <w:lang w:val="fr-FR"/>
        </w:rPr>
        <w:t> </w:t>
      </w:r>
      <w:r w:rsidR="00247542" w:rsidRPr="00247542">
        <w:rPr>
          <w:i/>
          <w:u w:val="single"/>
          <w:lang w:val="fr-FR"/>
        </w:rPr>
        <w:t>:</w:t>
      </w:r>
    </w:p>
    <w:p w:rsidR="00247542" w:rsidRPr="00247542" w:rsidRDefault="005000B6" w:rsidP="005000B6">
      <w:pPr>
        <w:pStyle w:val="FootnoteText"/>
        <w:tabs>
          <w:tab w:val="right" w:pos="1195"/>
          <w:tab w:val="left" w:pos="1267"/>
          <w:tab w:val="left" w:pos="1742"/>
          <w:tab w:val="left" w:pos="2218"/>
          <w:tab w:val="left" w:pos="2693"/>
        </w:tabs>
        <w:ind w:left="1267" w:right="1260" w:hanging="432"/>
        <w:rPr>
          <w:i/>
          <w:iCs/>
          <w:u w:val="single"/>
          <w:lang w:val="fr-FR"/>
        </w:rPr>
      </w:pPr>
      <w:r w:rsidRPr="005000B6">
        <w:rPr>
          <w:iCs/>
          <w:lang w:val="fr-FR"/>
        </w:rPr>
        <w:tab/>
      </w:r>
      <w:r w:rsidRPr="005000B6">
        <w:rPr>
          <w:iCs/>
          <w:lang w:val="fr-FR"/>
        </w:rPr>
        <w:tab/>
      </w:r>
      <w:r w:rsidR="0048307E">
        <w:rPr>
          <w:i/>
          <w:iCs/>
          <w:u w:val="single"/>
          <w:lang w:val="fr-FR"/>
        </w:rPr>
        <w:t>I.</w:t>
      </w:r>
      <w:r w:rsidR="00247542" w:rsidRPr="00247542">
        <w:rPr>
          <w:i/>
          <w:iCs/>
          <w:u w:val="single"/>
          <w:lang w:val="fr-FR"/>
        </w:rPr>
        <w:tab/>
        <w:t>Des équipements spéciaux pour l’alimentation du moteur aux gaz de pétrole liquéfiés sur les véhicules des catégories M et N;</w:t>
      </w:r>
    </w:p>
    <w:p w:rsidR="00247542" w:rsidRDefault="005000B6" w:rsidP="00E73D0E">
      <w:pPr>
        <w:pStyle w:val="FootnoteText"/>
        <w:tabs>
          <w:tab w:val="right" w:pos="1195"/>
          <w:tab w:val="left" w:pos="1267"/>
          <w:tab w:val="left" w:pos="1742"/>
          <w:tab w:val="left" w:pos="2218"/>
          <w:tab w:val="left" w:pos="2693"/>
        </w:tabs>
        <w:ind w:left="1267" w:right="1260" w:hanging="432"/>
        <w:rPr>
          <w:i/>
          <w:iCs/>
          <w:u w:val="single"/>
          <w:lang w:val="fr-FR"/>
        </w:rPr>
      </w:pPr>
      <w:r w:rsidRPr="005000B6">
        <w:rPr>
          <w:iCs/>
          <w:lang w:val="fr-FR"/>
        </w:rPr>
        <w:tab/>
      </w:r>
      <w:r w:rsidRPr="005000B6">
        <w:rPr>
          <w:iCs/>
          <w:lang w:val="fr-FR"/>
        </w:rPr>
        <w:tab/>
      </w:r>
      <w:r w:rsidR="0048307E">
        <w:rPr>
          <w:i/>
          <w:iCs/>
          <w:u w:val="single"/>
          <w:lang w:val="fr-FR"/>
        </w:rPr>
        <w:t>II.</w:t>
      </w:r>
      <w:r w:rsidR="00247542" w:rsidRPr="00247542">
        <w:rPr>
          <w:i/>
          <w:iCs/>
          <w:u w:val="single"/>
          <w:lang w:val="fr-FR"/>
        </w:rPr>
        <w:tab/>
        <w:t>Des véhicules des catégories M et N munis d’un équipement spécial pour l’alimentation du moteur aux gaz de pétrole liquéfiés, en ce qui concerne l’installation de cet équipement.</w:t>
      </w:r>
    </w:p>
    <w:p w:rsidR="00385BCD" w:rsidRPr="000E6F35" w:rsidRDefault="00385BCD" w:rsidP="000E6F35">
      <w:pPr>
        <w:pStyle w:val="SingleTxt"/>
        <w:spacing w:after="0" w:line="120" w:lineRule="exact"/>
        <w:rPr>
          <w:sz w:val="10"/>
          <w:lang w:val="fr-FR"/>
        </w:rPr>
      </w:pPr>
    </w:p>
    <w:p w:rsidR="000E6F35" w:rsidRPr="00385BCD" w:rsidRDefault="000E6F35" w:rsidP="00385BCD">
      <w:pPr>
        <w:pStyle w:val="SingleTxt"/>
        <w:spacing w:after="0" w:line="120" w:lineRule="exact"/>
        <w:rPr>
          <w:sz w:val="10"/>
          <w:lang w:val="fr-FR"/>
        </w:rPr>
      </w:pPr>
    </w:p>
    <w:p w:rsidR="00247542" w:rsidRPr="00247542" w:rsidRDefault="00247542" w:rsidP="00247542">
      <w:pPr>
        <w:pStyle w:val="SingleTxt"/>
        <w:rPr>
          <w:lang w:val="fr-FR"/>
        </w:rPr>
      </w:pPr>
      <w:r w:rsidRPr="00247542">
        <w:rPr>
          <w:lang w:val="fr-FR"/>
        </w:rPr>
        <w:t>Renuméroter les notes de bas de page en conséquence.</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Insérer une nouvelle sous-section intitulée 9.2.4.X comme suit</w:t>
      </w:r>
      <w:r w:rsidR="0048307E">
        <w:rPr>
          <w:lang w:val="fr-FR"/>
        </w:rPr>
        <w:t> </w:t>
      </w:r>
      <w:r w:rsidRPr="00247542">
        <w:rPr>
          <w:lang w:val="fr-FR"/>
        </w:rPr>
        <w:t>:</w:t>
      </w:r>
    </w:p>
    <w:p w:rsidR="00247542" w:rsidRPr="00247542" w:rsidRDefault="0048307E" w:rsidP="009504DF">
      <w:pPr>
        <w:pStyle w:val="SingleTxt"/>
        <w:ind w:left="2693" w:hanging="1426"/>
        <w:rPr>
          <w:i/>
          <w:u w:val="single"/>
          <w:lang w:val="fr-FR"/>
        </w:rPr>
      </w:pPr>
      <w:r>
        <w:rPr>
          <w:i/>
          <w:u w:val="single"/>
          <w:lang w:val="fr-FR"/>
        </w:rPr>
        <w:t>« </w:t>
      </w:r>
      <w:r w:rsidR="00247542" w:rsidRPr="00247542">
        <w:rPr>
          <w:i/>
          <w:u w:val="single"/>
          <w:lang w:val="fr-FR"/>
        </w:rPr>
        <w:t>9.2.4.X</w:t>
      </w:r>
      <w:r w:rsidR="00247542" w:rsidRPr="00247542">
        <w:rPr>
          <w:i/>
          <w:u w:val="single"/>
          <w:lang w:val="fr-FR"/>
        </w:rPr>
        <w:tab/>
      </w:r>
      <w:r w:rsidR="009504DF">
        <w:rPr>
          <w:i/>
          <w:u w:val="single"/>
          <w:lang w:val="fr-FR"/>
        </w:rPr>
        <w:tab/>
      </w:r>
      <w:r w:rsidR="00247542" w:rsidRPr="00247542">
        <w:rPr>
          <w:i/>
          <w:u w:val="single"/>
          <w:lang w:val="fr-FR"/>
        </w:rPr>
        <w:t>Prévention des dommages au moyen de dispositifs de refroidissement cryogénique</w:t>
      </w:r>
    </w:p>
    <w:p w:rsidR="00247542" w:rsidRDefault="00A87626" w:rsidP="009504DF">
      <w:pPr>
        <w:pStyle w:val="SingleTxt"/>
        <w:ind w:left="2693" w:hanging="1426"/>
        <w:rPr>
          <w:lang w:val="fr-FR"/>
        </w:rPr>
      </w:pPr>
      <w:r w:rsidRPr="00BC47D9">
        <w:rPr>
          <w:lang w:val="fr-FR"/>
        </w:rPr>
        <w:tab/>
      </w:r>
      <w:r w:rsidRPr="00BC47D9">
        <w:rPr>
          <w:lang w:val="fr-FR"/>
        </w:rPr>
        <w:tab/>
      </w:r>
      <w:r w:rsidR="009504DF">
        <w:rPr>
          <w:lang w:val="fr-FR"/>
        </w:rPr>
        <w:tab/>
      </w:r>
      <w:r w:rsidR="00247542" w:rsidRPr="00247542">
        <w:rPr>
          <w:i/>
          <w:u w:val="single"/>
          <w:lang w:val="fr-FR"/>
        </w:rPr>
        <w:t>Les systèmes d’alimentation en carburant des moteurs fonctionnant au gaz liquide réfrigéré (GNL) doivent être conçus et équipés de façon à éviter que le refroidissement cryogénique ne mette en danger le chargement</w:t>
      </w:r>
      <w:r w:rsidR="0048307E">
        <w:rPr>
          <w:i/>
          <w:u w:val="single"/>
          <w:lang w:val="fr-FR"/>
        </w:rPr>
        <w:t>. »</w:t>
      </w:r>
      <w:r w:rsidR="00247542" w:rsidRPr="00247542">
        <w:rPr>
          <w:i/>
          <w:u w:val="single"/>
          <w:lang w:val="fr-FR"/>
        </w:rPr>
        <w:t>.</w:t>
      </w:r>
    </w:p>
    <w:p w:rsidR="0048307E" w:rsidRPr="0048307E" w:rsidRDefault="0048307E" w:rsidP="0048307E">
      <w:pPr>
        <w:pStyle w:val="SingleTxt"/>
        <w:spacing w:after="0" w:line="120" w:lineRule="exact"/>
        <w:rPr>
          <w:sz w:val="10"/>
          <w:lang w:val="fr-FR"/>
        </w:rPr>
      </w:pPr>
    </w:p>
    <w:p w:rsidR="0048307E" w:rsidRPr="0048307E" w:rsidRDefault="0048307E" w:rsidP="0048307E">
      <w:pPr>
        <w:pStyle w:val="SingleTxt"/>
        <w:spacing w:after="0" w:line="120" w:lineRule="exact"/>
        <w:rPr>
          <w:sz w:val="10"/>
          <w:lang w:val="fr-FR"/>
        </w:rPr>
      </w:pPr>
    </w:p>
    <w:p w:rsidR="00247542" w:rsidRDefault="0048307E" w:rsidP="004830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47542" w:rsidRPr="00247542">
        <w:rPr>
          <w:lang w:val="fr-FR"/>
        </w:rPr>
        <w:tab/>
        <w:t>Justification des propositions</w:t>
      </w:r>
    </w:p>
    <w:p w:rsidR="0048307E" w:rsidRPr="0048307E" w:rsidRDefault="0048307E" w:rsidP="0048307E">
      <w:pPr>
        <w:pStyle w:val="SingleTxt"/>
        <w:spacing w:after="0" w:line="120" w:lineRule="exact"/>
        <w:rPr>
          <w:sz w:val="10"/>
          <w:lang w:val="fr-FR"/>
        </w:rPr>
      </w:pPr>
    </w:p>
    <w:p w:rsidR="0048307E" w:rsidRPr="0048307E" w:rsidRDefault="0048307E" w:rsidP="0048307E">
      <w:pPr>
        <w:pStyle w:val="SingleTxt"/>
        <w:spacing w:after="0" w:line="120" w:lineRule="exact"/>
        <w:rPr>
          <w:sz w:val="10"/>
          <w:lang w:val="fr-FR"/>
        </w:rPr>
      </w:pPr>
    </w:p>
    <w:p w:rsidR="00247542" w:rsidRDefault="0048307E" w:rsidP="004830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47542" w:rsidRPr="00247542">
        <w:rPr>
          <w:lang w:val="fr-FR"/>
        </w:rPr>
        <w:tab/>
        <w:t>1.6.5.17</w:t>
      </w:r>
    </w:p>
    <w:p w:rsidR="0048307E" w:rsidRPr="0048307E" w:rsidRDefault="0048307E" w:rsidP="0048307E">
      <w:pPr>
        <w:pStyle w:val="SingleTxt"/>
        <w:spacing w:after="0" w:line="120" w:lineRule="exact"/>
        <w:rPr>
          <w:sz w:val="10"/>
          <w:lang w:val="fr-FR"/>
        </w:rPr>
      </w:pPr>
    </w:p>
    <w:p w:rsidR="0048307E" w:rsidRPr="0048307E" w:rsidRDefault="0048307E" w:rsidP="0048307E">
      <w:pPr>
        <w:pStyle w:val="SingleTxt"/>
        <w:spacing w:after="0" w:line="120" w:lineRule="exact"/>
        <w:rPr>
          <w:sz w:val="10"/>
          <w:lang w:val="fr-FR"/>
        </w:rPr>
      </w:pPr>
    </w:p>
    <w:p w:rsid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véhicules alimentés par des carburants gazeux </w:t>
      </w:r>
      <w:r w:rsidR="009B08D9">
        <w:rPr>
          <w:lang w:val="fr-FR"/>
        </w:rPr>
        <w:t>(GNL, G</w:t>
      </w:r>
      <w:r w:rsidRPr="00247542">
        <w:rPr>
          <w:lang w:val="fr-FR"/>
        </w:rPr>
        <w:t>N</w:t>
      </w:r>
      <w:r w:rsidR="009B08D9">
        <w:rPr>
          <w:lang w:val="fr-FR"/>
        </w:rPr>
        <w:t>C</w:t>
      </w:r>
      <w:r w:rsidRPr="00247542">
        <w:rPr>
          <w:lang w:val="fr-FR"/>
        </w:rPr>
        <w:t xml:space="preserve"> et GPL) sont utilisés pour le transport de marchandises dangereuses par les Parties contractantes lorsqu’ils ont été homologués </w:t>
      </w:r>
      <w:r w:rsidR="009B08D9">
        <w:rPr>
          <w:lang w:val="fr-FR"/>
        </w:rPr>
        <w:t xml:space="preserve">conformément aux dispositions en vigueur </w:t>
      </w:r>
      <w:r w:rsidRPr="00247542">
        <w:rPr>
          <w:lang w:val="fr-FR"/>
        </w:rPr>
        <w:t>de l’ADR par les autorités compétentes pertinentes. Des mesures provisoires sont donc nécessaires pour permettre l’exploitation ininterrompue de ces véhicules fonctionnant au gaz conformément à leur homologation présente.</w:t>
      </w:r>
    </w:p>
    <w:p w:rsidR="0048307E" w:rsidRPr="0048307E" w:rsidRDefault="0048307E" w:rsidP="0048307E">
      <w:pPr>
        <w:pStyle w:val="SingleTxt"/>
        <w:spacing w:after="0" w:line="120" w:lineRule="exact"/>
        <w:rPr>
          <w:sz w:val="10"/>
          <w:lang w:val="fr-FR"/>
        </w:rPr>
      </w:pPr>
    </w:p>
    <w:p w:rsidR="0048307E" w:rsidRPr="0048307E" w:rsidRDefault="0048307E" w:rsidP="0048307E">
      <w:pPr>
        <w:pStyle w:val="SingleTxt"/>
        <w:spacing w:after="0" w:line="120" w:lineRule="exact"/>
        <w:rPr>
          <w:sz w:val="10"/>
          <w:lang w:val="fr-FR"/>
        </w:rPr>
      </w:pPr>
    </w:p>
    <w:p w:rsidR="00247542" w:rsidRDefault="0048307E" w:rsidP="004830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47542" w:rsidRPr="00247542">
        <w:rPr>
          <w:lang w:val="fr-FR"/>
        </w:rPr>
        <w:tab/>
        <w:t>9.2.4.3 a), b) et c)</w:t>
      </w:r>
    </w:p>
    <w:p w:rsidR="0048307E" w:rsidRPr="0048307E" w:rsidRDefault="0048307E" w:rsidP="0048307E">
      <w:pPr>
        <w:pStyle w:val="SingleTxt"/>
        <w:spacing w:after="0" w:line="120" w:lineRule="exact"/>
        <w:rPr>
          <w:sz w:val="10"/>
          <w:lang w:val="fr-FR"/>
        </w:rPr>
      </w:pPr>
    </w:p>
    <w:p w:rsidR="0048307E" w:rsidRPr="0048307E" w:rsidRDefault="0048307E" w:rsidP="0048307E">
      <w:pPr>
        <w:pStyle w:val="SingleTxt"/>
        <w:spacing w:after="0" w:line="120" w:lineRule="exact"/>
        <w:rPr>
          <w:sz w:val="10"/>
          <w:lang w:val="fr-FR"/>
        </w:rPr>
      </w:pP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 nouveau libellé vise aussi à réglementer le comportement général des carburants </w:t>
      </w:r>
      <w:r w:rsidR="00415E0B">
        <w:rPr>
          <w:lang w:val="fr-FR"/>
        </w:rPr>
        <w:t>[</w:t>
      </w:r>
      <w:r w:rsidRPr="00247542">
        <w:rPr>
          <w:lang w:val="fr-FR"/>
        </w:rPr>
        <w:t>a)</w:t>
      </w:r>
      <w:r w:rsidR="00415E0B">
        <w:rPr>
          <w:lang w:val="fr-FR"/>
        </w:rPr>
        <w:t>]</w:t>
      </w:r>
      <w:r w:rsidRPr="00247542">
        <w:rPr>
          <w:lang w:val="fr-FR"/>
        </w:rPr>
        <w:t>, concerne les prescriptions techn</w:t>
      </w:r>
      <w:r w:rsidR="00D31A4B">
        <w:rPr>
          <w:lang w:val="fr-FR"/>
        </w:rPr>
        <w:t xml:space="preserve">iques applicables au réservoir </w:t>
      </w:r>
      <w:r w:rsidR="00415E0B">
        <w:rPr>
          <w:lang w:val="fr-FR"/>
        </w:rPr>
        <w:t>[</w:t>
      </w:r>
      <w:r w:rsidRPr="00247542">
        <w:rPr>
          <w:lang w:val="fr-FR"/>
        </w:rPr>
        <w:t>b)</w:t>
      </w:r>
      <w:r w:rsidR="00415E0B">
        <w:rPr>
          <w:lang w:val="fr-FR"/>
        </w:rPr>
        <w:t>]</w:t>
      </w:r>
      <w:r w:rsidRPr="00247542">
        <w:rPr>
          <w:lang w:val="fr-FR"/>
        </w:rPr>
        <w:t>, et ajoute des prescriptions relatives aux équipements supplémen</w:t>
      </w:r>
      <w:r w:rsidR="00D31A4B">
        <w:rPr>
          <w:lang w:val="fr-FR"/>
        </w:rPr>
        <w:t xml:space="preserve">taires concernant le réservoir </w:t>
      </w:r>
      <w:r w:rsidR="00415E0B">
        <w:rPr>
          <w:lang w:val="fr-FR"/>
        </w:rPr>
        <w:t>[</w:t>
      </w:r>
      <w:r w:rsidRPr="00247542">
        <w:rPr>
          <w:lang w:val="fr-FR"/>
        </w:rPr>
        <w:t>c)</w:t>
      </w:r>
      <w:r w:rsidR="00415E0B">
        <w:rPr>
          <w:lang w:val="fr-FR"/>
        </w:rPr>
        <w:t>]</w:t>
      </w:r>
      <w:r w:rsidRPr="00247542">
        <w:rPr>
          <w:lang w:val="fr-FR"/>
        </w:rPr>
        <w:t>.</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La référence aux fuites de liquide a été réintroduite afin d’établir une distinction plus nette entre le comportement des carburants liquides et celui des carburants gazeux qui peuvent aussi être en </w:t>
      </w:r>
      <w:r w:rsidR="0048307E">
        <w:rPr>
          <w:lang w:val="fr-FR"/>
        </w:rPr>
        <w:t>« </w:t>
      </w:r>
      <w:r w:rsidRPr="00247542">
        <w:rPr>
          <w:lang w:val="fr-FR"/>
        </w:rPr>
        <w:t xml:space="preserve">phase liquide ». Lorsqu’un carburant liquide tombe sur le chargement l’effet est plus intense que lorsqu’un carburant gazeux passant de sa phase liquide à la phase gazeuse se trouve pour un bref instant en contact avec le chargement; c’est le cas par exemple si des turbulences créées par le vent provoquent un contact avec le chargement quand le carburant gazeux se dissipe dans l’atmosphère. Ce changement semble justifié pour préciser les différences entre carburants liquides et carburants gazeux qui pourraient </w:t>
      </w:r>
      <w:r w:rsidR="0048307E">
        <w:rPr>
          <w:lang w:val="fr-FR"/>
        </w:rPr>
        <w:t>« </w:t>
      </w:r>
      <w:r w:rsidRPr="00247542">
        <w:rPr>
          <w:lang w:val="fr-FR"/>
        </w:rPr>
        <w:t>entrer en contact avec le chargement » en cas d’accident assez grave pour provoquer une fuite ou un écoulement de carburant.</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lastRenderedPageBreak/>
        <w:t>La température des carburants gazeux diminue lorsque leur pression est abaissée (effet Joule-Thompson). Le gaz nature</w:t>
      </w:r>
      <w:r w:rsidR="0048307E">
        <w:rPr>
          <w:lang w:val="fr-FR"/>
        </w:rPr>
        <w:t>l refroidit jusqu’à environ -20 </w:t>
      </w:r>
      <w:r w:rsidRPr="00247542">
        <w:rPr>
          <w:lang w:val="fr-FR"/>
        </w:rPr>
        <w:t>°C mais seulement pour un moment très bref</w:t>
      </w:r>
      <w:r w:rsidR="00120E29">
        <w:rPr>
          <w:lang w:val="fr-FR"/>
        </w:rPr>
        <w:t xml:space="preserve">, après quoi il </w:t>
      </w:r>
      <w:r w:rsidRPr="00247542">
        <w:rPr>
          <w:lang w:val="fr-FR"/>
        </w:rPr>
        <w:t>se dissipe. Cela ne peut nuire à l’équipement dont tous les éléments doivent être conçus de manière à supporter jusqu’à -20</w:t>
      </w:r>
      <w:r w:rsidR="0048307E">
        <w:rPr>
          <w:lang w:val="fr-FR"/>
        </w:rPr>
        <w:t> </w:t>
      </w:r>
      <w:r w:rsidRPr="00247542">
        <w:rPr>
          <w:lang w:val="fr-FR"/>
        </w:rPr>
        <w:t>°C d’après les dispositions de l’ADR.</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Le GPL lorsqu’il fuit en phase liquide s’évapore</w:t>
      </w:r>
      <w:r w:rsidR="000A48A9">
        <w:rPr>
          <w:lang w:val="fr-FR"/>
        </w:rPr>
        <w:t xml:space="preserve"> rapidement et se refroidit. La </w:t>
      </w:r>
      <w:r w:rsidRPr="00247542">
        <w:rPr>
          <w:lang w:val="fr-FR"/>
        </w:rPr>
        <w:t>température finale du liquide restant sera définie par la pression ambiante, autour de -42</w:t>
      </w:r>
      <w:r w:rsidR="0048307E">
        <w:rPr>
          <w:lang w:val="fr-FR"/>
        </w:rPr>
        <w:t> </w:t>
      </w:r>
      <w:r w:rsidRPr="00247542">
        <w:rPr>
          <w:lang w:val="fr-FR"/>
        </w:rPr>
        <w:t xml:space="preserve">°C. Étant donné que certaines matières perdent leur ductilité </w:t>
      </w:r>
      <w:r w:rsidR="005E1B06">
        <w:rPr>
          <w:lang w:val="fr-FR"/>
        </w:rPr>
        <w:t>à</w:t>
      </w:r>
      <w:r w:rsidRPr="00247542">
        <w:rPr>
          <w:lang w:val="fr-FR"/>
        </w:rPr>
        <w:t xml:space="preserve"> basse température, le risque de rupture fragile peut augmenter. Il convient d’en tenir compte en fonction de la matière du réservoir. Dans la plupart des cas où les gaz liquéfiés sont versés dans le réservoir, le même effet se produit à l’intérieur du réservoir et l’équipement doit donc être conçu de manière à supporter les contraintes du remplissage.</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Conformément à la réglementation, les réservoirs et bouteilles de carburant gazeux sont soumis à l’épreuve du feu lorsqu’une montée en pression risque de provoquer une rupture. Les Règlements (Règlements de la CEE </w:t>
      </w:r>
      <w:r w:rsidR="0048307E">
        <w:rPr>
          <w:lang w:val="fr-FR"/>
        </w:rPr>
        <w:t>n</w:t>
      </w:r>
      <w:r w:rsidR="0048307E" w:rsidRPr="00ED1CDB">
        <w:rPr>
          <w:vertAlign w:val="superscript"/>
          <w:lang w:val="fr-FR"/>
        </w:rPr>
        <w:t>o</w:t>
      </w:r>
      <w:r w:rsidR="0048307E">
        <w:rPr>
          <w:vertAlign w:val="superscript"/>
          <w:lang w:val="fr-FR"/>
        </w:rPr>
        <w:t>s</w:t>
      </w:r>
      <w:r w:rsidR="0048307E">
        <w:rPr>
          <w:lang w:val="fr-FR"/>
        </w:rPr>
        <w:t> </w:t>
      </w:r>
      <w:r w:rsidRPr="00247542">
        <w:rPr>
          <w:lang w:val="fr-FR"/>
        </w:rPr>
        <w:t>67 (série</w:t>
      </w:r>
      <w:r w:rsidR="0048307E">
        <w:rPr>
          <w:lang w:val="fr-FR"/>
        </w:rPr>
        <w:t> </w:t>
      </w:r>
      <w:r w:rsidRPr="00247542">
        <w:rPr>
          <w:lang w:val="fr-FR"/>
        </w:rPr>
        <w:t xml:space="preserve">01 d’amendements) et 110) </w:t>
      </w:r>
      <w:r w:rsidR="00C7513D">
        <w:rPr>
          <w:lang w:val="fr-FR"/>
        </w:rPr>
        <w:t>définissent</w:t>
      </w:r>
      <w:r w:rsidRPr="00247542">
        <w:rPr>
          <w:lang w:val="fr-FR"/>
        </w:rPr>
        <w:t xml:space="preserve"> les prescriptions et les épreuves d’homologation de type auxquelles doivent être soumis les réservoirs et bouteilles de carburant pour démontrer leur résistance à l’incendie et leur sécurité. Les épreuves de brasier exigées dans ces Règlements supposent un feu enveloppant. La température doit atteindre un niveau donné en une période de temps précise afin d’obtenir l’intensité requise. Le récipient doit libérer le carburant uniquement sous l’action du dispositif de surpression. L’épreuve est poursuive jusqu’à ce que la pression à l’intérieur du récipient soit égale à la pression atmosphérique.</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réservoirs de GNC et </w:t>
      </w:r>
      <w:r w:rsidR="006B38ED">
        <w:rPr>
          <w:lang w:val="fr-FR"/>
        </w:rPr>
        <w:t xml:space="preserve">les </w:t>
      </w:r>
      <w:r w:rsidRPr="00247542">
        <w:rPr>
          <w:lang w:val="fr-FR"/>
        </w:rPr>
        <w:t xml:space="preserve">bouteilles de GPL sont équipés d’éléments conçus pour supporter le flux calorique de feux extérieurs. Aucune mesure supplémentaire n’est exigée pour le transport de marchandises dangereuses car les incendies d’intensité supérieure à un feu, tels que décrits dans les Règlements CEE </w:t>
      </w:r>
      <w:r w:rsidR="0048307E">
        <w:rPr>
          <w:lang w:val="fr-FR"/>
        </w:rPr>
        <w:t>n</w:t>
      </w:r>
      <w:r w:rsidR="0048307E" w:rsidRPr="00ED1CDB">
        <w:rPr>
          <w:vertAlign w:val="superscript"/>
          <w:lang w:val="fr-FR"/>
        </w:rPr>
        <w:t>o</w:t>
      </w:r>
      <w:r w:rsidR="0048307E">
        <w:rPr>
          <w:vertAlign w:val="superscript"/>
          <w:lang w:val="fr-FR"/>
        </w:rPr>
        <w:t>s</w:t>
      </w:r>
      <w:r w:rsidR="0048307E">
        <w:rPr>
          <w:lang w:val="fr-FR"/>
        </w:rPr>
        <w:t> </w:t>
      </w:r>
      <w:r w:rsidRPr="00247542">
        <w:rPr>
          <w:lang w:val="fr-FR"/>
        </w:rPr>
        <w:t>67 (série</w:t>
      </w:r>
      <w:r w:rsidR="0048307E">
        <w:rPr>
          <w:lang w:val="fr-FR"/>
        </w:rPr>
        <w:t> </w:t>
      </w:r>
      <w:r w:rsidRPr="00247542">
        <w:rPr>
          <w:lang w:val="fr-FR"/>
        </w:rPr>
        <w:t xml:space="preserve">01 d’amendements) et 110, affectent sans doute davantage le chargement que le carburant gazeux, son réservoir ou sa bouteille et ses éléments. Un degré de sécurité comparable est assuré pour les réservoirs et bouteilles destinés au GPL, au GNC ou au GNL répondant aux spécifications des Règlements de la CEE </w:t>
      </w:r>
      <w:r w:rsidR="0048307E">
        <w:rPr>
          <w:lang w:val="fr-FR"/>
        </w:rPr>
        <w:t>n</w:t>
      </w:r>
      <w:r w:rsidR="0048307E" w:rsidRPr="00ED1CDB">
        <w:rPr>
          <w:vertAlign w:val="superscript"/>
          <w:lang w:val="fr-FR"/>
        </w:rPr>
        <w:t>o</w:t>
      </w:r>
      <w:r w:rsidR="00AA4A0D">
        <w:rPr>
          <w:vertAlign w:val="superscript"/>
          <w:lang w:val="fr-FR"/>
        </w:rPr>
        <w:t>s</w:t>
      </w:r>
      <w:r w:rsidR="0048307E">
        <w:rPr>
          <w:lang w:val="fr-FR"/>
        </w:rPr>
        <w:t> </w:t>
      </w:r>
      <w:r w:rsidRPr="00247542">
        <w:rPr>
          <w:lang w:val="fr-FR"/>
        </w:rPr>
        <w:t>67 (série</w:t>
      </w:r>
      <w:r w:rsidR="0048307E">
        <w:rPr>
          <w:lang w:val="fr-FR"/>
        </w:rPr>
        <w:t> </w:t>
      </w:r>
      <w:r w:rsidRPr="00247542">
        <w:rPr>
          <w:lang w:val="fr-FR"/>
        </w:rPr>
        <w:t>01 d’amendements) ou 110.</w:t>
      </w:r>
    </w:p>
    <w:p w:rsidR="00247542" w:rsidRDefault="00247542" w:rsidP="001972A8">
      <w:pPr>
        <w:pStyle w:val="SingleTxt"/>
        <w:numPr>
          <w:ilvl w:val="0"/>
          <w:numId w:val="8"/>
        </w:numPr>
        <w:tabs>
          <w:tab w:val="clear" w:pos="475"/>
          <w:tab w:val="num" w:pos="1742"/>
        </w:tabs>
        <w:ind w:left="1267"/>
        <w:rPr>
          <w:lang w:val="fr-FR"/>
        </w:rPr>
      </w:pPr>
      <w:r w:rsidRPr="00247542">
        <w:rPr>
          <w:lang w:val="fr-FR"/>
        </w:rPr>
        <w:t>En cas d’incendie du véhicule, une orientation correcte des dispositifs ou soupapes de décompression empêchera qu’un flux calorique supplémentaire n’atteigne le chargement. Certes l’alinéa a</w:t>
      </w:r>
      <w:r w:rsidR="0048307E">
        <w:rPr>
          <w:lang w:val="fr-FR"/>
        </w:rPr>
        <w:t>)</w:t>
      </w:r>
      <w:r w:rsidRPr="00247542">
        <w:rPr>
          <w:lang w:val="fr-FR"/>
        </w:rPr>
        <w:t xml:space="preserve"> du paragraphe 9.2.4.3 stipule déjà que le carburant liquide ou la phase liquide du carburant gazeux ne doit entrer en contact </w:t>
      </w:r>
      <w:r w:rsidR="0048307E">
        <w:rPr>
          <w:lang w:val="fr-FR"/>
        </w:rPr>
        <w:t>« </w:t>
      </w:r>
      <w:r w:rsidRPr="00247542">
        <w:rPr>
          <w:lang w:val="fr-FR"/>
        </w:rPr>
        <w:t>ni avec les parties chaudes du véhicules ni avec le chargement », mais le fait d’orienter le carburant s’échappant des dispositifs et soupapes de décompression dans une direction autre que celle du chargement constitue une mesure supplémentaire permettant de réduire autant que faire se peut l’apport de chaleur au chargement.</w:t>
      </w:r>
    </w:p>
    <w:p w:rsidR="00396269" w:rsidRPr="00396269" w:rsidRDefault="00396269" w:rsidP="00396269">
      <w:pPr>
        <w:pStyle w:val="SingleTxt"/>
        <w:spacing w:after="0" w:line="120" w:lineRule="exact"/>
        <w:rPr>
          <w:sz w:val="10"/>
          <w:lang w:val="fr-FR"/>
        </w:rPr>
      </w:pPr>
    </w:p>
    <w:p w:rsidR="00396269" w:rsidRPr="00396269" w:rsidRDefault="00396269" w:rsidP="00396269">
      <w:pPr>
        <w:pStyle w:val="SingleTxt"/>
        <w:spacing w:after="0" w:line="120" w:lineRule="exact"/>
        <w:rPr>
          <w:sz w:val="10"/>
          <w:lang w:val="fr-FR"/>
        </w:rPr>
      </w:pPr>
    </w:p>
    <w:p w:rsidR="00247542" w:rsidRDefault="00396269" w:rsidP="0039626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47542" w:rsidRPr="00247542">
        <w:rPr>
          <w:lang w:val="fr-FR"/>
        </w:rPr>
        <w:tab/>
        <w:t>9.2.4.4</w:t>
      </w:r>
    </w:p>
    <w:p w:rsidR="00396269" w:rsidRPr="00396269" w:rsidRDefault="00396269" w:rsidP="00396269">
      <w:pPr>
        <w:pStyle w:val="SingleTxt"/>
        <w:spacing w:after="0" w:line="120" w:lineRule="exact"/>
        <w:rPr>
          <w:sz w:val="10"/>
          <w:lang w:val="fr-FR"/>
        </w:rPr>
      </w:pPr>
    </w:p>
    <w:p w:rsidR="00396269" w:rsidRPr="00396269" w:rsidRDefault="00396269" w:rsidP="00396269">
      <w:pPr>
        <w:pStyle w:val="SingleTxt"/>
        <w:spacing w:after="0" w:line="120" w:lineRule="exact"/>
        <w:rPr>
          <w:sz w:val="10"/>
          <w:lang w:val="fr-FR"/>
        </w:rPr>
      </w:pP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prescriptions de sécurité relatives au GPL et au gaz naturel (GNC et GNL) sont précisées </w:t>
      </w:r>
      <w:r w:rsidR="006823B5">
        <w:rPr>
          <w:lang w:val="fr-FR"/>
        </w:rPr>
        <w:t xml:space="preserve">respectivement </w:t>
      </w:r>
      <w:r w:rsidRPr="00247542">
        <w:rPr>
          <w:lang w:val="fr-FR"/>
        </w:rPr>
        <w:t xml:space="preserve">dans les Règlements CEE </w:t>
      </w:r>
      <w:r w:rsidR="00396269">
        <w:rPr>
          <w:lang w:val="fr-FR"/>
        </w:rPr>
        <w:t>n</w:t>
      </w:r>
      <w:r w:rsidR="00396269" w:rsidRPr="00ED1CDB">
        <w:rPr>
          <w:vertAlign w:val="superscript"/>
          <w:lang w:val="fr-FR"/>
        </w:rPr>
        <w:t>o</w:t>
      </w:r>
      <w:r w:rsidR="00396269">
        <w:rPr>
          <w:vertAlign w:val="superscript"/>
          <w:lang w:val="fr-FR"/>
        </w:rPr>
        <w:t>s</w:t>
      </w:r>
      <w:r w:rsidR="00396269">
        <w:rPr>
          <w:lang w:val="fr-FR"/>
        </w:rPr>
        <w:t> </w:t>
      </w:r>
      <w:r w:rsidRPr="00247542">
        <w:rPr>
          <w:lang w:val="fr-FR"/>
        </w:rPr>
        <w:t>67 (série 01 d’amendements) et 110</w:t>
      </w:r>
      <w:r w:rsidR="006823B5">
        <w:rPr>
          <w:lang w:val="fr-FR"/>
        </w:rPr>
        <w:t xml:space="preserve">, </w:t>
      </w:r>
      <w:r w:rsidRPr="00247542">
        <w:rPr>
          <w:lang w:val="fr-FR"/>
        </w:rPr>
        <w:t xml:space="preserve">Règlements </w:t>
      </w:r>
      <w:r w:rsidR="006823B5">
        <w:rPr>
          <w:lang w:val="fr-FR"/>
        </w:rPr>
        <w:t>entérinés</w:t>
      </w:r>
      <w:r w:rsidRPr="00247542">
        <w:rPr>
          <w:lang w:val="fr-FR"/>
        </w:rPr>
        <w:t xml:space="preserve"> par le WP.29. Bien qu’ils ne prennent pas en compte les spécificités opérationnelles des véhicules affectés au transport de marchandises dangereuses, on peut considérer qu’ils répondent aux exigences essentielles en matière de sécurité telles que la solidité et la </w:t>
      </w:r>
      <w:r w:rsidR="00B06747">
        <w:rPr>
          <w:lang w:val="fr-FR"/>
        </w:rPr>
        <w:t>résistance</w:t>
      </w:r>
      <w:r w:rsidRPr="00247542">
        <w:rPr>
          <w:lang w:val="fr-FR"/>
        </w:rPr>
        <w:t xml:space="preserve"> à la détérioration.</w:t>
      </w:r>
    </w:p>
    <w:p w:rsidR="00247542" w:rsidRPr="00247542" w:rsidRDefault="00247542" w:rsidP="001972A8">
      <w:pPr>
        <w:pStyle w:val="SingleTxt"/>
        <w:numPr>
          <w:ilvl w:val="0"/>
          <w:numId w:val="8"/>
        </w:numPr>
        <w:tabs>
          <w:tab w:val="clear" w:pos="475"/>
          <w:tab w:val="num" w:pos="1742"/>
        </w:tabs>
        <w:ind w:left="1267"/>
        <w:rPr>
          <w:lang w:val="fr-FR"/>
        </w:rPr>
      </w:pPr>
      <w:r w:rsidRPr="00247542">
        <w:rPr>
          <w:lang w:val="fr-FR"/>
        </w:rPr>
        <w:lastRenderedPageBreak/>
        <w:t>La conception du système dépend de l’homologation de type des éléments proprement dits ainsi que de leur installation correcte sur le véhicule, ce qui garantit une interaction sans problème et un fonctionnement approprié.</w:t>
      </w:r>
    </w:p>
    <w:p w:rsidR="00247542" w:rsidRDefault="00247542" w:rsidP="001972A8">
      <w:pPr>
        <w:pStyle w:val="SingleTxt"/>
        <w:numPr>
          <w:ilvl w:val="0"/>
          <w:numId w:val="8"/>
        </w:numPr>
        <w:tabs>
          <w:tab w:val="clear" w:pos="475"/>
          <w:tab w:val="num" w:pos="1742"/>
        </w:tabs>
        <w:ind w:left="1267"/>
        <w:rPr>
          <w:lang w:val="fr-FR"/>
        </w:rPr>
      </w:pPr>
      <w:r w:rsidRPr="00247542">
        <w:rPr>
          <w:lang w:val="fr-FR"/>
        </w:rPr>
        <w:t xml:space="preserve">Les Règlements de la CEE relatifs au GPL et au gaz naturel contiennent des dispositions sur la conception de l’équipement électrique, mais ces dernières ne suffisent pas toujours pour que les prescriptions énoncées au 9.2.2. soient respectées. C’est pour souligner cela que le 9.2.4.4 </w:t>
      </w:r>
      <w:r w:rsidR="00AE185B">
        <w:rPr>
          <w:lang w:val="fr-FR"/>
        </w:rPr>
        <w:t>renvoie</w:t>
      </w:r>
      <w:r w:rsidRPr="00247542">
        <w:rPr>
          <w:lang w:val="fr-FR"/>
        </w:rPr>
        <w:t xml:space="preserve"> au 9.2.2 de l’ADR.</w:t>
      </w:r>
    </w:p>
    <w:p w:rsidR="00396269" w:rsidRPr="00396269" w:rsidRDefault="00396269" w:rsidP="00396269">
      <w:pPr>
        <w:pStyle w:val="SingleTxt"/>
        <w:spacing w:after="0" w:line="120" w:lineRule="exact"/>
        <w:rPr>
          <w:sz w:val="10"/>
          <w:lang w:val="fr-FR"/>
        </w:rPr>
      </w:pPr>
    </w:p>
    <w:p w:rsidR="00396269" w:rsidRPr="00396269" w:rsidRDefault="00396269" w:rsidP="00396269">
      <w:pPr>
        <w:pStyle w:val="SingleTxt"/>
        <w:spacing w:after="0" w:line="120" w:lineRule="exact"/>
        <w:rPr>
          <w:sz w:val="10"/>
          <w:lang w:val="fr-FR"/>
        </w:rPr>
      </w:pPr>
    </w:p>
    <w:p w:rsidR="00247542" w:rsidRDefault="00396269" w:rsidP="003962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247542" w:rsidRPr="00247542">
        <w:rPr>
          <w:lang w:val="fr-FR"/>
        </w:rPr>
        <w:tab/>
        <w:t>Justification générale</w:t>
      </w:r>
    </w:p>
    <w:p w:rsidR="00396269" w:rsidRPr="00396269" w:rsidRDefault="00396269" w:rsidP="00396269">
      <w:pPr>
        <w:pStyle w:val="SingleTxt"/>
        <w:spacing w:after="0" w:line="120" w:lineRule="exact"/>
        <w:rPr>
          <w:sz w:val="10"/>
          <w:lang w:val="fr-FR"/>
        </w:rPr>
      </w:pPr>
    </w:p>
    <w:p w:rsidR="00396269" w:rsidRPr="00396269" w:rsidRDefault="00396269" w:rsidP="00396269">
      <w:pPr>
        <w:pStyle w:val="SingleTxt"/>
        <w:spacing w:after="0" w:line="120" w:lineRule="exact"/>
        <w:rPr>
          <w:sz w:val="10"/>
          <w:lang w:val="fr-FR"/>
        </w:rPr>
      </w:pPr>
    </w:p>
    <w:p w:rsidR="00247542" w:rsidRPr="00247542" w:rsidRDefault="00247542" w:rsidP="006F2950">
      <w:pPr>
        <w:pStyle w:val="SingleTxt"/>
        <w:ind w:left="2693" w:hanging="1426"/>
        <w:rPr>
          <w:bCs/>
          <w:lang w:val="fr-FR"/>
        </w:rPr>
      </w:pPr>
      <w:r w:rsidRPr="00247542">
        <w:rPr>
          <w:lang w:val="fr-FR"/>
        </w:rPr>
        <w:t>Sécurité</w:t>
      </w:r>
      <w:r w:rsidR="00396269">
        <w:rPr>
          <w:lang w:val="fr-FR"/>
        </w:rPr>
        <w:t> </w:t>
      </w:r>
      <w:r w:rsidR="000C037F">
        <w:rPr>
          <w:lang w:val="fr-FR"/>
        </w:rPr>
        <w:t>:</w:t>
      </w:r>
      <w:r w:rsidR="000C037F">
        <w:rPr>
          <w:lang w:val="fr-FR"/>
        </w:rPr>
        <w:tab/>
      </w:r>
      <w:r w:rsidR="006F2950">
        <w:rPr>
          <w:lang w:val="fr-FR"/>
        </w:rPr>
        <w:tab/>
      </w:r>
      <w:r w:rsidRPr="00247542">
        <w:rPr>
          <w:lang w:val="fr-FR"/>
        </w:rPr>
        <w:t>La sécurité des systèmes d’alimentation en carburant gazeux a été mise en évidence non seulement dans les conditions normales de fonctionnement mais aussi compte tenu des incidents les plus fréquents tels que les incendies (moteur, pneu et chargement) ou les collisions.</w:t>
      </w:r>
    </w:p>
    <w:p w:rsidR="00247542" w:rsidRPr="00247542" w:rsidRDefault="006F2950" w:rsidP="00247542">
      <w:pPr>
        <w:pStyle w:val="SingleTxt"/>
        <w:rPr>
          <w:lang w:val="fr-FR"/>
        </w:rPr>
      </w:pPr>
      <w:r>
        <w:rPr>
          <w:lang w:val="fr-FR"/>
        </w:rPr>
        <w:tab/>
      </w:r>
      <w:r>
        <w:rPr>
          <w:lang w:val="fr-FR"/>
        </w:rPr>
        <w:tab/>
      </w:r>
      <w:r>
        <w:rPr>
          <w:lang w:val="fr-FR"/>
        </w:rPr>
        <w:tab/>
      </w:r>
      <w:r w:rsidR="00247542" w:rsidRPr="00247542">
        <w:rPr>
          <w:lang w:val="fr-FR"/>
        </w:rPr>
        <w:t>Aucun extincteur supplémentaire n’est nécessaire</w:t>
      </w:r>
      <w:r w:rsidR="00D7799D">
        <w:rPr>
          <w:lang w:val="fr-FR"/>
        </w:rPr>
        <w:t>.</w:t>
      </w:r>
    </w:p>
    <w:p w:rsidR="00247542" w:rsidRPr="00247542" w:rsidRDefault="006F2950" w:rsidP="006F2950">
      <w:pPr>
        <w:pStyle w:val="SingleTxt"/>
        <w:ind w:left="2693" w:hanging="1426"/>
        <w:rPr>
          <w:lang w:val="fr-FR"/>
        </w:rPr>
      </w:pPr>
      <w:r>
        <w:rPr>
          <w:lang w:val="fr-FR"/>
        </w:rPr>
        <w:tab/>
      </w:r>
      <w:r>
        <w:rPr>
          <w:lang w:val="fr-FR"/>
        </w:rPr>
        <w:tab/>
      </w:r>
      <w:r>
        <w:rPr>
          <w:lang w:val="fr-FR"/>
        </w:rPr>
        <w:tab/>
      </w:r>
      <w:r w:rsidR="00247542" w:rsidRPr="00247542">
        <w:rPr>
          <w:lang w:val="fr-FR"/>
        </w:rPr>
        <w:t>L’équipement de remplissage pour le GNC et le GPL a été conçu dans le respect des normes applicables au fonctionnement sans surveillance par les conducteurs ordinaires (</w:t>
      </w:r>
      <w:r w:rsidR="00247542" w:rsidRPr="00247542">
        <w:rPr>
          <w:bCs/>
          <w:lang w:val="fr-FR"/>
        </w:rPr>
        <w:t>pour plus de détails, se reporter aux documents informels correspondants établis pour chaque type de carburant).</w:t>
      </w:r>
    </w:p>
    <w:p w:rsidR="00247542" w:rsidRPr="00247542" w:rsidRDefault="00247542" w:rsidP="006F2950">
      <w:pPr>
        <w:pStyle w:val="SingleTxt"/>
        <w:ind w:left="2693" w:hanging="1426"/>
        <w:rPr>
          <w:lang w:val="fr-FR"/>
        </w:rPr>
      </w:pPr>
      <w:r w:rsidRPr="00247542">
        <w:rPr>
          <w:lang w:val="fr-FR"/>
        </w:rPr>
        <w:t>Faisabilité</w:t>
      </w:r>
      <w:r w:rsidR="00396269">
        <w:rPr>
          <w:lang w:val="fr-FR"/>
        </w:rPr>
        <w:t> </w:t>
      </w:r>
      <w:r w:rsidRPr="00247542">
        <w:rPr>
          <w:lang w:val="fr-FR"/>
        </w:rPr>
        <w:t>:</w:t>
      </w:r>
      <w:r w:rsidRPr="00247542">
        <w:rPr>
          <w:lang w:val="fr-FR"/>
        </w:rPr>
        <w:tab/>
        <w:t xml:space="preserve">Des Parties contractantes ont déjà approuvé l’utilisation de véhicules fonctionnant aux carburants gazeux et ont accumulé une vaste expérience relative au GNC et au </w:t>
      </w:r>
      <w:r w:rsidR="003C58DD">
        <w:rPr>
          <w:lang w:val="fr-FR"/>
        </w:rPr>
        <w:t xml:space="preserve">GPL. Les constructeurs de poids </w:t>
      </w:r>
      <w:r w:rsidRPr="00247542">
        <w:rPr>
          <w:lang w:val="fr-FR"/>
        </w:rPr>
        <w:t>lourds et les transporteurs auront la possibilité de construire et d’utiliser des véhicules de ce type homologués pour le transport de marchandises dangereuses.</w:t>
      </w:r>
    </w:p>
    <w:p w:rsidR="00247542" w:rsidRPr="00247542" w:rsidRDefault="00247542" w:rsidP="006F2950">
      <w:pPr>
        <w:pStyle w:val="SingleTxt"/>
        <w:ind w:left="2693" w:hanging="1426"/>
        <w:rPr>
          <w:lang w:val="en-US"/>
        </w:rPr>
      </w:pPr>
      <w:r w:rsidRPr="00247542">
        <w:rPr>
          <w:lang w:val="fr-FR"/>
        </w:rPr>
        <w:t>Application</w:t>
      </w:r>
      <w:r w:rsidR="00396269">
        <w:rPr>
          <w:lang w:val="fr-FR"/>
        </w:rPr>
        <w:t> </w:t>
      </w:r>
      <w:r w:rsidRPr="00247542">
        <w:rPr>
          <w:lang w:val="fr-FR"/>
        </w:rPr>
        <w:t xml:space="preserve">: </w:t>
      </w:r>
      <w:r w:rsidRPr="00247542">
        <w:rPr>
          <w:lang w:val="fr-FR"/>
        </w:rPr>
        <w:tab/>
        <w:t>Afin d’assurer un bon fonctionnement du système pendant l’exploitation normale ainsi que le fonctionnement correct des dispositifs de sécurité, l’installation devrait être approuvée par l’autorité compétente conformément aux Règlements de la CEE pertinents ainsi qu’aux dispositions supplémentaires figurant dans le texte de l’ADR.</w:t>
      </w:r>
    </w:p>
    <w:p w:rsidR="0030066F" w:rsidRPr="00247542" w:rsidRDefault="00247542" w:rsidP="00247542">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0066F" w:rsidRPr="00247542" w:rsidSect="00527B18">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9T14:51:00Z" w:initials="Start">
    <w:p w:rsidR="00527B18" w:rsidRDefault="00527B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NO&gt;&gt;N1519485F&lt;&lt;ODS JOB NO&gt;&gt;</w:t>
      </w:r>
    </w:p>
    <w:p w:rsidR="00527B18" w:rsidRDefault="00527B18">
      <w:pPr>
        <w:pStyle w:val="CommentText"/>
      </w:pPr>
      <w:r>
        <w:t>&lt;&lt;ODS DOC SYMBOL1&gt;&gt;ECE/TRANS/WP.15/2015/16&lt;&lt;ODS DOC SYMBOL1&gt;&gt;</w:t>
      </w:r>
    </w:p>
    <w:p w:rsidR="00527B18" w:rsidRDefault="00527B1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DA" w:rsidRDefault="003D46DA" w:rsidP="00F3330B">
      <w:pPr>
        <w:spacing w:line="240" w:lineRule="auto"/>
      </w:pPr>
      <w:r>
        <w:separator/>
      </w:r>
    </w:p>
  </w:endnote>
  <w:endnote w:type="continuationSeparator" w:id="0">
    <w:p w:rsidR="003D46DA" w:rsidRDefault="003D46D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27B18" w:rsidTr="00527B18">
      <w:trPr>
        <w:jc w:val="center"/>
      </w:trPr>
      <w:tc>
        <w:tcPr>
          <w:tcW w:w="5126" w:type="dxa"/>
          <w:shd w:val="clear" w:color="auto" w:fill="auto"/>
        </w:tcPr>
        <w:p w:rsidR="00527B18" w:rsidRPr="00527B18" w:rsidRDefault="00527B18" w:rsidP="00527B1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19C6">
            <w:rPr>
              <w:b w:val="0"/>
              <w:w w:val="103"/>
              <w:sz w:val="14"/>
            </w:rPr>
            <w:t>GE.15-14566</w:t>
          </w:r>
          <w:r>
            <w:rPr>
              <w:b w:val="0"/>
              <w:w w:val="103"/>
              <w:sz w:val="14"/>
            </w:rPr>
            <w:fldChar w:fldCharType="end"/>
          </w:r>
        </w:p>
      </w:tc>
      <w:tc>
        <w:tcPr>
          <w:tcW w:w="5127" w:type="dxa"/>
          <w:shd w:val="clear" w:color="auto" w:fill="auto"/>
        </w:tcPr>
        <w:p w:rsidR="00527B18" w:rsidRPr="00527B18" w:rsidRDefault="00527B18" w:rsidP="00527B18">
          <w:pPr>
            <w:pStyle w:val="Footer"/>
            <w:rPr>
              <w:w w:val="103"/>
            </w:rPr>
          </w:pPr>
          <w:r>
            <w:rPr>
              <w:w w:val="103"/>
            </w:rPr>
            <w:fldChar w:fldCharType="begin"/>
          </w:r>
          <w:r>
            <w:rPr>
              <w:w w:val="103"/>
            </w:rPr>
            <w:instrText xml:space="preserve"> PAGE  \* Arabic  \* MERGEFORMAT </w:instrText>
          </w:r>
          <w:r>
            <w:rPr>
              <w:w w:val="103"/>
            </w:rPr>
            <w:fldChar w:fldCharType="separate"/>
          </w:r>
          <w:r w:rsidR="00AD19C6">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19C6">
            <w:rPr>
              <w:noProof/>
              <w:w w:val="103"/>
            </w:rPr>
            <w:t>8</w:t>
          </w:r>
          <w:r>
            <w:rPr>
              <w:w w:val="103"/>
            </w:rPr>
            <w:fldChar w:fldCharType="end"/>
          </w:r>
        </w:p>
      </w:tc>
    </w:tr>
  </w:tbl>
  <w:p w:rsidR="00527B18" w:rsidRPr="00527B18" w:rsidRDefault="00527B18" w:rsidP="00527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27B18" w:rsidTr="00527B18">
      <w:trPr>
        <w:jc w:val="center"/>
      </w:trPr>
      <w:tc>
        <w:tcPr>
          <w:tcW w:w="5126" w:type="dxa"/>
          <w:shd w:val="clear" w:color="auto" w:fill="auto"/>
        </w:tcPr>
        <w:p w:rsidR="00527B18" w:rsidRPr="00527B18" w:rsidRDefault="00527B18" w:rsidP="00527B1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D19C6">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19C6">
            <w:rPr>
              <w:noProof/>
              <w:w w:val="103"/>
            </w:rPr>
            <w:t>8</w:t>
          </w:r>
          <w:r>
            <w:rPr>
              <w:w w:val="103"/>
            </w:rPr>
            <w:fldChar w:fldCharType="end"/>
          </w:r>
        </w:p>
      </w:tc>
      <w:tc>
        <w:tcPr>
          <w:tcW w:w="5127" w:type="dxa"/>
          <w:shd w:val="clear" w:color="auto" w:fill="auto"/>
        </w:tcPr>
        <w:p w:rsidR="00527B18" w:rsidRPr="00527B18" w:rsidRDefault="00527B18" w:rsidP="00527B1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19C6">
            <w:rPr>
              <w:b w:val="0"/>
              <w:w w:val="103"/>
              <w:sz w:val="14"/>
            </w:rPr>
            <w:t>GE.15-14566</w:t>
          </w:r>
          <w:r>
            <w:rPr>
              <w:b w:val="0"/>
              <w:w w:val="103"/>
              <w:sz w:val="14"/>
            </w:rPr>
            <w:fldChar w:fldCharType="end"/>
          </w:r>
        </w:p>
      </w:tc>
    </w:tr>
  </w:tbl>
  <w:p w:rsidR="00527B18" w:rsidRPr="00527B18" w:rsidRDefault="00527B18" w:rsidP="00527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18" w:rsidRDefault="00527B18">
    <w:pPr>
      <w:pStyle w:val="Footer"/>
    </w:pPr>
    <w:r>
      <w:rPr>
        <w:noProof/>
        <w:lang w:val="en-GB" w:eastAsia="en-GB"/>
      </w:rPr>
      <w:drawing>
        <wp:anchor distT="0" distB="0" distL="114300" distR="114300" simplePos="0" relativeHeight="251658240" behindDoc="0" locked="0" layoutInCell="1" allowOverlap="1" wp14:anchorId="6E4DB2C0" wp14:editId="35CF5BB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2015/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27B18" w:rsidTr="00527B18">
      <w:tc>
        <w:tcPr>
          <w:tcW w:w="3859" w:type="dxa"/>
        </w:tcPr>
        <w:p w:rsidR="00527B18" w:rsidRDefault="00527B18" w:rsidP="00527B1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D19C6">
            <w:rPr>
              <w:b w:val="0"/>
              <w:sz w:val="20"/>
            </w:rPr>
            <w:t>GE.15-14566 (F)</w:t>
          </w:r>
          <w:r>
            <w:rPr>
              <w:b w:val="0"/>
              <w:sz w:val="20"/>
            </w:rPr>
            <w:fldChar w:fldCharType="end"/>
          </w:r>
          <w:r>
            <w:rPr>
              <w:b w:val="0"/>
              <w:sz w:val="20"/>
            </w:rPr>
            <w:t xml:space="preserve">    291015    </w:t>
          </w:r>
          <w:r w:rsidR="001D46FB">
            <w:rPr>
              <w:b w:val="0"/>
              <w:sz w:val="20"/>
            </w:rPr>
            <w:t>30</w:t>
          </w:r>
          <w:r>
            <w:rPr>
              <w:b w:val="0"/>
              <w:sz w:val="20"/>
            </w:rPr>
            <w:t>1015</w:t>
          </w:r>
        </w:p>
        <w:p w:rsidR="00527B18" w:rsidRPr="00527B18" w:rsidRDefault="00527B18" w:rsidP="00527B1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D19C6">
            <w:rPr>
              <w:rFonts w:ascii="Barcode 3 of 9 by request" w:hAnsi="Barcode 3 of 9 by request"/>
              <w:b w:val="0"/>
              <w:spacing w:val="0"/>
              <w:w w:val="100"/>
              <w:sz w:val="24"/>
            </w:rPr>
            <w:t>*1514566*</w:t>
          </w:r>
          <w:r>
            <w:rPr>
              <w:rFonts w:ascii="Barcode 3 of 9 by request" w:hAnsi="Barcode 3 of 9 by request"/>
              <w:b w:val="0"/>
              <w:spacing w:val="0"/>
              <w:w w:val="100"/>
              <w:sz w:val="24"/>
            </w:rPr>
            <w:fldChar w:fldCharType="end"/>
          </w:r>
        </w:p>
      </w:tc>
      <w:tc>
        <w:tcPr>
          <w:tcW w:w="5127" w:type="dxa"/>
        </w:tcPr>
        <w:p w:rsidR="00527B18" w:rsidRDefault="00527B18" w:rsidP="00527B18">
          <w:pPr>
            <w:pStyle w:val="Footer"/>
            <w:spacing w:line="240" w:lineRule="atLeast"/>
            <w:jc w:val="right"/>
            <w:rPr>
              <w:b w:val="0"/>
              <w:sz w:val="20"/>
            </w:rPr>
          </w:pPr>
          <w:r>
            <w:rPr>
              <w:b w:val="0"/>
              <w:noProof/>
              <w:sz w:val="20"/>
              <w:lang w:val="en-GB" w:eastAsia="en-GB"/>
            </w:rPr>
            <w:drawing>
              <wp:inline distT="0" distB="0" distL="0" distR="0" wp14:anchorId="6EFE984E" wp14:editId="3825C8D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27B18" w:rsidRPr="00527B18" w:rsidRDefault="00527B18" w:rsidP="00527B1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DA" w:rsidRPr="00FD0F01" w:rsidRDefault="00FD0F01" w:rsidP="00FD0F01">
      <w:pPr>
        <w:pStyle w:val="Footer"/>
        <w:spacing w:after="80"/>
        <w:ind w:left="792"/>
        <w:rPr>
          <w:sz w:val="16"/>
        </w:rPr>
      </w:pPr>
      <w:r w:rsidRPr="00FD0F01">
        <w:rPr>
          <w:sz w:val="16"/>
        </w:rPr>
        <w:t>__________________</w:t>
      </w:r>
    </w:p>
  </w:footnote>
  <w:footnote w:type="continuationSeparator" w:id="0">
    <w:p w:rsidR="003D46DA" w:rsidRPr="00FD0F01" w:rsidRDefault="00FD0F01" w:rsidP="00FD0F01">
      <w:pPr>
        <w:pStyle w:val="Footer"/>
        <w:spacing w:after="80"/>
        <w:ind w:left="792"/>
        <w:rPr>
          <w:sz w:val="16"/>
        </w:rPr>
      </w:pPr>
      <w:r w:rsidRPr="00FD0F01">
        <w:rPr>
          <w:sz w:val="16"/>
        </w:rPr>
        <w:t>__________________</w:t>
      </w:r>
    </w:p>
  </w:footnote>
  <w:footnote w:id="1">
    <w:p w:rsidR="00FD0F01" w:rsidRPr="00FD0F01" w:rsidRDefault="00FD0F01" w:rsidP="00FD0F01">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6F4C3A">
        <w:rPr>
          <w:szCs w:val="17"/>
          <w:lang w:val="fr-FR"/>
        </w:rPr>
        <w:t>Conformément au programme de travail du Comité des transports intérieurs pour la période</w:t>
      </w:r>
      <w:r>
        <w:rPr>
          <w:szCs w:val="17"/>
          <w:lang w:val="fr-FR"/>
        </w:rPr>
        <w:t xml:space="preserve"> 2014-2015 (ECE/TRANS/240, par. 100 et</w:t>
      </w:r>
      <w:r w:rsidRPr="006F4C3A">
        <w:rPr>
          <w:szCs w:val="17"/>
          <w:lang w:val="fr-FR"/>
        </w:rPr>
        <w:t xml:space="preserve"> ECE/TRANS/2014/23, module 9, par.</w:t>
      </w:r>
      <w:r>
        <w:rPr>
          <w:szCs w:val="17"/>
          <w:lang w:val="fr-FR"/>
        </w:rPr>
        <w:t> </w:t>
      </w:r>
      <w:r w:rsidRPr="006F4C3A">
        <w:rPr>
          <w:szCs w:val="17"/>
          <w:lang w:val="fr-FR"/>
        </w:rPr>
        <w:t>9.1).</w:t>
      </w:r>
    </w:p>
  </w:footnote>
  <w:footnote w:id="2">
    <w:p w:rsidR="00AF00C1" w:rsidRPr="00AF00C1" w:rsidRDefault="00AF00C1" w:rsidP="00FD0F01">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AF00C1">
        <w:rPr>
          <w:lang w:val="fr-FR"/>
        </w:rPr>
        <w:t>L’ADR comporte des prescriptions relatives au matériel électronique et aux câbles électriques claires, qui sont pleinement applicables aux systèmes d’alimentation à gaz. Cependant, si les prescriptions relatives à la sécurité de la composante électrique sont jugées i</w:t>
      </w:r>
      <w:r>
        <w:rPr>
          <w:lang w:val="fr-FR"/>
        </w:rPr>
        <w:t>nsuffisantes dans le Règlement n</w:t>
      </w:r>
      <w:r w:rsidRPr="00AF00C1">
        <w:rPr>
          <w:vertAlign w:val="superscript"/>
          <w:lang w:val="fr-FR"/>
        </w:rPr>
        <w:t>o</w:t>
      </w:r>
      <w:r>
        <w:rPr>
          <w:lang w:val="fr-FR"/>
        </w:rPr>
        <w:t> </w:t>
      </w:r>
      <w:r w:rsidRPr="00AF00C1">
        <w:rPr>
          <w:lang w:val="fr-FR"/>
        </w:rPr>
        <w:t xml:space="preserve">110, il est possible de procéder à la façon des fournisseurs de moteurs diesel, qui proposent un </w:t>
      </w:r>
      <w:r>
        <w:rPr>
          <w:bCs/>
          <w:lang w:val="fr-FR"/>
        </w:rPr>
        <w:t>« </w:t>
      </w:r>
      <w:r w:rsidRPr="00AF00C1">
        <w:rPr>
          <w:bCs/>
          <w:lang w:val="fr-FR"/>
        </w:rPr>
        <w:t>module ADR</w:t>
      </w:r>
      <w:r>
        <w:rPr>
          <w:bCs/>
          <w:lang w:val="fr-FR"/>
        </w:rPr>
        <w:t> »</w:t>
      </w:r>
      <w:r w:rsidRPr="00AF00C1">
        <w:rPr>
          <w:bCs/>
          <w:lang w:val="fr-FR"/>
        </w:rPr>
        <w:t xml:space="preserve"> conçu en prévision de l’homologation dans le cadre de l’ADR</w:t>
      </w:r>
      <w:r w:rsidRPr="00AF00C1">
        <w:rPr>
          <w:lang w:val="fr-FR"/>
        </w:rPr>
        <w:t xml:space="preserve"> sans </w:t>
      </w:r>
      <w:r w:rsidRPr="00AF00C1">
        <w:rPr>
          <w:bCs/>
          <w:lang w:val="fr-FR"/>
        </w:rPr>
        <w:t>modification du moteur.</w:t>
      </w:r>
      <w:r w:rsidRPr="00AF00C1">
        <w:rPr>
          <w:lang w:val="fr-FR"/>
        </w:rPr>
        <w:t xml:space="preserve"> </w:t>
      </w:r>
      <w:r w:rsidRPr="00AF00C1">
        <w:rPr>
          <w:bCs/>
          <w:lang w:val="fr-FR"/>
        </w:rPr>
        <w:t>Pour ce qui est des composants électriques GNC et GPL,</w:t>
      </w:r>
      <w:r w:rsidRPr="00AF00C1">
        <w:rPr>
          <w:lang w:val="fr-FR"/>
        </w:rPr>
        <w:t xml:space="preserve"> le constructeur du véhicule ou l’installateur du système doit demander l’homologation par l’intermédiaire d’un organisme agréé</w:t>
      </w:r>
      <w:r w:rsidRPr="00AF00C1">
        <w:rPr>
          <w:bCs/>
          <w:lang w:val="fr-FR"/>
        </w:rPr>
        <w:t>.</w:t>
      </w:r>
      <w:r w:rsidRPr="00AF00C1">
        <w:rPr>
          <w:lang w:val="fr-FR"/>
        </w:rPr>
        <w:t xml:space="preserve"> Au niveau national, les autorités compétentes peuvent en dernier ressort mettre en œuvre les prescriptions de sécurité lors de l’homologation des véhicules</w:t>
      </w:r>
      <w:r w:rsidRPr="00AF00C1">
        <w:rPr>
          <w:bCs/>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27B18" w:rsidTr="00527B18">
      <w:trPr>
        <w:trHeight w:hRule="exact" w:val="864"/>
        <w:jc w:val="center"/>
      </w:trPr>
      <w:tc>
        <w:tcPr>
          <w:tcW w:w="4882" w:type="dxa"/>
          <w:shd w:val="clear" w:color="auto" w:fill="auto"/>
          <w:vAlign w:val="bottom"/>
        </w:tcPr>
        <w:p w:rsidR="00527B18" w:rsidRPr="00527B18" w:rsidRDefault="00527B18" w:rsidP="00527B1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D19C6">
            <w:rPr>
              <w:b/>
              <w:color w:val="000000"/>
            </w:rPr>
            <w:t>ECE/TRANS/WP.15/2015/16</w:t>
          </w:r>
          <w:r>
            <w:rPr>
              <w:b/>
              <w:color w:val="000000"/>
            </w:rPr>
            <w:fldChar w:fldCharType="end"/>
          </w:r>
        </w:p>
      </w:tc>
      <w:tc>
        <w:tcPr>
          <w:tcW w:w="5127" w:type="dxa"/>
          <w:shd w:val="clear" w:color="auto" w:fill="auto"/>
          <w:vAlign w:val="bottom"/>
        </w:tcPr>
        <w:p w:rsidR="00527B18" w:rsidRDefault="00527B18" w:rsidP="00527B18">
          <w:pPr>
            <w:pStyle w:val="Header"/>
          </w:pPr>
        </w:p>
      </w:tc>
    </w:tr>
  </w:tbl>
  <w:p w:rsidR="00527B18" w:rsidRPr="00527B18" w:rsidRDefault="00527B18" w:rsidP="00527B1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27B18" w:rsidTr="00527B18">
      <w:trPr>
        <w:trHeight w:hRule="exact" w:val="864"/>
        <w:jc w:val="center"/>
      </w:trPr>
      <w:tc>
        <w:tcPr>
          <w:tcW w:w="4882" w:type="dxa"/>
          <w:shd w:val="clear" w:color="auto" w:fill="auto"/>
          <w:vAlign w:val="bottom"/>
        </w:tcPr>
        <w:p w:rsidR="00527B18" w:rsidRDefault="00527B18" w:rsidP="00527B18">
          <w:pPr>
            <w:pStyle w:val="Header"/>
          </w:pPr>
        </w:p>
      </w:tc>
      <w:tc>
        <w:tcPr>
          <w:tcW w:w="5127" w:type="dxa"/>
          <w:shd w:val="clear" w:color="auto" w:fill="auto"/>
          <w:vAlign w:val="bottom"/>
        </w:tcPr>
        <w:p w:rsidR="00527B18" w:rsidRPr="00527B18" w:rsidRDefault="00527B18" w:rsidP="00527B1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D19C6">
            <w:rPr>
              <w:b/>
              <w:color w:val="000000"/>
            </w:rPr>
            <w:t>ECE/TRANS/WP.15/2015/16</w:t>
          </w:r>
          <w:r>
            <w:rPr>
              <w:b/>
              <w:color w:val="000000"/>
            </w:rPr>
            <w:fldChar w:fldCharType="end"/>
          </w:r>
        </w:p>
      </w:tc>
    </w:tr>
  </w:tbl>
  <w:p w:rsidR="00527B18" w:rsidRPr="00527B18" w:rsidRDefault="00527B18" w:rsidP="00527B1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27B18" w:rsidTr="00527B18">
      <w:trPr>
        <w:trHeight w:hRule="exact" w:val="864"/>
      </w:trPr>
      <w:tc>
        <w:tcPr>
          <w:tcW w:w="1267" w:type="dxa"/>
          <w:tcBorders>
            <w:bottom w:val="single" w:sz="4" w:space="0" w:color="auto"/>
          </w:tcBorders>
          <w:shd w:val="clear" w:color="auto" w:fill="auto"/>
          <w:vAlign w:val="bottom"/>
        </w:tcPr>
        <w:p w:rsidR="00527B18" w:rsidRDefault="00527B18" w:rsidP="00527B18">
          <w:pPr>
            <w:pStyle w:val="Header"/>
            <w:spacing w:after="120"/>
          </w:pPr>
        </w:p>
      </w:tc>
      <w:tc>
        <w:tcPr>
          <w:tcW w:w="2059" w:type="dxa"/>
          <w:tcBorders>
            <w:bottom w:val="single" w:sz="4" w:space="0" w:color="auto"/>
          </w:tcBorders>
          <w:shd w:val="clear" w:color="auto" w:fill="auto"/>
          <w:vAlign w:val="bottom"/>
        </w:tcPr>
        <w:p w:rsidR="00527B18" w:rsidRPr="00527B18" w:rsidRDefault="00527B18" w:rsidP="00527B1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27B18" w:rsidRDefault="00527B18" w:rsidP="00527B18">
          <w:pPr>
            <w:pStyle w:val="Header"/>
            <w:spacing w:after="120"/>
          </w:pPr>
        </w:p>
      </w:tc>
      <w:tc>
        <w:tcPr>
          <w:tcW w:w="6653" w:type="dxa"/>
          <w:gridSpan w:val="4"/>
          <w:tcBorders>
            <w:bottom w:val="single" w:sz="4" w:space="0" w:color="auto"/>
          </w:tcBorders>
          <w:shd w:val="clear" w:color="auto" w:fill="auto"/>
          <w:vAlign w:val="bottom"/>
        </w:tcPr>
        <w:p w:rsidR="00527B18" w:rsidRPr="00527B18" w:rsidRDefault="00527B18" w:rsidP="00527B18">
          <w:pPr>
            <w:spacing w:after="80" w:line="240" w:lineRule="auto"/>
            <w:jc w:val="right"/>
            <w:rPr>
              <w:position w:val="-4"/>
            </w:rPr>
          </w:pPr>
          <w:r>
            <w:rPr>
              <w:position w:val="-4"/>
              <w:sz w:val="40"/>
            </w:rPr>
            <w:t>ECE</w:t>
          </w:r>
          <w:r>
            <w:rPr>
              <w:position w:val="-4"/>
            </w:rPr>
            <w:t>/TRANS/WP.15/2015/16</w:t>
          </w:r>
        </w:p>
      </w:tc>
    </w:tr>
    <w:tr w:rsidR="00527B18" w:rsidRPr="00527B18" w:rsidTr="00527B18">
      <w:trPr>
        <w:gridAfter w:val="1"/>
        <w:wAfter w:w="18" w:type="dxa"/>
        <w:trHeight w:hRule="exact" w:val="2880"/>
      </w:trPr>
      <w:tc>
        <w:tcPr>
          <w:tcW w:w="1267" w:type="dxa"/>
          <w:tcBorders>
            <w:top w:val="single" w:sz="4" w:space="0" w:color="auto"/>
            <w:bottom w:val="single" w:sz="12" w:space="0" w:color="auto"/>
          </w:tcBorders>
          <w:shd w:val="clear" w:color="auto" w:fill="auto"/>
        </w:tcPr>
        <w:p w:rsidR="00527B18" w:rsidRPr="00527B18" w:rsidRDefault="00527B18" w:rsidP="0030066F">
          <w:pPr>
            <w:pStyle w:val="Header"/>
            <w:spacing w:before="120" w:line="240" w:lineRule="auto"/>
            <w:ind w:left="-72"/>
            <w:jc w:val="center"/>
          </w:pPr>
          <w:r>
            <w:rPr>
              <w:noProof/>
              <w:lang w:val="en-GB" w:eastAsia="en-GB"/>
            </w:rPr>
            <w:drawing>
              <wp:inline distT="0" distB="0" distL="0" distR="0" wp14:anchorId="60548BF8" wp14:editId="268A91C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27B18" w:rsidRPr="00527B18" w:rsidRDefault="00527B18" w:rsidP="00527B1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27B18" w:rsidRPr="00527B18" w:rsidRDefault="00527B18" w:rsidP="00527B18">
          <w:pPr>
            <w:pStyle w:val="Header"/>
            <w:spacing w:before="109"/>
          </w:pPr>
        </w:p>
      </w:tc>
      <w:tc>
        <w:tcPr>
          <w:tcW w:w="3280" w:type="dxa"/>
          <w:tcBorders>
            <w:top w:val="single" w:sz="4" w:space="0" w:color="auto"/>
            <w:bottom w:val="single" w:sz="12" w:space="0" w:color="auto"/>
          </w:tcBorders>
          <w:shd w:val="clear" w:color="auto" w:fill="auto"/>
        </w:tcPr>
        <w:p w:rsidR="00527B18" w:rsidRDefault="00527B18" w:rsidP="00527B18">
          <w:pPr>
            <w:pStyle w:val="Distribution"/>
            <w:rPr>
              <w:color w:val="000000"/>
            </w:rPr>
          </w:pPr>
          <w:r>
            <w:rPr>
              <w:color w:val="000000"/>
            </w:rPr>
            <w:t>Distr. générale</w:t>
          </w:r>
        </w:p>
        <w:p w:rsidR="00527B18" w:rsidRDefault="00527B18" w:rsidP="0030066F">
          <w:pPr>
            <w:pStyle w:val="Publication"/>
            <w:spacing w:line="240" w:lineRule="exact"/>
            <w:rPr>
              <w:color w:val="000000"/>
            </w:rPr>
          </w:pPr>
          <w:r>
            <w:rPr>
              <w:color w:val="000000"/>
            </w:rPr>
            <w:t>28 août 2015</w:t>
          </w:r>
        </w:p>
        <w:p w:rsidR="00527B18" w:rsidRDefault="00527B18" w:rsidP="0030066F">
          <w:pPr>
            <w:rPr>
              <w:lang w:val="en-US"/>
            </w:rPr>
          </w:pPr>
          <w:r>
            <w:rPr>
              <w:lang w:val="en-US"/>
            </w:rPr>
            <w:t>Français</w:t>
          </w:r>
        </w:p>
        <w:p w:rsidR="00527B18" w:rsidRPr="00527B18" w:rsidRDefault="00527B18" w:rsidP="0030066F">
          <w:pPr>
            <w:pStyle w:val="Original"/>
            <w:spacing w:line="240" w:lineRule="exact"/>
            <w:rPr>
              <w:color w:val="000000"/>
            </w:rPr>
          </w:pPr>
          <w:r>
            <w:rPr>
              <w:color w:val="000000"/>
            </w:rPr>
            <w:t>Original : anglais</w:t>
          </w:r>
        </w:p>
      </w:tc>
    </w:tr>
  </w:tbl>
  <w:p w:rsidR="00527B18" w:rsidRPr="00527B18" w:rsidRDefault="00527B18" w:rsidP="00527B1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AB7D51"/>
    <w:multiLevelType w:val="singleLevel"/>
    <w:tmpl w:val="969C48D4"/>
    <w:lvl w:ilvl="0">
      <w:start w:val="1"/>
      <w:numFmt w:val="decimal"/>
      <w:lvlRestart w:val="0"/>
      <w:lvlText w:val="%1."/>
      <w:lvlJc w:val="left"/>
      <w:pPr>
        <w:tabs>
          <w:tab w:val="num" w:pos="475"/>
        </w:tabs>
        <w:ind w:left="0" w:firstLine="0"/>
      </w:pPr>
      <w:rPr>
        <w:w w:val="100"/>
      </w:r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67F20"/>
    <w:multiLevelType w:val="hybridMultilevel"/>
    <w:tmpl w:val="ED14DA2E"/>
    <w:lvl w:ilvl="0" w:tplc="7862BD9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72A43E23"/>
    <w:multiLevelType w:val="singleLevel"/>
    <w:tmpl w:val="969C48D4"/>
    <w:lvl w:ilvl="0">
      <w:start w:val="1"/>
      <w:numFmt w:val="decimal"/>
      <w:lvlRestart w:val="0"/>
      <w:lvlText w:val="%1."/>
      <w:lvlJc w:val="left"/>
      <w:pPr>
        <w:tabs>
          <w:tab w:val="num" w:pos="475"/>
        </w:tabs>
        <w:ind w:left="0" w:firstLine="0"/>
      </w:pPr>
      <w:rPr>
        <w:w w:val="100"/>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566*"/>
    <w:docVar w:name="CreationDt" w:val="10/29/2015 2:51: PM"/>
    <w:docVar w:name="DocCategory" w:val="Doc"/>
    <w:docVar w:name="DocType" w:val="Final"/>
    <w:docVar w:name="DutyStation" w:val="Geneva"/>
    <w:docVar w:name="FooterJN" w:val="GE.15-14566"/>
    <w:docVar w:name="jobn" w:val="GE.15-14566 (F)"/>
    <w:docVar w:name="jobnDT" w:val="GE.15-14566 (F)   291015"/>
    <w:docVar w:name="jobnDTDT" w:val="GE.15-14566 (F)   291015   291015"/>
    <w:docVar w:name="JobNo" w:val="GE.1514566F"/>
    <w:docVar w:name="JobNo2" w:val="GE.1519485F"/>
    <w:docVar w:name="LocalDrive" w:val="0"/>
    <w:docVar w:name="OandT" w:val="M. Deschamps"/>
    <w:docVar w:name="PaperSize" w:val="A4"/>
    <w:docVar w:name="sss1" w:val="ECE/TRANS/WP.15/2015/16"/>
    <w:docVar w:name="sss2" w:val="-"/>
    <w:docVar w:name="Symbol1" w:val="ECE/TRANS/WP.15/2015/16"/>
    <w:docVar w:name="Symbol2" w:val="-"/>
  </w:docVars>
  <w:rsids>
    <w:rsidRoot w:val="003D46D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282"/>
    <w:rsid w:val="000643C1"/>
    <w:rsid w:val="000658A4"/>
    <w:rsid w:val="00065BD4"/>
    <w:rsid w:val="000675CF"/>
    <w:rsid w:val="00071173"/>
    <w:rsid w:val="0007246F"/>
    <w:rsid w:val="000746A5"/>
    <w:rsid w:val="00074EA0"/>
    <w:rsid w:val="000776CA"/>
    <w:rsid w:val="00077CC4"/>
    <w:rsid w:val="00082D87"/>
    <w:rsid w:val="00083D89"/>
    <w:rsid w:val="00085112"/>
    <w:rsid w:val="0008708F"/>
    <w:rsid w:val="00091BC1"/>
    <w:rsid w:val="00091DBD"/>
    <w:rsid w:val="00091E8F"/>
    <w:rsid w:val="00096B3C"/>
    <w:rsid w:val="000A18B6"/>
    <w:rsid w:val="000A24DE"/>
    <w:rsid w:val="000A2612"/>
    <w:rsid w:val="000A2DFB"/>
    <w:rsid w:val="000A3AB1"/>
    <w:rsid w:val="000A48A9"/>
    <w:rsid w:val="000A4A47"/>
    <w:rsid w:val="000A74D1"/>
    <w:rsid w:val="000B0E9A"/>
    <w:rsid w:val="000B1A18"/>
    <w:rsid w:val="000B2CD0"/>
    <w:rsid w:val="000B3ED4"/>
    <w:rsid w:val="000B5AF0"/>
    <w:rsid w:val="000B6B84"/>
    <w:rsid w:val="000B7004"/>
    <w:rsid w:val="000C037F"/>
    <w:rsid w:val="000C085A"/>
    <w:rsid w:val="000C349B"/>
    <w:rsid w:val="000C3947"/>
    <w:rsid w:val="000C683C"/>
    <w:rsid w:val="000D44E3"/>
    <w:rsid w:val="000D5D82"/>
    <w:rsid w:val="000D66AC"/>
    <w:rsid w:val="000D7ED4"/>
    <w:rsid w:val="000E1550"/>
    <w:rsid w:val="000E1ABE"/>
    <w:rsid w:val="000E6F35"/>
    <w:rsid w:val="000F04A8"/>
    <w:rsid w:val="000F1B8A"/>
    <w:rsid w:val="000F299A"/>
    <w:rsid w:val="000F36A0"/>
    <w:rsid w:val="000F53E9"/>
    <w:rsid w:val="000F6A05"/>
    <w:rsid w:val="000F6E7D"/>
    <w:rsid w:val="001027E2"/>
    <w:rsid w:val="0010575E"/>
    <w:rsid w:val="00106549"/>
    <w:rsid w:val="00107710"/>
    <w:rsid w:val="00107C97"/>
    <w:rsid w:val="00110242"/>
    <w:rsid w:val="00111357"/>
    <w:rsid w:val="0011255C"/>
    <w:rsid w:val="001126A7"/>
    <w:rsid w:val="00112FE9"/>
    <w:rsid w:val="0011497A"/>
    <w:rsid w:val="00114B31"/>
    <w:rsid w:val="001156F7"/>
    <w:rsid w:val="00116149"/>
    <w:rsid w:val="00120E2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2984"/>
    <w:rsid w:val="00183EBF"/>
    <w:rsid w:val="00186793"/>
    <w:rsid w:val="0019082C"/>
    <w:rsid w:val="00192D05"/>
    <w:rsid w:val="00193A8C"/>
    <w:rsid w:val="001972A8"/>
    <w:rsid w:val="001A2E2D"/>
    <w:rsid w:val="001A4BAA"/>
    <w:rsid w:val="001A4F4E"/>
    <w:rsid w:val="001A5D31"/>
    <w:rsid w:val="001A76F3"/>
    <w:rsid w:val="001B5583"/>
    <w:rsid w:val="001B5A24"/>
    <w:rsid w:val="001C0599"/>
    <w:rsid w:val="001C33B8"/>
    <w:rsid w:val="001C3C57"/>
    <w:rsid w:val="001C4664"/>
    <w:rsid w:val="001C4EBE"/>
    <w:rsid w:val="001C5B90"/>
    <w:rsid w:val="001D0E60"/>
    <w:rsid w:val="001D272D"/>
    <w:rsid w:val="001D280C"/>
    <w:rsid w:val="001D294E"/>
    <w:rsid w:val="001D46FB"/>
    <w:rsid w:val="001D688B"/>
    <w:rsid w:val="001E2D50"/>
    <w:rsid w:val="001E44F3"/>
    <w:rsid w:val="001E4E5A"/>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7542"/>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066F"/>
    <w:rsid w:val="00303A3C"/>
    <w:rsid w:val="00303D82"/>
    <w:rsid w:val="00303E4E"/>
    <w:rsid w:val="003047D2"/>
    <w:rsid w:val="00305994"/>
    <w:rsid w:val="00306DE1"/>
    <w:rsid w:val="0030788D"/>
    <w:rsid w:val="00313E8E"/>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72C"/>
    <w:rsid w:val="00355810"/>
    <w:rsid w:val="003559A7"/>
    <w:rsid w:val="0035691F"/>
    <w:rsid w:val="00356B67"/>
    <w:rsid w:val="003616BD"/>
    <w:rsid w:val="00362737"/>
    <w:rsid w:val="00362F57"/>
    <w:rsid w:val="003640A0"/>
    <w:rsid w:val="00365932"/>
    <w:rsid w:val="003738C0"/>
    <w:rsid w:val="003810FF"/>
    <w:rsid w:val="003824F9"/>
    <w:rsid w:val="00384511"/>
    <w:rsid w:val="00385BCD"/>
    <w:rsid w:val="00385D78"/>
    <w:rsid w:val="003864EE"/>
    <w:rsid w:val="00386559"/>
    <w:rsid w:val="00386953"/>
    <w:rsid w:val="003909DD"/>
    <w:rsid w:val="00391295"/>
    <w:rsid w:val="00391342"/>
    <w:rsid w:val="00392427"/>
    <w:rsid w:val="00392934"/>
    <w:rsid w:val="00393A67"/>
    <w:rsid w:val="00393C9F"/>
    <w:rsid w:val="003942F1"/>
    <w:rsid w:val="00395031"/>
    <w:rsid w:val="00395EB8"/>
    <w:rsid w:val="00396269"/>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8DD"/>
    <w:rsid w:val="003C6DDA"/>
    <w:rsid w:val="003C7AEA"/>
    <w:rsid w:val="003C7D21"/>
    <w:rsid w:val="003D15A3"/>
    <w:rsid w:val="003D35C1"/>
    <w:rsid w:val="003D46DA"/>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5E0B"/>
    <w:rsid w:val="00416293"/>
    <w:rsid w:val="00416C77"/>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307E"/>
    <w:rsid w:val="00487428"/>
    <w:rsid w:val="00491CD5"/>
    <w:rsid w:val="00492510"/>
    <w:rsid w:val="00492DC3"/>
    <w:rsid w:val="004973EC"/>
    <w:rsid w:val="004A0AA6"/>
    <w:rsid w:val="004A1763"/>
    <w:rsid w:val="004A186E"/>
    <w:rsid w:val="004A2319"/>
    <w:rsid w:val="004A2455"/>
    <w:rsid w:val="004A3ECC"/>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00B6"/>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3EFB"/>
    <w:rsid w:val="0052413A"/>
    <w:rsid w:val="00525A3D"/>
    <w:rsid w:val="00527615"/>
    <w:rsid w:val="00527B18"/>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20BD"/>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1B06"/>
    <w:rsid w:val="005E243D"/>
    <w:rsid w:val="005F12E0"/>
    <w:rsid w:val="005F2726"/>
    <w:rsid w:val="005F2A30"/>
    <w:rsid w:val="005F2FA6"/>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23B5"/>
    <w:rsid w:val="00683C7E"/>
    <w:rsid w:val="006853D8"/>
    <w:rsid w:val="006866E8"/>
    <w:rsid w:val="00687FB1"/>
    <w:rsid w:val="0069608C"/>
    <w:rsid w:val="00697952"/>
    <w:rsid w:val="006A04E6"/>
    <w:rsid w:val="006A0B3D"/>
    <w:rsid w:val="006A2F71"/>
    <w:rsid w:val="006A5910"/>
    <w:rsid w:val="006A7130"/>
    <w:rsid w:val="006B0518"/>
    <w:rsid w:val="006B1ABC"/>
    <w:rsid w:val="006B2CC8"/>
    <w:rsid w:val="006B38ED"/>
    <w:rsid w:val="006B490F"/>
    <w:rsid w:val="006B64BE"/>
    <w:rsid w:val="006B6669"/>
    <w:rsid w:val="006C1A92"/>
    <w:rsid w:val="006C3BDD"/>
    <w:rsid w:val="006C449D"/>
    <w:rsid w:val="006D0C9B"/>
    <w:rsid w:val="006D1115"/>
    <w:rsid w:val="006D138E"/>
    <w:rsid w:val="006D1ADC"/>
    <w:rsid w:val="006D1B76"/>
    <w:rsid w:val="006D5832"/>
    <w:rsid w:val="006E215F"/>
    <w:rsid w:val="006E3D5C"/>
    <w:rsid w:val="006E4078"/>
    <w:rsid w:val="006E4E12"/>
    <w:rsid w:val="006E4EFA"/>
    <w:rsid w:val="006E5649"/>
    <w:rsid w:val="006F2950"/>
    <w:rsid w:val="006F41DD"/>
    <w:rsid w:val="006F4C3A"/>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13B"/>
    <w:rsid w:val="00745376"/>
    <w:rsid w:val="0074587F"/>
    <w:rsid w:val="007476BA"/>
    <w:rsid w:val="00750AA2"/>
    <w:rsid w:val="00750C8F"/>
    <w:rsid w:val="0075110B"/>
    <w:rsid w:val="007517F6"/>
    <w:rsid w:val="007531C9"/>
    <w:rsid w:val="007537B8"/>
    <w:rsid w:val="00753C17"/>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CF6"/>
    <w:rsid w:val="00772EB1"/>
    <w:rsid w:val="0077309A"/>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1801"/>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4AB6"/>
    <w:rsid w:val="0082537E"/>
    <w:rsid w:val="00825C31"/>
    <w:rsid w:val="00831BD0"/>
    <w:rsid w:val="00833A79"/>
    <w:rsid w:val="00833BFF"/>
    <w:rsid w:val="00834978"/>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961"/>
    <w:rsid w:val="00891ADA"/>
    <w:rsid w:val="008962D4"/>
    <w:rsid w:val="008A1B00"/>
    <w:rsid w:val="008A3ABC"/>
    <w:rsid w:val="008A4C0E"/>
    <w:rsid w:val="008A5334"/>
    <w:rsid w:val="008A630B"/>
    <w:rsid w:val="008A734B"/>
    <w:rsid w:val="008B24ED"/>
    <w:rsid w:val="008B29A5"/>
    <w:rsid w:val="008B5932"/>
    <w:rsid w:val="008C1225"/>
    <w:rsid w:val="008C1646"/>
    <w:rsid w:val="008C189A"/>
    <w:rsid w:val="008C1E51"/>
    <w:rsid w:val="008C2C0E"/>
    <w:rsid w:val="008C3BE0"/>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3C5B"/>
    <w:rsid w:val="0090438E"/>
    <w:rsid w:val="0090704E"/>
    <w:rsid w:val="0091108F"/>
    <w:rsid w:val="009133F5"/>
    <w:rsid w:val="00914786"/>
    <w:rsid w:val="00915680"/>
    <w:rsid w:val="00915FB9"/>
    <w:rsid w:val="0091610E"/>
    <w:rsid w:val="00916373"/>
    <w:rsid w:val="00916548"/>
    <w:rsid w:val="00916A77"/>
    <w:rsid w:val="00921BE8"/>
    <w:rsid w:val="00922E3D"/>
    <w:rsid w:val="00924339"/>
    <w:rsid w:val="00926446"/>
    <w:rsid w:val="009316DC"/>
    <w:rsid w:val="00931752"/>
    <w:rsid w:val="00932FDF"/>
    <w:rsid w:val="00936529"/>
    <w:rsid w:val="00936BE2"/>
    <w:rsid w:val="00940B65"/>
    <w:rsid w:val="0094133A"/>
    <w:rsid w:val="0094148D"/>
    <w:rsid w:val="009419AD"/>
    <w:rsid w:val="00945C8B"/>
    <w:rsid w:val="009504DF"/>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8D9"/>
    <w:rsid w:val="009B0AF7"/>
    <w:rsid w:val="009B0BFB"/>
    <w:rsid w:val="009B35D7"/>
    <w:rsid w:val="009B4398"/>
    <w:rsid w:val="009B4EEC"/>
    <w:rsid w:val="009B6318"/>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3005"/>
    <w:rsid w:val="00A5424C"/>
    <w:rsid w:val="00A54A5E"/>
    <w:rsid w:val="00A55810"/>
    <w:rsid w:val="00A56CDD"/>
    <w:rsid w:val="00A56E3B"/>
    <w:rsid w:val="00A57C5A"/>
    <w:rsid w:val="00A64AD2"/>
    <w:rsid w:val="00A71FD7"/>
    <w:rsid w:val="00A72C1F"/>
    <w:rsid w:val="00A72F5E"/>
    <w:rsid w:val="00A75482"/>
    <w:rsid w:val="00A761B5"/>
    <w:rsid w:val="00A83E5E"/>
    <w:rsid w:val="00A84C12"/>
    <w:rsid w:val="00A85CA4"/>
    <w:rsid w:val="00A85D04"/>
    <w:rsid w:val="00A85DB4"/>
    <w:rsid w:val="00A86044"/>
    <w:rsid w:val="00A87626"/>
    <w:rsid w:val="00A90002"/>
    <w:rsid w:val="00A96709"/>
    <w:rsid w:val="00A97EBD"/>
    <w:rsid w:val="00AA260F"/>
    <w:rsid w:val="00AA4A0D"/>
    <w:rsid w:val="00AA5F19"/>
    <w:rsid w:val="00AA750A"/>
    <w:rsid w:val="00AB001C"/>
    <w:rsid w:val="00AB3782"/>
    <w:rsid w:val="00AB37EB"/>
    <w:rsid w:val="00AB39C5"/>
    <w:rsid w:val="00AB4438"/>
    <w:rsid w:val="00AB4466"/>
    <w:rsid w:val="00AB6814"/>
    <w:rsid w:val="00AB6863"/>
    <w:rsid w:val="00AB6BE3"/>
    <w:rsid w:val="00AB71F3"/>
    <w:rsid w:val="00AC0555"/>
    <w:rsid w:val="00AC625F"/>
    <w:rsid w:val="00AC67C3"/>
    <w:rsid w:val="00AC6CA3"/>
    <w:rsid w:val="00AC6DB5"/>
    <w:rsid w:val="00AC7F7C"/>
    <w:rsid w:val="00AD19C6"/>
    <w:rsid w:val="00AD3D04"/>
    <w:rsid w:val="00AD500D"/>
    <w:rsid w:val="00AD5623"/>
    <w:rsid w:val="00AD79C1"/>
    <w:rsid w:val="00AD7C27"/>
    <w:rsid w:val="00AE0DF0"/>
    <w:rsid w:val="00AE10E9"/>
    <w:rsid w:val="00AE11C7"/>
    <w:rsid w:val="00AE164F"/>
    <w:rsid w:val="00AE185B"/>
    <w:rsid w:val="00AE2D40"/>
    <w:rsid w:val="00AE73A1"/>
    <w:rsid w:val="00AE7F88"/>
    <w:rsid w:val="00AF00C1"/>
    <w:rsid w:val="00AF4648"/>
    <w:rsid w:val="00AF4DD3"/>
    <w:rsid w:val="00AF6B78"/>
    <w:rsid w:val="00B01631"/>
    <w:rsid w:val="00B01D80"/>
    <w:rsid w:val="00B05198"/>
    <w:rsid w:val="00B0544B"/>
    <w:rsid w:val="00B06747"/>
    <w:rsid w:val="00B06C4C"/>
    <w:rsid w:val="00B078C6"/>
    <w:rsid w:val="00B101D1"/>
    <w:rsid w:val="00B10BF5"/>
    <w:rsid w:val="00B145B5"/>
    <w:rsid w:val="00B152AC"/>
    <w:rsid w:val="00B16C8B"/>
    <w:rsid w:val="00B20969"/>
    <w:rsid w:val="00B214A9"/>
    <w:rsid w:val="00B22124"/>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478"/>
    <w:rsid w:val="00B71802"/>
    <w:rsid w:val="00B7200B"/>
    <w:rsid w:val="00B76414"/>
    <w:rsid w:val="00B77EB8"/>
    <w:rsid w:val="00B81A2A"/>
    <w:rsid w:val="00B84109"/>
    <w:rsid w:val="00B8552A"/>
    <w:rsid w:val="00B85BDA"/>
    <w:rsid w:val="00B870D6"/>
    <w:rsid w:val="00B874A9"/>
    <w:rsid w:val="00B932C8"/>
    <w:rsid w:val="00B93B31"/>
    <w:rsid w:val="00B9457F"/>
    <w:rsid w:val="00B965BF"/>
    <w:rsid w:val="00BA06B1"/>
    <w:rsid w:val="00BA2A46"/>
    <w:rsid w:val="00BA3125"/>
    <w:rsid w:val="00BA3654"/>
    <w:rsid w:val="00BA600B"/>
    <w:rsid w:val="00BB4917"/>
    <w:rsid w:val="00BC05C8"/>
    <w:rsid w:val="00BC0F9A"/>
    <w:rsid w:val="00BC1108"/>
    <w:rsid w:val="00BC3D5F"/>
    <w:rsid w:val="00BC43E2"/>
    <w:rsid w:val="00BC47D9"/>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A01"/>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2D4C"/>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13D"/>
    <w:rsid w:val="00C75F9C"/>
    <w:rsid w:val="00C76A5E"/>
    <w:rsid w:val="00C770FD"/>
    <w:rsid w:val="00C865D9"/>
    <w:rsid w:val="00C87110"/>
    <w:rsid w:val="00C90813"/>
    <w:rsid w:val="00C90C2B"/>
    <w:rsid w:val="00C9582B"/>
    <w:rsid w:val="00C978FA"/>
    <w:rsid w:val="00CA03C8"/>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59"/>
    <w:rsid w:val="00D03F61"/>
    <w:rsid w:val="00D047D6"/>
    <w:rsid w:val="00D047EE"/>
    <w:rsid w:val="00D12150"/>
    <w:rsid w:val="00D12CFB"/>
    <w:rsid w:val="00D1326C"/>
    <w:rsid w:val="00D1431B"/>
    <w:rsid w:val="00D14690"/>
    <w:rsid w:val="00D15BBA"/>
    <w:rsid w:val="00D16823"/>
    <w:rsid w:val="00D16F48"/>
    <w:rsid w:val="00D17215"/>
    <w:rsid w:val="00D21729"/>
    <w:rsid w:val="00D250AB"/>
    <w:rsid w:val="00D265B2"/>
    <w:rsid w:val="00D26BA6"/>
    <w:rsid w:val="00D27D4B"/>
    <w:rsid w:val="00D301BE"/>
    <w:rsid w:val="00D31A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67994"/>
    <w:rsid w:val="00D70856"/>
    <w:rsid w:val="00D73117"/>
    <w:rsid w:val="00D73D86"/>
    <w:rsid w:val="00D74CD5"/>
    <w:rsid w:val="00D7799D"/>
    <w:rsid w:val="00D8335C"/>
    <w:rsid w:val="00D9068D"/>
    <w:rsid w:val="00D90CF3"/>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1CA1"/>
    <w:rsid w:val="00DD309E"/>
    <w:rsid w:val="00DD3353"/>
    <w:rsid w:val="00DD7C73"/>
    <w:rsid w:val="00DE01B6"/>
    <w:rsid w:val="00DE1304"/>
    <w:rsid w:val="00DE1DD3"/>
    <w:rsid w:val="00DE1FBD"/>
    <w:rsid w:val="00DE4677"/>
    <w:rsid w:val="00DE64ED"/>
    <w:rsid w:val="00DF064D"/>
    <w:rsid w:val="00DF0CBF"/>
    <w:rsid w:val="00DF5407"/>
    <w:rsid w:val="00E003D9"/>
    <w:rsid w:val="00E00C20"/>
    <w:rsid w:val="00E028F6"/>
    <w:rsid w:val="00E036CD"/>
    <w:rsid w:val="00E0543E"/>
    <w:rsid w:val="00E0753F"/>
    <w:rsid w:val="00E10BF1"/>
    <w:rsid w:val="00E11B5C"/>
    <w:rsid w:val="00E13E2B"/>
    <w:rsid w:val="00E21CEA"/>
    <w:rsid w:val="00E22DB7"/>
    <w:rsid w:val="00E23C1B"/>
    <w:rsid w:val="00E24D2B"/>
    <w:rsid w:val="00E25DDC"/>
    <w:rsid w:val="00E345BF"/>
    <w:rsid w:val="00E34D59"/>
    <w:rsid w:val="00E35C78"/>
    <w:rsid w:val="00E372B5"/>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3D0E"/>
    <w:rsid w:val="00E74106"/>
    <w:rsid w:val="00E74864"/>
    <w:rsid w:val="00E754E8"/>
    <w:rsid w:val="00E75EF4"/>
    <w:rsid w:val="00E82FD8"/>
    <w:rsid w:val="00E834E7"/>
    <w:rsid w:val="00E83ABA"/>
    <w:rsid w:val="00E83E70"/>
    <w:rsid w:val="00E84192"/>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1CDB"/>
    <w:rsid w:val="00ED297E"/>
    <w:rsid w:val="00ED4626"/>
    <w:rsid w:val="00ED5B3C"/>
    <w:rsid w:val="00ED732D"/>
    <w:rsid w:val="00ED7BC4"/>
    <w:rsid w:val="00EE104D"/>
    <w:rsid w:val="00EE5F6D"/>
    <w:rsid w:val="00EE6FD7"/>
    <w:rsid w:val="00EF0701"/>
    <w:rsid w:val="00EF11F2"/>
    <w:rsid w:val="00EF236F"/>
    <w:rsid w:val="00EF3067"/>
    <w:rsid w:val="00F03AFB"/>
    <w:rsid w:val="00F03CB2"/>
    <w:rsid w:val="00F13DC7"/>
    <w:rsid w:val="00F14729"/>
    <w:rsid w:val="00F14ED7"/>
    <w:rsid w:val="00F150D6"/>
    <w:rsid w:val="00F16FFA"/>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1996"/>
    <w:rsid w:val="00F4328A"/>
    <w:rsid w:val="00F44706"/>
    <w:rsid w:val="00F44A91"/>
    <w:rsid w:val="00F45420"/>
    <w:rsid w:val="00F51EF7"/>
    <w:rsid w:val="00F5253C"/>
    <w:rsid w:val="00F52A72"/>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0F01"/>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27B18"/>
    <w:rPr>
      <w:sz w:val="16"/>
      <w:szCs w:val="16"/>
    </w:rPr>
  </w:style>
  <w:style w:type="paragraph" w:styleId="CommentText">
    <w:name w:val="annotation text"/>
    <w:basedOn w:val="Normal"/>
    <w:link w:val="CommentTextChar"/>
    <w:uiPriority w:val="99"/>
    <w:semiHidden/>
    <w:unhideWhenUsed/>
    <w:rsid w:val="00527B18"/>
    <w:pPr>
      <w:spacing w:line="240" w:lineRule="auto"/>
    </w:pPr>
    <w:rPr>
      <w:szCs w:val="20"/>
    </w:rPr>
  </w:style>
  <w:style w:type="character" w:customStyle="1" w:styleId="CommentTextChar">
    <w:name w:val="Comment Text Char"/>
    <w:basedOn w:val="DefaultParagraphFont"/>
    <w:link w:val="CommentText"/>
    <w:uiPriority w:val="99"/>
    <w:semiHidden/>
    <w:rsid w:val="00527B1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27B18"/>
    <w:rPr>
      <w:b/>
      <w:bCs/>
    </w:rPr>
  </w:style>
  <w:style w:type="character" w:customStyle="1" w:styleId="CommentSubjectChar">
    <w:name w:val="Comment Subject Char"/>
    <w:basedOn w:val="CommentTextChar"/>
    <w:link w:val="CommentSubject"/>
    <w:uiPriority w:val="99"/>
    <w:semiHidden/>
    <w:rsid w:val="00527B18"/>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27B18"/>
    <w:rPr>
      <w:sz w:val="16"/>
      <w:szCs w:val="16"/>
    </w:rPr>
  </w:style>
  <w:style w:type="paragraph" w:styleId="CommentText">
    <w:name w:val="annotation text"/>
    <w:basedOn w:val="Normal"/>
    <w:link w:val="CommentTextChar"/>
    <w:uiPriority w:val="99"/>
    <w:semiHidden/>
    <w:unhideWhenUsed/>
    <w:rsid w:val="00527B18"/>
    <w:pPr>
      <w:spacing w:line="240" w:lineRule="auto"/>
    </w:pPr>
    <w:rPr>
      <w:szCs w:val="20"/>
    </w:rPr>
  </w:style>
  <w:style w:type="character" w:customStyle="1" w:styleId="CommentTextChar">
    <w:name w:val="Comment Text Char"/>
    <w:basedOn w:val="DefaultParagraphFont"/>
    <w:link w:val="CommentText"/>
    <w:uiPriority w:val="99"/>
    <w:semiHidden/>
    <w:rsid w:val="00527B1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27B18"/>
    <w:rPr>
      <w:b/>
      <w:bCs/>
    </w:rPr>
  </w:style>
  <w:style w:type="character" w:customStyle="1" w:styleId="CommentSubjectChar">
    <w:name w:val="Comment Subject Char"/>
    <w:basedOn w:val="CommentTextChar"/>
    <w:link w:val="CommentSubject"/>
    <w:uiPriority w:val="99"/>
    <w:semiHidden/>
    <w:rsid w:val="00527B1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11870">
      <w:bodyDiv w:val="1"/>
      <w:marLeft w:val="0"/>
      <w:marRight w:val="0"/>
      <w:marTop w:val="0"/>
      <w:marBottom w:val="0"/>
      <w:divBdr>
        <w:top w:val="none" w:sz="0" w:space="0" w:color="auto"/>
        <w:left w:val="none" w:sz="0" w:space="0" w:color="auto"/>
        <w:bottom w:val="none" w:sz="0" w:space="0" w:color="auto"/>
        <w:right w:val="none" w:sz="0" w:space="0" w:color="auto"/>
      </w:divBdr>
    </w:div>
    <w:div w:id="1476096360">
      <w:bodyDiv w:val="1"/>
      <w:marLeft w:val="0"/>
      <w:marRight w:val="0"/>
      <w:marTop w:val="0"/>
      <w:marBottom w:val="0"/>
      <w:divBdr>
        <w:top w:val="none" w:sz="0" w:space="0" w:color="auto"/>
        <w:left w:val="none" w:sz="0" w:space="0" w:color="auto"/>
        <w:bottom w:val="none" w:sz="0" w:space="0" w:color="auto"/>
        <w:right w:val="none" w:sz="0" w:space="0" w:color="auto"/>
      </w:divBdr>
    </w:div>
    <w:div w:id="1730837076">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3C84-D737-46F3-905E-C6DBFE5D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barrio-champeau</cp:lastModifiedBy>
  <cp:revision>3</cp:revision>
  <cp:lastPrinted>2015-10-30T09:58:00Z</cp:lastPrinted>
  <dcterms:created xsi:type="dcterms:W3CDTF">2015-10-30T09:58:00Z</dcterms:created>
  <dcterms:modified xsi:type="dcterms:W3CDTF">2015-10-30T09:58:00Z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1514566F</vt:lpwstr>
  </property>
  <property fmtid="{D5CDD505-2E9C-101B-9397-08002B2CF9AE}" pid="3" name="ODSRefJobNo">
    <vt:lpwstr>1519485F</vt:lpwstr>
  </property>
  <property fmtid="{D5CDD505-2E9C-101B-9397-08002B2CF9AE}" pid="4" name="Symbol1">
    <vt:lpwstr>ECE/TRANS/WP.15/2015/16</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août 2015</vt:lpwstr>
  </property>
  <property fmtid="{D5CDD505-2E9C-101B-9397-08002B2CF9AE}" pid="12" name="Original">
    <vt:lpwstr>anglais</vt:lpwstr>
  </property>
  <property fmtid="{D5CDD505-2E9C-101B-9397-08002B2CF9AE}" pid="13" name="Release Date">
    <vt:lpwstr>291015</vt:lpwstr>
  </property>
</Properties>
</file>