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8926EF" w:rsidTr="007A3E4C">
        <w:trPr>
          <w:trHeight w:val="1276"/>
        </w:trPr>
        <w:tc>
          <w:tcPr>
            <w:tcW w:w="1259" w:type="dxa"/>
            <w:tcBorders>
              <w:top w:val="nil"/>
              <w:left w:val="nil"/>
              <w:bottom w:val="single" w:sz="4" w:space="0" w:color="auto"/>
              <w:right w:val="nil"/>
            </w:tcBorders>
            <w:shd w:val="clear" w:color="auto" w:fill="auto"/>
          </w:tcPr>
          <w:p w:rsidR="00446DE4" w:rsidRPr="00DA277B" w:rsidRDefault="00446DE4" w:rsidP="000216CC">
            <w:pPr>
              <w:spacing w:after="80" w:line="340" w:lineRule="exact"/>
              <w:rPr>
                <w:color w:val="000000"/>
                <w:lang w:val="en-US"/>
              </w:rPr>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DA277B" w:rsidRDefault="00446DE4" w:rsidP="000216CC">
            <w:pPr>
              <w:spacing w:after="80" w:line="340" w:lineRule="exact"/>
              <w:rPr>
                <w:color w:val="000000"/>
                <w:sz w:val="28"/>
                <w:szCs w:val="28"/>
                <w:lang w:val="en-US"/>
              </w:rPr>
            </w:pPr>
          </w:p>
        </w:tc>
        <w:tc>
          <w:tcPr>
            <w:tcW w:w="6144" w:type="dxa"/>
            <w:tcBorders>
              <w:top w:val="nil"/>
              <w:left w:val="nil"/>
              <w:bottom w:val="single" w:sz="4" w:space="0" w:color="auto"/>
              <w:right w:val="nil"/>
            </w:tcBorders>
            <w:shd w:val="clear" w:color="auto" w:fill="auto"/>
            <w:vAlign w:val="bottom"/>
          </w:tcPr>
          <w:p w:rsidR="00FC215C" w:rsidRPr="00D626F7" w:rsidRDefault="00FC215C" w:rsidP="00055FCC">
            <w:pPr>
              <w:ind w:right="0"/>
              <w:jc w:val="right"/>
              <w:rPr>
                <w:b/>
                <w:color w:val="000000"/>
                <w:sz w:val="40"/>
                <w:szCs w:val="40"/>
                <w:lang w:val="fr-CA"/>
              </w:rPr>
            </w:pPr>
            <w:r w:rsidRPr="00D626F7">
              <w:rPr>
                <w:b/>
                <w:color w:val="000000"/>
                <w:sz w:val="40"/>
                <w:szCs w:val="40"/>
                <w:lang w:val="fr-CA"/>
              </w:rPr>
              <w:t>UN/SCETDG/</w:t>
            </w:r>
            <w:r w:rsidR="001D4E70" w:rsidRPr="00D626F7">
              <w:rPr>
                <w:b/>
                <w:color w:val="000000"/>
                <w:sz w:val="40"/>
                <w:szCs w:val="40"/>
                <w:lang w:val="fr-CA"/>
              </w:rPr>
              <w:t>4</w:t>
            </w:r>
            <w:r w:rsidR="00D626F7" w:rsidRPr="00D626F7">
              <w:rPr>
                <w:b/>
                <w:color w:val="000000"/>
                <w:sz w:val="40"/>
                <w:szCs w:val="40"/>
                <w:lang w:val="fr-CA"/>
              </w:rPr>
              <w:t>8</w:t>
            </w:r>
            <w:r w:rsidRPr="00D626F7">
              <w:rPr>
                <w:b/>
                <w:color w:val="000000"/>
                <w:sz w:val="40"/>
                <w:szCs w:val="40"/>
                <w:lang w:val="fr-CA"/>
              </w:rPr>
              <w:t>/INF.</w:t>
            </w:r>
            <w:r w:rsidR="007A3E4C">
              <w:rPr>
                <w:b/>
                <w:color w:val="000000"/>
                <w:sz w:val="40"/>
                <w:szCs w:val="40"/>
                <w:lang w:val="fr-CA"/>
              </w:rPr>
              <w:t>62</w:t>
            </w:r>
          </w:p>
          <w:p w:rsidR="00FC215C" w:rsidRPr="00D626F7" w:rsidRDefault="00FC215C" w:rsidP="00055FCC">
            <w:pPr>
              <w:ind w:right="0"/>
              <w:jc w:val="right"/>
              <w:rPr>
                <w:b/>
                <w:color w:val="000000"/>
                <w:sz w:val="40"/>
                <w:szCs w:val="40"/>
                <w:lang w:val="fr-CA"/>
              </w:rPr>
            </w:pPr>
            <w:r w:rsidRPr="00D626F7">
              <w:rPr>
                <w:b/>
                <w:color w:val="000000"/>
                <w:sz w:val="40"/>
                <w:szCs w:val="40"/>
                <w:lang w:val="fr-CA"/>
              </w:rPr>
              <w:t>UN/SCEGHS/</w:t>
            </w:r>
            <w:r w:rsidR="00D626F7" w:rsidRPr="00D626F7">
              <w:rPr>
                <w:b/>
                <w:color w:val="000000"/>
                <w:sz w:val="40"/>
                <w:szCs w:val="40"/>
                <w:lang w:val="fr-CA"/>
              </w:rPr>
              <w:t>30</w:t>
            </w:r>
            <w:r w:rsidRPr="00D626F7">
              <w:rPr>
                <w:b/>
                <w:color w:val="000000"/>
                <w:sz w:val="40"/>
                <w:szCs w:val="40"/>
                <w:lang w:val="fr-CA"/>
              </w:rPr>
              <w:t>/INF.</w:t>
            </w:r>
            <w:r w:rsidR="007A3E4C">
              <w:rPr>
                <w:b/>
                <w:color w:val="000000"/>
                <w:sz w:val="40"/>
                <w:szCs w:val="40"/>
                <w:lang w:val="fr-CA"/>
              </w:rPr>
              <w:t>23</w:t>
            </w:r>
          </w:p>
          <w:p w:rsidR="000216CC" w:rsidRPr="00D626F7" w:rsidRDefault="000216CC" w:rsidP="00497711">
            <w:pPr>
              <w:jc w:val="right"/>
              <w:rPr>
                <w:color w:val="000000"/>
                <w:lang w:val="fr-CA"/>
              </w:rPr>
            </w:pPr>
          </w:p>
        </w:tc>
      </w:tr>
    </w:tbl>
    <w:p w:rsidR="000019B8" w:rsidRPr="00DA277B" w:rsidRDefault="000019B8" w:rsidP="000019B8">
      <w:pPr>
        <w:rPr>
          <w:vanish/>
          <w:color w:val="000000"/>
          <w:lang w:val="en-US"/>
        </w:rPr>
      </w:pPr>
    </w:p>
    <w:tbl>
      <w:tblPr>
        <w:tblW w:w="9645" w:type="dxa"/>
        <w:tblInd w:w="108" w:type="dxa"/>
        <w:tblLayout w:type="fixed"/>
        <w:tblLook w:val="04A0" w:firstRow="1" w:lastRow="0" w:firstColumn="1" w:lastColumn="0" w:noHBand="0" w:noVBand="1"/>
      </w:tblPr>
      <w:tblGrid>
        <w:gridCol w:w="4652"/>
        <w:gridCol w:w="4993"/>
      </w:tblGrid>
      <w:tr w:rsidR="00645A0B" w:rsidRPr="00DA277B" w:rsidTr="00165735">
        <w:tc>
          <w:tcPr>
            <w:tcW w:w="9645" w:type="dxa"/>
            <w:gridSpan w:val="2"/>
            <w:tcMar>
              <w:top w:w="142" w:type="dxa"/>
              <w:left w:w="108" w:type="dxa"/>
              <w:bottom w:w="142" w:type="dxa"/>
              <w:right w:w="108" w:type="dxa"/>
            </w:tcMar>
          </w:tcPr>
          <w:p w:rsidR="00645A0B" w:rsidRPr="00DA277B" w:rsidRDefault="00645A0B" w:rsidP="007A3E4C">
            <w:pPr>
              <w:tabs>
                <w:tab w:val="right" w:pos="9214"/>
              </w:tabs>
              <w:ind w:left="210" w:right="2982"/>
              <w:rPr>
                <w:color w:val="000000"/>
                <w:lang w:val="en-US"/>
              </w:rPr>
            </w:pPr>
            <w:r w:rsidRPr="00DA277B">
              <w:rPr>
                <w:b/>
                <w:color w:val="000000"/>
                <w:sz w:val="24"/>
                <w:szCs w:val="24"/>
                <w:lang w:val="en-US"/>
              </w:rPr>
              <w:t>Committee of Experts on the Transport of Dangerous Goods</w:t>
            </w:r>
            <w:r w:rsidRPr="00DA277B">
              <w:rPr>
                <w:b/>
                <w:color w:val="000000"/>
                <w:sz w:val="24"/>
                <w:szCs w:val="24"/>
                <w:lang w:val="en-US"/>
              </w:rPr>
              <w:tab/>
            </w:r>
            <w:r w:rsidRPr="00DA277B">
              <w:rPr>
                <w:b/>
                <w:color w:val="000000"/>
                <w:sz w:val="24"/>
                <w:szCs w:val="24"/>
                <w:lang w:val="en-US"/>
              </w:rPr>
              <w:br/>
              <w:t>and on the Globally Harmonized System of Classification</w:t>
            </w:r>
            <w:r w:rsidRPr="00DA277B">
              <w:rPr>
                <w:b/>
                <w:color w:val="000000"/>
                <w:sz w:val="24"/>
                <w:szCs w:val="24"/>
                <w:lang w:val="en-US"/>
              </w:rPr>
              <w:br/>
              <w:t>and Labelling of Chemicals</w:t>
            </w:r>
            <w:r w:rsidRPr="00DA277B">
              <w:rPr>
                <w:b/>
                <w:color w:val="000000"/>
                <w:lang w:val="en-US"/>
              </w:rPr>
              <w:tab/>
            </w:r>
            <w:r w:rsidR="007A3E4C">
              <w:rPr>
                <w:b/>
                <w:color w:val="000000"/>
                <w:lang w:val="en-US"/>
              </w:rPr>
              <w:t>4 December</w:t>
            </w:r>
            <w:r w:rsidR="00C348AE" w:rsidRPr="00DA277B">
              <w:rPr>
                <w:b/>
                <w:color w:val="000000"/>
                <w:lang w:val="en-US"/>
              </w:rPr>
              <w:t xml:space="preserve"> 2015</w:t>
            </w:r>
          </w:p>
        </w:tc>
      </w:tr>
      <w:tr w:rsidR="00D626F7" w:rsidRPr="00DA277B" w:rsidTr="00427BC9">
        <w:tc>
          <w:tcPr>
            <w:tcW w:w="4652" w:type="dxa"/>
            <w:tcMar>
              <w:top w:w="57" w:type="dxa"/>
              <w:left w:w="108" w:type="dxa"/>
              <w:bottom w:w="0" w:type="dxa"/>
              <w:right w:w="108" w:type="dxa"/>
            </w:tcMar>
          </w:tcPr>
          <w:p w:rsidR="00D626F7" w:rsidRPr="006D12B1" w:rsidRDefault="00D626F7" w:rsidP="00851388">
            <w:pPr>
              <w:spacing w:before="120" w:after="0"/>
              <w:ind w:left="210" w:right="57"/>
              <w:rPr>
                <w:b/>
              </w:rPr>
            </w:pPr>
            <w:r w:rsidRPr="006D12B1">
              <w:rPr>
                <w:b/>
              </w:rPr>
              <w:t xml:space="preserve">Sub-Committee of Experts on the Transport </w:t>
            </w:r>
            <w:r w:rsidRPr="006D12B1">
              <w:rPr>
                <w:b/>
              </w:rPr>
              <w:br/>
              <w:t xml:space="preserve">of Dangerous Goods </w:t>
            </w:r>
          </w:p>
        </w:tc>
        <w:tc>
          <w:tcPr>
            <w:tcW w:w="4993" w:type="dxa"/>
            <w:tcMar>
              <w:top w:w="57" w:type="dxa"/>
              <w:left w:w="108" w:type="dxa"/>
              <w:bottom w:w="0" w:type="dxa"/>
              <w:right w:w="108" w:type="dxa"/>
            </w:tcMar>
          </w:tcPr>
          <w:p w:rsidR="00D626F7" w:rsidRPr="006D12B1" w:rsidRDefault="00D626F7" w:rsidP="00851388">
            <w:pPr>
              <w:spacing w:before="120" w:after="0"/>
              <w:ind w:left="235" w:right="289"/>
              <w:rPr>
                <w:b/>
              </w:rPr>
            </w:pPr>
            <w:r w:rsidRPr="006D12B1">
              <w:rPr>
                <w:b/>
              </w:rPr>
              <w:t xml:space="preserve">Sub-Committee of Experts on the Globally Harmonized System of Classification and Labelling of Chemicals </w:t>
            </w:r>
          </w:p>
        </w:tc>
      </w:tr>
      <w:tr w:rsidR="00D626F7" w:rsidRPr="00DA277B" w:rsidTr="00165735">
        <w:tc>
          <w:tcPr>
            <w:tcW w:w="4652" w:type="dxa"/>
            <w:tcMar>
              <w:top w:w="57" w:type="dxa"/>
              <w:left w:w="108" w:type="dxa"/>
              <w:bottom w:w="0" w:type="dxa"/>
              <w:right w:w="108" w:type="dxa"/>
            </w:tcMar>
          </w:tcPr>
          <w:p w:rsidR="00D626F7" w:rsidRPr="006D12B1" w:rsidRDefault="00D626F7" w:rsidP="00851388">
            <w:pPr>
              <w:spacing w:after="0"/>
              <w:ind w:left="210" w:right="57"/>
              <w:rPr>
                <w:b/>
              </w:rPr>
            </w:pPr>
            <w:r>
              <w:rPr>
                <w:b/>
              </w:rPr>
              <w:t>Forty-eighth</w:t>
            </w:r>
            <w:r w:rsidRPr="006D12B1">
              <w:rPr>
                <w:b/>
              </w:rPr>
              <w:t xml:space="preserve"> session</w:t>
            </w:r>
          </w:p>
        </w:tc>
        <w:tc>
          <w:tcPr>
            <w:tcW w:w="4993" w:type="dxa"/>
            <w:tcMar>
              <w:top w:w="57" w:type="dxa"/>
              <w:left w:w="108" w:type="dxa"/>
              <w:bottom w:w="0" w:type="dxa"/>
              <w:right w:w="108" w:type="dxa"/>
            </w:tcMar>
          </w:tcPr>
          <w:p w:rsidR="00D626F7" w:rsidRPr="006D12B1" w:rsidRDefault="00D626F7" w:rsidP="00851388">
            <w:pPr>
              <w:spacing w:after="0"/>
              <w:ind w:left="235"/>
              <w:rPr>
                <w:b/>
              </w:rPr>
            </w:pPr>
            <w:r>
              <w:rPr>
                <w:b/>
              </w:rPr>
              <w:t>Thirtieth session</w:t>
            </w:r>
          </w:p>
        </w:tc>
      </w:tr>
      <w:tr w:rsidR="00D626F7" w:rsidRPr="00DA277B" w:rsidTr="00165735">
        <w:tc>
          <w:tcPr>
            <w:tcW w:w="4652" w:type="dxa"/>
            <w:tcMar>
              <w:top w:w="28" w:type="dxa"/>
              <w:left w:w="108" w:type="dxa"/>
              <w:bottom w:w="0" w:type="dxa"/>
              <w:right w:w="108" w:type="dxa"/>
            </w:tcMar>
          </w:tcPr>
          <w:p w:rsidR="00D626F7" w:rsidRPr="00976143" w:rsidRDefault="00D626F7" w:rsidP="00851388">
            <w:pPr>
              <w:spacing w:after="0"/>
              <w:ind w:left="210" w:right="57"/>
            </w:pPr>
            <w:r w:rsidRPr="00976143">
              <w:t xml:space="preserve">Geneva, </w:t>
            </w:r>
            <w:r>
              <w:t xml:space="preserve">30 November </w:t>
            </w:r>
            <w:r>
              <w:rPr>
                <w:rFonts w:ascii="Courier New" w:hAnsi="Courier New" w:cs="Courier New"/>
              </w:rPr>
              <w:t>–</w:t>
            </w:r>
            <w:r>
              <w:t xml:space="preserve"> 9 December 2015</w:t>
            </w:r>
          </w:p>
          <w:p w:rsidR="00D626F7" w:rsidRPr="00BB027F" w:rsidRDefault="00D626F7" w:rsidP="00851388">
            <w:pPr>
              <w:spacing w:after="0"/>
              <w:ind w:left="210" w:right="57"/>
            </w:pPr>
            <w:r w:rsidRPr="00BB027F">
              <w:t>Item</w:t>
            </w:r>
            <w:r w:rsidR="00036672">
              <w:t xml:space="preserve"> 3</w:t>
            </w:r>
            <w:r>
              <w:t xml:space="preserve"> </w:t>
            </w:r>
            <w:r w:rsidRPr="00BB027F">
              <w:t>of the provisional agenda</w:t>
            </w:r>
          </w:p>
          <w:p w:rsidR="00D626F7" w:rsidRPr="006B20F6" w:rsidRDefault="00036672" w:rsidP="00851388">
            <w:pPr>
              <w:spacing w:after="0"/>
              <w:ind w:left="210" w:right="57"/>
              <w:rPr>
                <w:b/>
              </w:rPr>
            </w:pPr>
            <w:r>
              <w:rPr>
                <w:b/>
              </w:rPr>
              <w:t>Listing, classification and packing</w:t>
            </w:r>
          </w:p>
        </w:tc>
        <w:tc>
          <w:tcPr>
            <w:tcW w:w="4993" w:type="dxa"/>
            <w:tcMar>
              <w:top w:w="28" w:type="dxa"/>
              <w:left w:w="108" w:type="dxa"/>
              <w:bottom w:w="0" w:type="dxa"/>
              <w:right w:w="108" w:type="dxa"/>
            </w:tcMar>
          </w:tcPr>
          <w:p w:rsidR="00D626F7" w:rsidRPr="00BB027F" w:rsidRDefault="00D626F7" w:rsidP="00851388">
            <w:pPr>
              <w:spacing w:after="0"/>
              <w:ind w:left="235"/>
            </w:pPr>
            <w:r>
              <w:t>Geneva, 9 – 11 December 2015</w:t>
            </w:r>
          </w:p>
          <w:p w:rsidR="00D626F7" w:rsidRPr="00BB027F" w:rsidRDefault="00D626F7" w:rsidP="00851388">
            <w:pPr>
              <w:spacing w:after="0"/>
              <w:ind w:left="235"/>
            </w:pPr>
            <w:r w:rsidRPr="00BB027F">
              <w:t xml:space="preserve">Item </w:t>
            </w:r>
            <w:r>
              <w:t>2</w:t>
            </w:r>
            <w:r w:rsidRPr="00BB027F">
              <w:t xml:space="preserve"> of the provisional agenda</w:t>
            </w:r>
          </w:p>
          <w:p w:rsidR="00D626F7" w:rsidRPr="006B20F6" w:rsidRDefault="00D626F7" w:rsidP="00851388">
            <w:pPr>
              <w:spacing w:after="0"/>
              <w:ind w:left="235"/>
              <w:rPr>
                <w:b/>
                <w:strike/>
              </w:rPr>
            </w:pPr>
            <w:r>
              <w:rPr>
                <w:b/>
              </w:rPr>
              <w:t>Joint work with the Sub-Committee of Experts on the Transport of Dangerous Goods (TDG Sub-Committee)</w:t>
            </w:r>
          </w:p>
        </w:tc>
      </w:tr>
    </w:tbl>
    <w:p w:rsidR="00D626F7" w:rsidRPr="00036672" w:rsidRDefault="00D626F7" w:rsidP="00D626F7">
      <w:pPr>
        <w:pStyle w:val="HChG"/>
        <w:keepNext w:val="0"/>
        <w:keepLines w:val="0"/>
        <w:spacing w:before="240"/>
        <w:ind w:left="851" w:firstLine="0"/>
        <w:rPr>
          <w:rFonts w:eastAsia="MS Mincho"/>
          <w:lang w:val="en-CA"/>
        </w:rPr>
      </w:pPr>
      <w:r>
        <w:rPr>
          <w:color w:val="000000"/>
          <w:lang w:val="en-US"/>
        </w:rPr>
        <w:tab/>
      </w:r>
      <w:r w:rsidR="00036672" w:rsidRPr="00036672">
        <w:rPr>
          <w:rFonts w:eastAsia="MS Mincho"/>
          <w:lang w:val="en-CA" w:eastAsia="ja-JP"/>
        </w:rPr>
        <w:t>Crude oil – classification and transport issues</w:t>
      </w:r>
    </w:p>
    <w:p w:rsidR="00D626F7" w:rsidRPr="00976143" w:rsidRDefault="00D626F7" w:rsidP="00D626F7">
      <w:pPr>
        <w:pStyle w:val="H1G"/>
      </w:pPr>
      <w:r>
        <w:tab/>
      </w:r>
      <w:r>
        <w:tab/>
      </w:r>
      <w:r w:rsidRPr="00976143">
        <w:t>Transmitted by the expert from Canada</w:t>
      </w:r>
    </w:p>
    <w:p w:rsidR="00D626F7" w:rsidRPr="00976143" w:rsidRDefault="00D626F7" w:rsidP="00D626F7">
      <w:pPr>
        <w:pStyle w:val="HChG"/>
        <w:rPr>
          <w:rFonts w:eastAsia="MS Mincho"/>
        </w:rPr>
      </w:pPr>
      <w:r>
        <w:tab/>
      </w:r>
      <w:r>
        <w:tab/>
        <w:t>Purpose</w:t>
      </w:r>
    </w:p>
    <w:p w:rsidR="00D626F7" w:rsidRDefault="00036672" w:rsidP="00036672">
      <w:pPr>
        <w:pStyle w:val="SingleTxtG"/>
        <w:numPr>
          <w:ilvl w:val="0"/>
          <w:numId w:val="21"/>
        </w:numPr>
        <w:ind w:left="1134" w:firstLine="0"/>
      </w:pPr>
      <w:r>
        <w:rPr>
          <w:lang w:val="en-CA"/>
        </w:rPr>
        <w:t xml:space="preserve">Following ST/SG/AC.10/C.3/2014/49, </w:t>
      </w:r>
      <w:r w:rsidR="008C74D4">
        <w:rPr>
          <w:lang w:val="en-CA"/>
        </w:rPr>
        <w:t>t</w:t>
      </w:r>
      <w:r w:rsidRPr="00036672">
        <w:rPr>
          <w:lang w:val="en-CA"/>
        </w:rPr>
        <w:t>o debrief the</w:t>
      </w:r>
      <w:r w:rsidR="00D626F7">
        <w:t xml:space="preserve"> UN Sub-Committee of Experts on the Transportation of Dangerous Goods (UNSCETDG)</w:t>
      </w:r>
      <w:r w:rsidRPr="00036672">
        <w:rPr>
          <w:lang w:val="en-CA"/>
        </w:rPr>
        <w:t xml:space="preserve"> and the </w:t>
      </w:r>
      <w:r>
        <w:rPr>
          <w:lang w:val="en-CA"/>
        </w:rPr>
        <w:t xml:space="preserve">UN Sub-Committee on the </w:t>
      </w:r>
      <w:r w:rsidRPr="00036672">
        <w:rPr>
          <w:lang w:val="en-CA"/>
        </w:rPr>
        <w:t>Globally Harmonized System of Classification and Labelling of Chemicals</w:t>
      </w:r>
      <w:r>
        <w:rPr>
          <w:lang w:val="en-CA"/>
        </w:rPr>
        <w:t xml:space="preserve"> (UNSCEGHS) on the finding</w:t>
      </w:r>
      <w:r w:rsidR="00B610E5">
        <w:rPr>
          <w:lang w:val="en-CA"/>
        </w:rPr>
        <w:t>s</w:t>
      </w:r>
      <w:r>
        <w:rPr>
          <w:lang w:val="en-CA"/>
        </w:rPr>
        <w:t xml:space="preserve"> from a focused sampling and testing </w:t>
      </w:r>
      <w:r w:rsidR="00B610E5">
        <w:rPr>
          <w:lang w:val="en-CA"/>
        </w:rPr>
        <w:t>study</w:t>
      </w:r>
      <w:r>
        <w:rPr>
          <w:lang w:val="en-CA"/>
        </w:rPr>
        <w:t xml:space="preserve"> to assess the composition and properties of crude oils transported by road and rail in Canada</w:t>
      </w:r>
      <w:r w:rsidR="00D626F7">
        <w:t>.</w:t>
      </w:r>
    </w:p>
    <w:p w:rsidR="00D626F7" w:rsidRPr="00976143" w:rsidRDefault="001D2518" w:rsidP="001D2518">
      <w:pPr>
        <w:pStyle w:val="HChG"/>
        <w:ind w:firstLine="0"/>
        <w:rPr>
          <w:rFonts w:eastAsia="MS Mincho"/>
        </w:rPr>
      </w:pPr>
      <w:r w:rsidRPr="001D2518">
        <w:rPr>
          <w:lang w:val="en-CA"/>
        </w:rPr>
        <w:t xml:space="preserve">Background and </w:t>
      </w:r>
      <w:r w:rsidR="00D626F7" w:rsidRPr="00976143">
        <w:t>Introduction</w:t>
      </w:r>
    </w:p>
    <w:p w:rsidR="001D2518" w:rsidRDefault="001D2518" w:rsidP="001D2518">
      <w:pPr>
        <w:pStyle w:val="SingleTxtG"/>
        <w:numPr>
          <w:ilvl w:val="0"/>
          <w:numId w:val="21"/>
        </w:numPr>
        <w:ind w:left="1134" w:firstLine="0"/>
      </w:pPr>
      <w:r>
        <w:t xml:space="preserve">North America has experienced a significant increase in crude oil supply, bolstered both by growing production in the Canadian oil sands and the recent expansion of shale oil and natural gas production in the United States of America and Canada.  </w:t>
      </w:r>
    </w:p>
    <w:p w:rsidR="001D2518" w:rsidRDefault="001D2518" w:rsidP="001D2518">
      <w:pPr>
        <w:pStyle w:val="SingleTxtG"/>
        <w:numPr>
          <w:ilvl w:val="0"/>
          <w:numId w:val="21"/>
        </w:numPr>
        <w:ind w:left="1134" w:firstLine="0"/>
      </w:pPr>
      <w:r>
        <w:t>North American shale oil has been mostly in geographic areas not linked to traditional crude oil or natural gas pipelines, resulting in an</w:t>
      </w:r>
      <w:r w:rsidR="00B610E5">
        <w:t xml:space="preserve"> increase in surface transport.</w:t>
      </w:r>
      <w:r>
        <w:t xml:space="preserve"> Surface</w:t>
      </w:r>
      <w:r w:rsidR="00B610E5" w:rsidRPr="00B610E5">
        <w:rPr>
          <w:lang w:val="en-CA"/>
        </w:rPr>
        <w:t xml:space="preserve"> (road and rail)</w:t>
      </w:r>
      <w:r>
        <w:t xml:space="preserve"> transport has also enabled crude transport to different refinery capacities situated across North America.</w:t>
      </w:r>
      <w:r w:rsidR="00B610E5" w:rsidRPr="00B610E5">
        <w:rPr>
          <w:lang w:val="en-CA"/>
        </w:rPr>
        <w:t xml:space="preserve"> </w:t>
      </w:r>
      <w:r w:rsidR="00B610E5">
        <w:rPr>
          <w:lang w:val="en-CA"/>
        </w:rPr>
        <w:t>T</w:t>
      </w:r>
      <w:r>
        <w:t xml:space="preserve">his crude </w:t>
      </w:r>
      <w:r w:rsidRPr="001D2518">
        <w:rPr>
          <w:lang w:val="en-CA"/>
        </w:rPr>
        <w:t xml:space="preserve">oil </w:t>
      </w:r>
      <w:r>
        <w:t xml:space="preserve">is </w:t>
      </w:r>
      <w:r w:rsidR="002C50D4" w:rsidRPr="002C50D4">
        <w:rPr>
          <w:lang w:val="en-CA"/>
        </w:rPr>
        <w:t>kn</w:t>
      </w:r>
      <w:r w:rsidR="002C50D4">
        <w:rPr>
          <w:lang w:val="en-CA"/>
        </w:rPr>
        <w:t>own</w:t>
      </w:r>
      <w:r>
        <w:t xml:space="preserve"> to contain significantly</w:t>
      </w:r>
      <w:r w:rsidR="00B610E5" w:rsidRPr="00B610E5">
        <w:rPr>
          <w:lang w:val="en-CA"/>
        </w:rPr>
        <w:t xml:space="preserve"> more</w:t>
      </w:r>
      <w:r>
        <w:t xml:space="preserve"> </w:t>
      </w:r>
      <w:r w:rsidRPr="001D2518">
        <w:rPr>
          <w:lang w:val="en-CA"/>
        </w:rPr>
        <w:t>volatile components</w:t>
      </w:r>
      <w:r>
        <w:t xml:space="preserve"> than what has been traditionally transported as UN 1267.</w:t>
      </w:r>
    </w:p>
    <w:p w:rsidR="001D2518" w:rsidRDefault="001D2518" w:rsidP="00036672">
      <w:pPr>
        <w:pStyle w:val="SingleTxtG"/>
        <w:numPr>
          <w:ilvl w:val="0"/>
          <w:numId w:val="21"/>
        </w:numPr>
        <w:ind w:left="1134" w:firstLine="0"/>
      </w:pPr>
      <w:r>
        <w:t xml:space="preserve">This </w:t>
      </w:r>
      <w:r w:rsidR="00B610E5" w:rsidRPr="00B610E5">
        <w:rPr>
          <w:lang w:val="en-CA"/>
        </w:rPr>
        <w:t>exponential</w:t>
      </w:r>
      <w:r>
        <w:t xml:space="preserve"> </w:t>
      </w:r>
      <w:r w:rsidR="00B610E5">
        <w:t>increase</w:t>
      </w:r>
      <w:r>
        <w:t xml:space="preserve"> in surface movement of crude oil has led authorities within Canada and the United States of America to carefully consider transport safety impacts as well as potential impacts to the environment. These efforts have been prioritized based on a series of major accidents across North America involving crude oil transport by rail</w:t>
      </w:r>
      <w:r w:rsidRPr="001D2518">
        <w:rPr>
          <w:lang w:val="en-CA"/>
        </w:rPr>
        <w:t xml:space="preserve"> – </w:t>
      </w:r>
      <w:r>
        <w:t xml:space="preserve">including a catastrophic incident that caused numerous fatalities and destroyed much of Lac </w:t>
      </w:r>
      <w:proofErr w:type="spellStart"/>
      <w:r>
        <w:t>Mégantic</w:t>
      </w:r>
      <w:proofErr w:type="spellEnd"/>
      <w:r>
        <w:t>, Quebec, in July 2013.</w:t>
      </w:r>
    </w:p>
    <w:p w:rsidR="00D626F7" w:rsidRPr="00036672" w:rsidRDefault="00036672" w:rsidP="00036672">
      <w:pPr>
        <w:pStyle w:val="SingleTxtG"/>
        <w:numPr>
          <w:ilvl w:val="0"/>
          <w:numId w:val="21"/>
        </w:numPr>
        <w:ind w:left="1134" w:firstLine="0"/>
      </w:pPr>
      <w:r w:rsidRPr="00036672">
        <w:lastRenderedPageBreak/>
        <w:t xml:space="preserve">The objective of the </w:t>
      </w:r>
      <w:r w:rsidRPr="00036672">
        <w:rPr>
          <w:lang w:val="en-CA"/>
        </w:rPr>
        <w:t xml:space="preserve">Canadian </w:t>
      </w:r>
      <w:r w:rsidRPr="00036672">
        <w:t xml:space="preserve">study was to verify the </w:t>
      </w:r>
      <w:r w:rsidR="001D2518" w:rsidRPr="001D2518">
        <w:rPr>
          <w:lang w:val="en-CA"/>
        </w:rPr>
        <w:t>application</w:t>
      </w:r>
      <w:r w:rsidRPr="00036672">
        <w:t xml:space="preserve"> of current classification requirements</w:t>
      </w:r>
      <w:r w:rsidR="00B610E5">
        <w:rPr>
          <w:lang w:val="en-CA"/>
        </w:rPr>
        <w:t xml:space="preserve"> </w:t>
      </w:r>
      <w:r w:rsidRPr="00036672">
        <w:t xml:space="preserve">as described in </w:t>
      </w:r>
      <w:r w:rsidR="001D2518" w:rsidRPr="001D2518">
        <w:rPr>
          <w:lang w:val="en-CA"/>
        </w:rPr>
        <w:t xml:space="preserve">the </w:t>
      </w:r>
      <w:r w:rsidRPr="00036672">
        <w:rPr>
          <w:lang w:val="en-CA"/>
        </w:rPr>
        <w:t>UN Model</w:t>
      </w:r>
      <w:r w:rsidRPr="00036672">
        <w:t xml:space="preserve"> Regulations for Class 3, Flammab</w:t>
      </w:r>
      <w:r w:rsidR="001D2518">
        <w:t>le liquids, and Class 2, Gases.</w:t>
      </w:r>
    </w:p>
    <w:p w:rsidR="00036672" w:rsidRDefault="00036672" w:rsidP="00036672">
      <w:pPr>
        <w:pStyle w:val="SingleTxtG"/>
        <w:numPr>
          <w:ilvl w:val="0"/>
          <w:numId w:val="21"/>
        </w:numPr>
        <w:ind w:left="1134" w:firstLine="0"/>
      </w:pPr>
      <w:r w:rsidRPr="00036672">
        <w:t>In total, 68 samples of crude oil destined for transport by rail or road</w:t>
      </w:r>
      <w:r w:rsidR="001D2518" w:rsidRPr="001D2518">
        <w:rPr>
          <w:lang w:val="en-CA"/>
        </w:rPr>
        <w:t xml:space="preserve"> in Canada</w:t>
      </w:r>
      <w:r w:rsidRPr="00036672">
        <w:rPr>
          <w:lang w:val="en-CA"/>
        </w:rPr>
        <w:t>,</w:t>
      </w:r>
      <w:r w:rsidRPr="00036672">
        <w:t xml:space="preserve"> representing a wide range of crude oils</w:t>
      </w:r>
      <w:r w:rsidRPr="00036672">
        <w:rPr>
          <w:lang w:val="en-CA"/>
        </w:rPr>
        <w:t>,</w:t>
      </w:r>
      <w:r w:rsidR="001D2518">
        <w:t xml:space="preserve"> were collected and anal</w:t>
      </w:r>
      <w:proofErr w:type="spellStart"/>
      <w:r w:rsidR="00635CD7">
        <w:rPr>
          <w:lang w:val="en-CA"/>
        </w:rPr>
        <w:t>ysed</w:t>
      </w:r>
      <w:proofErr w:type="spellEnd"/>
      <w:r w:rsidR="001D2518">
        <w:t>.</w:t>
      </w:r>
      <w:r w:rsidRPr="00036672">
        <w:t xml:space="preserve"> Some samples were taken under pressure to maintain their most volatile components, </w:t>
      </w:r>
      <w:proofErr w:type="spellStart"/>
      <w:r w:rsidRPr="00036672">
        <w:t>whil</w:t>
      </w:r>
      <w:r w:rsidR="000500B7" w:rsidRPr="000500B7">
        <w:rPr>
          <w:lang w:val="en-CA"/>
        </w:rPr>
        <w:t>st</w:t>
      </w:r>
      <w:proofErr w:type="spellEnd"/>
      <w:r w:rsidRPr="00036672">
        <w:t xml:space="preserve"> others were taken at atmospheric pressure for tests that do not require </w:t>
      </w:r>
      <w:r w:rsidR="000500B7" w:rsidRPr="000500B7">
        <w:rPr>
          <w:lang w:val="en-CA"/>
        </w:rPr>
        <w:t>pressurised</w:t>
      </w:r>
      <w:r w:rsidRPr="00036672">
        <w:t>, sealed samples, or when the crude oil was too viscous to sample under pressure.</w:t>
      </w:r>
    </w:p>
    <w:p w:rsidR="00AA4AE9" w:rsidRPr="00AA4AE9" w:rsidRDefault="00AA4AE9" w:rsidP="00AA4AE9">
      <w:pPr>
        <w:pStyle w:val="ListParagraph"/>
        <w:numPr>
          <w:ilvl w:val="0"/>
          <w:numId w:val="21"/>
        </w:numPr>
        <w:ind w:left="1134" w:firstLine="0"/>
      </w:pPr>
      <w:r w:rsidRPr="00AA4AE9">
        <w:t>The samples were tested to determine properties including</w:t>
      </w:r>
      <w:r w:rsidRPr="00AA4AE9">
        <w:rPr>
          <w:lang w:val="en-CA"/>
        </w:rPr>
        <w:t>,</w:t>
      </w:r>
      <w:r w:rsidRPr="00AA4AE9">
        <w:t xml:space="preserve"> but not limited to, Initial Boiling Point (IBP), Reid </w:t>
      </w:r>
      <w:proofErr w:type="spellStart"/>
      <w:r w:rsidRPr="00AA4AE9">
        <w:t>Vapor</w:t>
      </w:r>
      <w:proofErr w:type="spellEnd"/>
      <w:r w:rsidRPr="00AA4AE9">
        <w:t xml:space="preserve"> Pressure (RVP), True </w:t>
      </w:r>
      <w:proofErr w:type="spellStart"/>
      <w:r w:rsidRPr="00AA4AE9">
        <w:t>Vapor</w:t>
      </w:r>
      <w:proofErr w:type="spellEnd"/>
      <w:r w:rsidRPr="00AA4AE9">
        <w:t xml:space="preserve"> Pressure (TVP), compositional analysis, hydrogen sulphide (H2S) analysis in the </w:t>
      </w:r>
      <w:proofErr w:type="spellStart"/>
      <w:r w:rsidRPr="00AA4AE9">
        <w:t>vapor</w:t>
      </w:r>
      <w:proofErr w:type="spellEnd"/>
      <w:r w:rsidRPr="00AA4AE9">
        <w:t xml:space="preserve"> phase and flammability testing of the </w:t>
      </w:r>
      <w:proofErr w:type="spellStart"/>
      <w:r w:rsidRPr="00AA4AE9">
        <w:t>vapor</w:t>
      </w:r>
      <w:proofErr w:type="spellEnd"/>
      <w:r w:rsidRPr="00AA4AE9">
        <w:t xml:space="preserve"> phase.</w:t>
      </w:r>
      <w:r w:rsidRPr="00AA4AE9">
        <w:rPr>
          <w:lang w:val="en-CA"/>
        </w:rPr>
        <w:t xml:space="preserve"> </w:t>
      </w:r>
      <w:r>
        <w:rPr>
          <w:lang w:val="en-CA"/>
        </w:rPr>
        <w:t>A complete list of properties and test methods can be found in Annex A.</w:t>
      </w:r>
    </w:p>
    <w:p w:rsidR="00D626F7" w:rsidRPr="003D407D" w:rsidRDefault="003D407D" w:rsidP="00D626F7">
      <w:pPr>
        <w:pStyle w:val="HChG"/>
        <w:ind w:firstLine="0"/>
        <w:rPr>
          <w:szCs w:val="24"/>
          <w:lang w:val="en-CA"/>
        </w:rPr>
      </w:pPr>
      <w:r w:rsidRPr="003D407D">
        <w:rPr>
          <w:lang w:val="en-CA"/>
        </w:rPr>
        <w:t>Results and Discussion</w:t>
      </w:r>
    </w:p>
    <w:p w:rsidR="00D626F7" w:rsidRDefault="000500B7" w:rsidP="00D626F7">
      <w:pPr>
        <w:pStyle w:val="SingleTxtG"/>
        <w:jc w:val="left"/>
      </w:pPr>
      <w:r w:rsidRPr="003D407D">
        <w:rPr>
          <w:u w:val="single"/>
          <w:lang w:val="en-CA"/>
        </w:rPr>
        <w:t>Vapour Pressure</w:t>
      </w:r>
      <w:r w:rsidR="00D626F7">
        <w:tab/>
      </w:r>
    </w:p>
    <w:p w:rsidR="003F3E85" w:rsidRDefault="003F3E85" w:rsidP="000500B7">
      <w:pPr>
        <w:pStyle w:val="SingleTxtG"/>
        <w:numPr>
          <w:ilvl w:val="0"/>
          <w:numId w:val="21"/>
        </w:numPr>
        <w:ind w:left="1134" w:firstLine="0"/>
        <w:jc w:val="left"/>
        <w:rPr>
          <w:lang w:val="en-CA"/>
        </w:rPr>
      </w:pPr>
      <w:r>
        <w:rPr>
          <w:lang w:val="en-CA"/>
        </w:rPr>
        <w:t xml:space="preserve">Vapour pressure is </w:t>
      </w:r>
      <w:r w:rsidR="001D2518">
        <w:rPr>
          <w:lang w:val="en-CA"/>
        </w:rPr>
        <w:t xml:space="preserve">a key property in determining </w:t>
      </w:r>
      <w:r>
        <w:rPr>
          <w:lang w:val="en-CA"/>
        </w:rPr>
        <w:t xml:space="preserve">whether a substance meets the definition of a liquid or gas as per the UN classification criteria. </w:t>
      </w:r>
    </w:p>
    <w:p w:rsidR="003F3E85" w:rsidRDefault="003F3E85" w:rsidP="000500B7">
      <w:pPr>
        <w:pStyle w:val="SingleTxtG"/>
        <w:numPr>
          <w:ilvl w:val="0"/>
          <w:numId w:val="21"/>
        </w:numPr>
        <w:ind w:left="1134" w:firstLine="0"/>
        <w:jc w:val="left"/>
        <w:rPr>
          <w:lang w:val="en-CA"/>
        </w:rPr>
      </w:pPr>
      <w:r>
        <w:rPr>
          <w:lang w:val="en-CA"/>
        </w:rPr>
        <w:t>The UN Model Regulations define a liquid in Chapter 1.2:</w:t>
      </w:r>
    </w:p>
    <w:p w:rsidR="003F3E85" w:rsidRDefault="003F3E85" w:rsidP="003F3E85">
      <w:pPr>
        <w:pStyle w:val="SingleTxtG"/>
        <w:numPr>
          <w:ilvl w:val="1"/>
          <w:numId w:val="21"/>
        </w:numPr>
        <w:ind w:left="1843" w:firstLine="11"/>
        <w:jc w:val="left"/>
        <w:rPr>
          <w:lang w:val="en-CA"/>
        </w:rPr>
      </w:pPr>
      <w:r w:rsidRPr="003F3E85">
        <w:rPr>
          <w:lang w:val="en-CA"/>
        </w:rPr>
        <w:t xml:space="preserve">Liquid: means  a  dangerous  good  which  at  50°C  have a  vapour  pressure  of  not  more  than  300 </w:t>
      </w:r>
      <w:proofErr w:type="spellStart"/>
      <w:r w:rsidRPr="003F3E85">
        <w:rPr>
          <w:lang w:val="en-CA"/>
        </w:rPr>
        <w:t>kPa</w:t>
      </w:r>
      <w:proofErr w:type="spellEnd"/>
      <w:r w:rsidRPr="003F3E85">
        <w:rPr>
          <w:lang w:val="en-CA"/>
        </w:rPr>
        <w:t xml:space="preserve">  (3 bar), which is not completely gaseous at 20°C and at a pressure of 101.3 </w:t>
      </w:r>
      <w:proofErr w:type="spellStart"/>
      <w:r w:rsidRPr="003F3E85">
        <w:rPr>
          <w:lang w:val="en-CA"/>
        </w:rPr>
        <w:t>kPa</w:t>
      </w:r>
      <w:proofErr w:type="spellEnd"/>
      <w:r w:rsidRPr="003F3E85">
        <w:rPr>
          <w:lang w:val="en-CA"/>
        </w:rPr>
        <w:t xml:space="preserve">, and which has a melting point or initial  melting  point  of  20°C  or  less  at  a  pressure  of  101.3 </w:t>
      </w:r>
      <w:proofErr w:type="spellStart"/>
      <w:r w:rsidRPr="003F3E85">
        <w:rPr>
          <w:lang w:val="en-CA"/>
        </w:rPr>
        <w:t>kPa</w:t>
      </w:r>
      <w:proofErr w:type="spellEnd"/>
      <w:r w:rsidRPr="003F3E85">
        <w:rPr>
          <w:lang w:val="en-CA"/>
        </w:rPr>
        <w:t>.  A  viscous  substance  for  which  a specific melting  point  cannot  be  determined  shall  be  subjected  to  the  ASTM  D 4359-90 test;  or  to  the  test  for determining fluidity (penetrometer test) prescribed in section 2.3.4 of Annex A of the European Agreement concerning the International Carriage of Dangerous Goods by Road (ADR);</w:t>
      </w:r>
    </w:p>
    <w:p w:rsidR="003F3E85" w:rsidRDefault="003F3E85" w:rsidP="003F3E85">
      <w:pPr>
        <w:pStyle w:val="SingleTxtG"/>
        <w:numPr>
          <w:ilvl w:val="0"/>
          <w:numId w:val="21"/>
        </w:numPr>
        <w:jc w:val="left"/>
        <w:rPr>
          <w:lang w:val="en-CA"/>
        </w:rPr>
      </w:pPr>
      <w:r>
        <w:rPr>
          <w:lang w:val="en-CA"/>
        </w:rPr>
        <w:t>The UN Model Regulations define a gas in Chapter 2.2:</w:t>
      </w:r>
    </w:p>
    <w:p w:rsidR="003F3E85" w:rsidRDefault="003F3E85" w:rsidP="003F3E85">
      <w:pPr>
        <w:pStyle w:val="SingleTxtG"/>
        <w:ind w:left="1689"/>
        <w:jc w:val="left"/>
        <w:rPr>
          <w:i/>
          <w:lang w:val="en-CA"/>
        </w:rPr>
      </w:pPr>
      <w:r>
        <w:rPr>
          <w:i/>
          <w:lang w:val="en-CA"/>
        </w:rPr>
        <w:t>2.2.1.1</w:t>
      </w:r>
      <w:r>
        <w:rPr>
          <w:i/>
          <w:lang w:val="en-CA"/>
        </w:rPr>
        <w:tab/>
      </w:r>
      <w:r>
        <w:rPr>
          <w:i/>
          <w:lang w:val="en-CA"/>
        </w:rPr>
        <w:tab/>
        <w:t>A gas is a substance which:</w:t>
      </w:r>
    </w:p>
    <w:p w:rsidR="003F3E85" w:rsidRDefault="003F3E85" w:rsidP="003F3E85">
      <w:pPr>
        <w:pStyle w:val="SingleTxtG"/>
        <w:ind w:left="1689"/>
        <w:jc w:val="left"/>
        <w:rPr>
          <w:i/>
          <w:lang w:val="en-CA"/>
        </w:rPr>
      </w:pPr>
      <w:r>
        <w:rPr>
          <w:i/>
          <w:lang w:val="en-CA"/>
        </w:rPr>
        <w:tab/>
      </w:r>
      <w:r>
        <w:rPr>
          <w:i/>
          <w:lang w:val="en-CA"/>
        </w:rPr>
        <w:tab/>
      </w:r>
      <w:r>
        <w:rPr>
          <w:i/>
          <w:lang w:val="en-CA"/>
        </w:rPr>
        <w:tab/>
        <w:t xml:space="preserve">(a) At 50 </w:t>
      </w:r>
      <w:r>
        <w:rPr>
          <w:i/>
          <w:lang w:val="en-CA"/>
        </w:rPr>
        <w:sym w:font="Symbol" w:char="F0B0"/>
      </w:r>
      <w:r>
        <w:rPr>
          <w:i/>
          <w:lang w:val="en-CA"/>
        </w:rPr>
        <w:t xml:space="preserve">C has a vapour pressure greater than 300 </w:t>
      </w:r>
      <w:proofErr w:type="spellStart"/>
      <w:r>
        <w:rPr>
          <w:i/>
          <w:lang w:val="en-CA"/>
        </w:rPr>
        <w:t>kPa</w:t>
      </w:r>
      <w:proofErr w:type="spellEnd"/>
      <w:r>
        <w:rPr>
          <w:i/>
          <w:lang w:val="en-CA"/>
        </w:rPr>
        <w:t>; or</w:t>
      </w:r>
    </w:p>
    <w:p w:rsidR="003F3E85" w:rsidRPr="003F3E85" w:rsidRDefault="003F3E85" w:rsidP="003F3E85">
      <w:pPr>
        <w:pStyle w:val="SingleTxtG"/>
        <w:ind w:left="2835"/>
        <w:jc w:val="left"/>
        <w:rPr>
          <w:i/>
          <w:lang w:val="en-CA"/>
        </w:rPr>
      </w:pPr>
      <w:r>
        <w:rPr>
          <w:i/>
          <w:lang w:val="en-CA"/>
        </w:rPr>
        <w:tab/>
        <w:t>(</w:t>
      </w:r>
      <w:proofErr w:type="gramStart"/>
      <w:r>
        <w:rPr>
          <w:i/>
          <w:lang w:val="en-CA"/>
        </w:rPr>
        <w:t>b</w:t>
      </w:r>
      <w:proofErr w:type="gramEnd"/>
      <w:r>
        <w:rPr>
          <w:i/>
          <w:lang w:val="en-CA"/>
        </w:rPr>
        <w:t xml:space="preserve">) Is completely gaseous at 20 </w:t>
      </w:r>
      <w:r>
        <w:rPr>
          <w:i/>
          <w:lang w:val="en-CA"/>
        </w:rPr>
        <w:sym w:font="Symbol" w:char="F0B0"/>
      </w:r>
      <w:r>
        <w:rPr>
          <w:i/>
          <w:lang w:val="en-CA"/>
        </w:rPr>
        <w:t xml:space="preserve">C at a standard pressure of 101.3 </w:t>
      </w:r>
      <w:proofErr w:type="spellStart"/>
      <w:r>
        <w:rPr>
          <w:i/>
          <w:lang w:val="en-CA"/>
        </w:rPr>
        <w:t>kPa</w:t>
      </w:r>
      <w:proofErr w:type="spellEnd"/>
      <w:r>
        <w:rPr>
          <w:i/>
          <w:lang w:val="en-CA"/>
        </w:rPr>
        <w:t>.</w:t>
      </w:r>
    </w:p>
    <w:p w:rsidR="009B19F1" w:rsidRDefault="009B19F1" w:rsidP="009B19F1">
      <w:pPr>
        <w:pStyle w:val="SingleTxtG"/>
        <w:numPr>
          <w:ilvl w:val="0"/>
          <w:numId w:val="21"/>
        </w:numPr>
        <w:ind w:left="1134" w:firstLine="0"/>
        <w:jc w:val="left"/>
        <w:rPr>
          <w:lang w:val="en-CA"/>
        </w:rPr>
      </w:pPr>
      <w:r w:rsidRPr="009B19F1">
        <w:rPr>
          <w:lang w:val="en-CA"/>
        </w:rPr>
        <w:t>True Vapor Pressure (TVP)</w:t>
      </w:r>
      <w:r w:rsidR="001D2518">
        <w:rPr>
          <w:rStyle w:val="FootnoteReference"/>
          <w:lang w:val="en-CA"/>
        </w:rPr>
        <w:footnoteReference w:id="2"/>
      </w:r>
      <w:r>
        <w:rPr>
          <w:lang w:val="en-CA"/>
        </w:rPr>
        <w:t xml:space="preserve"> is </w:t>
      </w:r>
      <w:r w:rsidR="001D2518">
        <w:rPr>
          <w:lang w:val="en-CA"/>
        </w:rPr>
        <w:t>explained as</w:t>
      </w:r>
      <w:r>
        <w:rPr>
          <w:lang w:val="en-CA"/>
        </w:rPr>
        <w:t xml:space="preserve"> the</w:t>
      </w:r>
      <w:r w:rsidRPr="009B19F1">
        <w:rPr>
          <w:lang w:val="en-CA"/>
        </w:rPr>
        <w:t xml:space="preserve"> vapor pressure exerted by both the liquid crude oil and the gases contained within, at a specific temperature and vapor/liquid (V/L) ratio.</w:t>
      </w:r>
    </w:p>
    <w:p w:rsidR="009B19F1" w:rsidRPr="009B19F1" w:rsidRDefault="009B19F1" w:rsidP="009B19F1">
      <w:pPr>
        <w:pStyle w:val="SingleTxtG"/>
        <w:numPr>
          <w:ilvl w:val="0"/>
          <w:numId w:val="21"/>
        </w:numPr>
        <w:ind w:left="1134" w:firstLine="0"/>
        <w:jc w:val="left"/>
        <w:rPr>
          <w:lang w:val="en-CA"/>
        </w:rPr>
      </w:pPr>
      <w:r w:rsidRPr="009B19F1">
        <w:rPr>
          <w:lang w:val="en-CA"/>
        </w:rPr>
        <w:t>Reid Vapor Pressure (RVP)</w:t>
      </w:r>
      <w:r w:rsidR="001D2518">
        <w:rPr>
          <w:rStyle w:val="FootnoteReference"/>
          <w:lang w:val="en-CA"/>
        </w:rPr>
        <w:footnoteReference w:id="3"/>
      </w:r>
      <w:r>
        <w:rPr>
          <w:lang w:val="en-CA"/>
        </w:rPr>
        <w:t xml:space="preserve"> is </w:t>
      </w:r>
      <w:r w:rsidR="001D2518">
        <w:rPr>
          <w:lang w:val="en-CA"/>
        </w:rPr>
        <w:t>explained</w:t>
      </w:r>
      <w:r>
        <w:rPr>
          <w:lang w:val="en-CA"/>
        </w:rPr>
        <w:t xml:space="preserve"> as the</w:t>
      </w:r>
      <w:r w:rsidRPr="009B19F1">
        <w:rPr>
          <w:lang w:val="en-CA"/>
        </w:rPr>
        <w:t xml:space="preserve"> vapor pressure exerted by the liquid crude oil at a V/L of 4:</w:t>
      </w:r>
      <w:r>
        <w:rPr>
          <w:lang w:val="en-CA"/>
        </w:rPr>
        <w:t xml:space="preserve">1 at 37.8 </w:t>
      </w:r>
      <w:r>
        <w:rPr>
          <w:lang w:val="en-CA"/>
        </w:rPr>
        <w:sym w:font="Symbol" w:char="F0B0"/>
      </w:r>
      <w:r w:rsidRPr="009B19F1">
        <w:rPr>
          <w:lang w:val="en-CA"/>
        </w:rPr>
        <w:t>C.</w:t>
      </w:r>
    </w:p>
    <w:p w:rsidR="003F3E85" w:rsidRPr="00D728BE" w:rsidRDefault="000500B7" w:rsidP="000500B7">
      <w:pPr>
        <w:pStyle w:val="SingleTxtG"/>
        <w:numPr>
          <w:ilvl w:val="0"/>
          <w:numId w:val="21"/>
        </w:numPr>
        <w:ind w:left="1134" w:firstLine="0"/>
        <w:jc w:val="left"/>
        <w:rPr>
          <w:lang w:val="en-CA"/>
        </w:rPr>
      </w:pPr>
      <w:r w:rsidRPr="000500B7">
        <w:lastRenderedPageBreak/>
        <w:t xml:space="preserve">Vapour pressures found using the TVP testing method indicated that most of the crude oils </w:t>
      </w:r>
      <w:r w:rsidR="003F3E85" w:rsidRPr="003F3E85">
        <w:rPr>
          <w:lang w:val="en-CA"/>
        </w:rPr>
        <w:t xml:space="preserve">sampled </w:t>
      </w:r>
      <w:r w:rsidRPr="000500B7">
        <w:t xml:space="preserve">would boil at the testing temperature </w:t>
      </w:r>
      <w:r w:rsidR="00AA4AE9">
        <w:t>of 50</w:t>
      </w:r>
      <w:r w:rsidR="00AA4AE9" w:rsidRPr="00AA4AE9">
        <w:rPr>
          <w:lang w:val="en-CA"/>
        </w:rPr>
        <w:t xml:space="preserve"> </w:t>
      </w:r>
      <w:r w:rsidR="00AA4AE9">
        <w:sym w:font="Symbol" w:char="F0B0"/>
      </w:r>
      <w:r w:rsidRPr="000500B7">
        <w:t>C if those crude oils were exposed to the atmosphere</w:t>
      </w:r>
      <w:r w:rsidR="003F3E85" w:rsidRPr="003F3E85">
        <w:rPr>
          <w:lang w:val="en-CA"/>
        </w:rPr>
        <w:t xml:space="preserve"> (their TVP is greater than </w:t>
      </w:r>
      <w:r w:rsidR="00055FCC">
        <w:rPr>
          <w:lang w:val="en-CA"/>
        </w:rPr>
        <w:t>101.3</w:t>
      </w:r>
      <w:r w:rsidR="003F3E85" w:rsidRPr="003F3E85">
        <w:rPr>
          <w:lang w:val="en-CA"/>
        </w:rPr>
        <w:t xml:space="preserve"> </w:t>
      </w:r>
      <w:proofErr w:type="spellStart"/>
      <w:r w:rsidR="003F3E85" w:rsidRPr="003F3E85">
        <w:rPr>
          <w:lang w:val="en-CA"/>
        </w:rPr>
        <w:t>kPa</w:t>
      </w:r>
      <w:proofErr w:type="spellEnd"/>
      <w:r w:rsidR="003F3E85" w:rsidRPr="003F3E85">
        <w:rPr>
          <w:lang w:val="en-CA"/>
        </w:rPr>
        <w:t xml:space="preserve"> at 50 </w:t>
      </w:r>
      <w:r w:rsidR="003F3E85">
        <w:rPr>
          <w:lang w:val="en-CA"/>
        </w:rPr>
        <w:sym w:font="Symbol" w:char="F0B0"/>
      </w:r>
      <w:r w:rsidR="003F3E85">
        <w:rPr>
          <w:lang w:val="en-CA"/>
        </w:rPr>
        <w:t>C)</w:t>
      </w:r>
      <w:r w:rsidR="00D728BE">
        <w:t>.</w:t>
      </w:r>
    </w:p>
    <w:p w:rsidR="00D728BE" w:rsidRPr="003F3E85" w:rsidRDefault="001D2518" w:rsidP="000500B7">
      <w:pPr>
        <w:pStyle w:val="SingleTxtG"/>
        <w:numPr>
          <w:ilvl w:val="0"/>
          <w:numId w:val="21"/>
        </w:numPr>
        <w:ind w:left="1134" w:firstLine="0"/>
        <w:jc w:val="left"/>
        <w:rPr>
          <w:lang w:val="en-CA"/>
        </w:rPr>
      </w:pPr>
      <w:r>
        <w:rPr>
          <w:lang w:val="en-CA"/>
        </w:rPr>
        <w:t>O</w:t>
      </w:r>
      <w:r w:rsidR="00D728BE">
        <w:rPr>
          <w:lang w:val="en-CA"/>
        </w:rPr>
        <w:t>ne sample collected met the definition of a Class 2.1 – Flammable Gas based on its vapour pressure and flammability test results.</w:t>
      </w:r>
    </w:p>
    <w:p w:rsidR="003F3E85" w:rsidRPr="001A2005" w:rsidRDefault="000500B7" w:rsidP="000500B7">
      <w:pPr>
        <w:pStyle w:val="SingleTxtG"/>
        <w:numPr>
          <w:ilvl w:val="0"/>
          <w:numId w:val="21"/>
        </w:numPr>
        <w:ind w:left="1134" w:firstLine="0"/>
        <w:jc w:val="left"/>
        <w:rPr>
          <w:lang w:val="en-CA"/>
        </w:rPr>
      </w:pPr>
      <w:r w:rsidRPr="000500B7">
        <w:t xml:space="preserve">The TVP values </w:t>
      </w:r>
      <w:r w:rsidR="003F3E85" w:rsidRPr="003F3E85">
        <w:rPr>
          <w:lang w:val="en-CA"/>
        </w:rPr>
        <w:t xml:space="preserve">obtained are </w:t>
      </w:r>
      <w:r w:rsidR="003F3E85">
        <w:t>higher than the RVP</w:t>
      </w:r>
      <w:r w:rsidRPr="000500B7">
        <w:t xml:space="preserve"> values for the crude oil samples tested by both methods.  </w:t>
      </w:r>
      <w:r w:rsidR="003F3E85" w:rsidRPr="003F3E85">
        <w:rPr>
          <w:lang w:val="en-CA"/>
        </w:rPr>
        <w:t>D</w:t>
      </w:r>
      <w:r w:rsidR="003F3E85">
        <w:rPr>
          <w:lang w:val="en-CA"/>
        </w:rPr>
        <w:t>uring</w:t>
      </w:r>
      <w:r w:rsidRPr="000500B7">
        <w:t xml:space="preserve"> a TVP test, the volatile components stay in the sample during both sampling and the analysis and contribute to the pressure readi</w:t>
      </w:r>
      <w:r w:rsidR="009B19F1">
        <w:t xml:space="preserve">ng. </w:t>
      </w:r>
      <w:r w:rsidR="003F3E85">
        <w:t>This is not the case for a</w:t>
      </w:r>
      <w:r w:rsidRPr="000500B7">
        <w:t xml:space="preserve"> RVP test: both sampling and handling generally allow th</w:t>
      </w:r>
      <w:r w:rsidR="003F3E85">
        <w:t xml:space="preserve">e volatile components to escape; their </w:t>
      </w:r>
      <w:r w:rsidR="003F3E85" w:rsidRPr="003F3E85">
        <w:rPr>
          <w:lang w:val="en-CA"/>
        </w:rPr>
        <w:t>hazards</w:t>
      </w:r>
      <w:r w:rsidR="003F3E85">
        <w:t xml:space="preserve"> are not captured during testing but are present in </w:t>
      </w:r>
      <w:r w:rsidR="009B19F1" w:rsidRPr="009B19F1">
        <w:rPr>
          <w:lang w:val="en-CA"/>
        </w:rPr>
        <w:t>transport</w:t>
      </w:r>
      <w:r w:rsidR="003F3E85">
        <w:t>.</w:t>
      </w:r>
    </w:p>
    <w:p w:rsidR="00494BF8" w:rsidRPr="00494BF8" w:rsidRDefault="00494BF8" w:rsidP="00494BF8">
      <w:pPr>
        <w:rPr>
          <w:u w:val="single"/>
          <w:lang w:val="en-CA"/>
        </w:rPr>
      </w:pPr>
      <w:r w:rsidRPr="00494BF8">
        <w:rPr>
          <w:u w:val="single"/>
          <w:lang w:val="en-CA"/>
        </w:rPr>
        <w:t>Initial Boiling Point</w:t>
      </w:r>
    </w:p>
    <w:p w:rsidR="009B19F1" w:rsidRDefault="00494BF8" w:rsidP="00494BF8">
      <w:pPr>
        <w:pStyle w:val="SingleTxtG"/>
        <w:numPr>
          <w:ilvl w:val="0"/>
          <w:numId w:val="21"/>
        </w:numPr>
        <w:ind w:left="1134" w:firstLine="0"/>
        <w:jc w:val="left"/>
        <w:rPr>
          <w:lang w:val="en-CA"/>
        </w:rPr>
      </w:pPr>
      <w:r>
        <w:rPr>
          <w:lang w:val="en-CA"/>
        </w:rPr>
        <w:t xml:space="preserve">IBP analysis is used in determination of packing groups for the transport of Class 3 – Flammable Liquids. Section 2.3.2.6 of the UN Model Regulations links flash point and IBP for the hazard grouping and packing group assignment. </w:t>
      </w:r>
    </w:p>
    <w:p w:rsidR="00494BF8" w:rsidRDefault="00494BF8" w:rsidP="00494BF8">
      <w:pPr>
        <w:pStyle w:val="SingleTxtG"/>
        <w:numPr>
          <w:ilvl w:val="0"/>
          <w:numId w:val="21"/>
        </w:numPr>
        <w:ind w:left="1134" w:firstLine="0"/>
        <w:jc w:val="left"/>
        <w:rPr>
          <w:lang w:val="en-CA"/>
        </w:rPr>
      </w:pPr>
      <w:r>
        <w:rPr>
          <w:lang w:val="en-CA"/>
        </w:rPr>
        <w:t xml:space="preserve">Section 2.3.4 of the UN Model Regulations </w:t>
      </w:r>
      <w:r w:rsidR="00B610E5">
        <w:rPr>
          <w:lang w:val="en-CA"/>
        </w:rPr>
        <w:t>lists</w:t>
      </w:r>
      <w:r>
        <w:rPr>
          <w:lang w:val="en-CA"/>
        </w:rPr>
        <w:t xml:space="preserve"> ASTM D86-07a </w:t>
      </w:r>
      <w:r w:rsidR="00B610E5">
        <w:rPr>
          <w:lang w:val="en-CA"/>
        </w:rPr>
        <w:t xml:space="preserve">as a method </w:t>
      </w:r>
      <w:r>
        <w:rPr>
          <w:lang w:val="en-CA"/>
        </w:rPr>
        <w:t xml:space="preserve">for determination of IBP for petroleum products at atmospheric pressure. </w:t>
      </w:r>
      <w:r w:rsidR="00B610E5">
        <w:rPr>
          <w:lang w:val="en-CA"/>
        </w:rPr>
        <w:t>Industry has commonly used this method, however this</w:t>
      </w:r>
      <w:r>
        <w:rPr>
          <w:lang w:val="en-CA"/>
        </w:rPr>
        <w:t xml:space="preserve"> is problematic as </w:t>
      </w:r>
      <w:r w:rsidR="00B610E5">
        <w:rPr>
          <w:lang w:val="en-CA"/>
        </w:rPr>
        <w:t xml:space="preserve">the method </w:t>
      </w:r>
      <w:r>
        <w:rPr>
          <w:lang w:val="en-CA"/>
        </w:rPr>
        <w:t xml:space="preserve">is open to the atmosphere – </w:t>
      </w:r>
      <w:r w:rsidR="00014273">
        <w:rPr>
          <w:lang w:val="en-CA"/>
        </w:rPr>
        <w:t>volatile light ends are not maintained during testing in an open cup method. As well, i</w:t>
      </w:r>
      <w:r>
        <w:rPr>
          <w:lang w:val="en-CA"/>
        </w:rPr>
        <w:t xml:space="preserve">ts physical limitation will not capture light ends that escape during the IBP determination, rendering the method incapable of determining IBP values at or below 0 </w:t>
      </w:r>
      <w:r>
        <w:rPr>
          <w:lang w:val="en-CA"/>
        </w:rPr>
        <w:sym w:font="Symbol" w:char="F0B0"/>
      </w:r>
      <w:r>
        <w:rPr>
          <w:lang w:val="en-CA"/>
        </w:rPr>
        <w:t>C</w:t>
      </w:r>
      <w:r w:rsidR="00014273">
        <w:rPr>
          <w:lang w:val="en-CA"/>
        </w:rPr>
        <w:t xml:space="preserve"> due to the use of a water cooled condenser</w:t>
      </w:r>
      <w:r>
        <w:rPr>
          <w:lang w:val="en-CA"/>
        </w:rPr>
        <w:t>. As a result, this method is incapable of resolving the IBP contributions of components such as methane, ethane, propane, etc. in crude oil and other products where this method may be used.</w:t>
      </w:r>
    </w:p>
    <w:p w:rsidR="00B610E5" w:rsidRDefault="00B610E5" w:rsidP="00B610E5">
      <w:pPr>
        <w:pStyle w:val="SingleTxtG"/>
        <w:numPr>
          <w:ilvl w:val="0"/>
          <w:numId w:val="21"/>
        </w:numPr>
        <w:ind w:left="1134" w:firstLine="0"/>
        <w:jc w:val="left"/>
        <w:rPr>
          <w:lang w:val="en-CA"/>
        </w:rPr>
      </w:pPr>
      <w:r w:rsidRPr="00B610E5">
        <w:rPr>
          <w:lang w:val="en-CA"/>
        </w:rPr>
        <w:t>Canada identified alternate methods, not currently listed in the UN Model Regulations, that would be more appropriate to crude oils such as those recovered as part of this study.</w:t>
      </w:r>
      <w:r>
        <w:rPr>
          <w:lang w:val="en-CA"/>
        </w:rPr>
        <w:t xml:space="preserve"> Analysis by injection using ASTM D8003</w:t>
      </w:r>
      <w:r w:rsidR="00F453C5">
        <w:rPr>
          <w:lang w:val="en-CA"/>
        </w:rPr>
        <w:t xml:space="preserve"> or ASTM</w:t>
      </w:r>
      <w:r w:rsidR="002E4C04">
        <w:rPr>
          <w:lang w:val="en-CA"/>
        </w:rPr>
        <w:t xml:space="preserve"> D7169</w:t>
      </w:r>
      <w:r>
        <w:rPr>
          <w:lang w:val="en-CA"/>
        </w:rPr>
        <w:t xml:space="preserve"> </w:t>
      </w:r>
      <w:r w:rsidRPr="00B610E5">
        <w:rPr>
          <w:lang w:val="en-CA"/>
        </w:rPr>
        <w:t>allow</w:t>
      </w:r>
      <w:r w:rsidR="00F453C5">
        <w:rPr>
          <w:lang w:val="en-CA"/>
        </w:rPr>
        <w:t>s for the injection of pressuris</w:t>
      </w:r>
      <w:r w:rsidRPr="00B610E5">
        <w:rPr>
          <w:lang w:val="en-CA"/>
        </w:rPr>
        <w:t xml:space="preserve">ed samples into the </w:t>
      </w:r>
      <w:r>
        <w:rPr>
          <w:lang w:val="en-CA"/>
        </w:rPr>
        <w:t>analysis instrument</w:t>
      </w:r>
      <w:r w:rsidRPr="00B610E5">
        <w:rPr>
          <w:lang w:val="en-CA"/>
        </w:rPr>
        <w:t>, avoiding the loss of highly volatile components and maintaining sample integrity</w:t>
      </w:r>
      <w:r>
        <w:rPr>
          <w:lang w:val="en-CA"/>
        </w:rPr>
        <w:t xml:space="preserve">. </w:t>
      </w:r>
      <w:r w:rsidR="00F453C5">
        <w:rPr>
          <w:lang w:val="en-CA"/>
        </w:rPr>
        <w:t xml:space="preserve">ASTM D8003 was used for the light ends determination (C1 to </w:t>
      </w:r>
      <w:r w:rsidR="00F453C5" w:rsidRPr="00F453C5">
        <w:rPr>
          <w:i/>
          <w:lang w:val="en-CA"/>
        </w:rPr>
        <w:t>n</w:t>
      </w:r>
      <w:r w:rsidR="00F453C5">
        <w:rPr>
          <w:lang w:val="en-CA"/>
        </w:rPr>
        <w:t>C9) and coupled with ASTM D7169 for C9 to C100 determination.</w:t>
      </w:r>
    </w:p>
    <w:p w:rsidR="003F3E85" w:rsidRPr="00B610E5" w:rsidRDefault="00494BF8" w:rsidP="00BB4DF5">
      <w:pPr>
        <w:pStyle w:val="SingleTxtG"/>
        <w:numPr>
          <w:ilvl w:val="0"/>
          <w:numId w:val="21"/>
        </w:numPr>
        <w:ind w:left="1134" w:firstLine="0"/>
        <w:jc w:val="left"/>
        <w:rPr>
          <w:lang w:val="en-CA"/>
        </w:rPr>
      </w:pPr>
      <w:r w:rsidRPr="00B610E5">
        <w:rPr>
          <w:lang w:val="en-CA"/>
        </w:rPr>
        <w:t xml:space="preserve">IBP analysis on sealed, pressurised samples using composition data by </w:t>
      </w:r>
      <w:r w:rsidR="00014273" w:rsidRPr="00B610E5">
        <w:rPr>
          <w:lang w:val="en-CA"/>
        </w:rPr>
        <w:t>ASTM D8003 </w:t>
      </w:r>
      <w:r w:rsidR="00055FCC" w:rsidRPr="00B610E5">
        <w:rPr>
          <w:lang w:val="en-CA"/>
        </w:rPr>
        <w:t>/</w:t>
      </w:r>
      <w:r w:rsidR="00014273" w:rsidRPr="00B610E5">
        <w:rPr>
          <w:lang w:val="en-CA"/>
        </w:rPr>
        <w:t> </w:t>
      </w:r>
      <w:r w:rsidR="00055FCC" w:rsidRPr="00B610E5">
        <w:rPr>
          <w:lang w:val="en-CA"/>
        </w:rPr>
        <w:t>ASTM</w:t>
      </w:r>
      <w:r w:rsidR="00014273" w:rsidRPr="00B610E5">
        <w:rPr>
          <w:lang w:val="en-CA"/>
        </w:rPr>
        <w:t> </w:t>
      </w:r>
      <w:r w:rsidRPr="00B610E5">
        <w:rPr>
          <w:lang w:val="en-CA"/>
        </w:rPr>
        <w:t>D71</w:t>
      </w:r>
      <w:r w:rsidR="00B610E5" w:rsidRPr="00B610E5">
        <w:rPr>
          <w:lang w:val="en-CA"/>
        </w:rPr>
        <w:t>69 of crude oil samples resulted</w:t>
      </w:r>
      <w:r w:rsidRPr="00B610E5">
        <w:rPr>
          <w:lang w:val="en-CA"/>
        </w:rPr>
        <w:t xml:space="preserve"> in consistently lower boiling point readings than results obtained by ASTM D86, for those samples tested by both methods. </w:t>
      </w:r>
      <w:r w:rsidR="00B610E5" w:rsidRPr="00B610E5">
        <w:rPr>
          <w:lang w:val="en-CA"/>
        </w:rPr>
        <w:t xml:space="preserve">The average difference was 46.3 </w:t>
      </w:r>
      <w:r w:rsidR="00B610E5">
        <w:rPr>
          <w:lang w:val="en-CA"/>
        </w:rPr>
        <w:sym w:font="Symbol" w:char="F0B0"/>
      </w:r>
      <w:r w:rsidR="00B610E5" w:rsidRPr="00B610E5">
        <w:rPr>
          <w:lang w:val="en-CA"/>
        </w:rPr>
        <w:t xml:space="preserve">C when comparing samples that had the highest proportion of light ends. </w:t>
      </w:r>
      <w:r w:rsidR="00BD1540" w:rsidRPr="00B610E5">
        <w:rPr>
          <w:lang w:val="en-CA"/>
        </w:rPr>
        <w:t>The IBP is the temperature at which 0.5 weight percent of the sample has eluted, as defined in ASTM D7169 and American Petroleum Institute (API) Recommended Practice 3000.</w:t>
      </w:r>
    </w:p>
    <w:p w:rsidR="009B19F1" w:rsidRPr="009B19F1" w:rsidRDefault="009B19F1" w:rsidP="009B19F1">
      <w:pPr>
        <w:pStyle w:val="SingleTxtG"/>
        <w:numPr>
          <w:ilvl w:val="0"/>
          <w:numId w:val="21"/>
        </w:numPr>
        <w:ind w:left="1134" w:firstLine="0"/>
        <w:jc w:val="left"/>
        <w:rPr>
          <w:lang w:val="en-CA"/>
        </w:rPr>
      </w:pPr>
      <w:r w:rsidRPr="009B19F1">
        <w:rPr>
          <w:lang w:val="en-CA"/>
        </w:rPr>
        <w:t xml:space="preserve">IBP determined by ASTM D86 resulted in several crude oil samples being assigned PG II, whereas the </w:t>
      </w:r>
      <w:r w:rsidR="00014273" w:rsidRPr="00014273">
        <w:rPr>
          <w:lang w:val="en-CA"/>
        </w:rPr>
        <w:t xml:space="preserve">ASTM D8003 / ASTM D7169 </w:t>
      </w:r>
      <w:r w:rsidRPr="009B19F1">
        <w:rPr>
          <w:lang w:val="en-CA"/>
        </w:rPr>
        <w:t>data for those same samples resulted in PG I assignment.</w:t>
      </w:r>
      <w:r w:rsidR="00014273">
        <w:rPr>
          <w:lang w:val="en-CA"/>
        </w:rPr>
        <w:t xml:space="preserve"> </w:t>
      </w:r>
      <w:r w:rsidR="00014273" w:rsidRPr="00014273">
        <w:rPr>
          <w:lang w:val="en-CA"/>
        </w:rPr>
        <w:t xml:space="preserve">Using </w:t>
      </w:r>
      <w:r w:rsidR="00014273">
        <w:rPr>
          <w:lang w:val="en-CA"/>
        </w:rPr>
        <w:t>IBP</w:t>
      </w:r>
      <w:r w:rsidR="00014273" w:rsidRPr="00014273">
        <w:rPr>
          <w:lang w:val="en-CA"/>
        </w:rPr>
        <w:t xml:space="preserve"> criteria, 56 of the 68 samples belonged in Packing Group I, the highest hazard group for Class 3 – Flammable Liquids</w:t>
      </w:r>
      <w:r w:rsidR="00014273">
        <w:rPr>
          <w:lang w:val="en-CA"/>
        </w:rPr>
        <w:t>.</w:t>
      </w:r>
    </w:p>
    <w:p w:rsidR="007A3E4C" w:rsidRDefault="007A3E4C">
      <w:pPr>
        <w:rPr>
          <w:lang w:val="en-CA"/>
        </w:rPr>
      </w:pPr>
      <w:r>
        <w:rPr>
          <w:lang w:val="en-CA"/>
        </w:rPr>
        <w:br w:type="page"/>
      </w:r>
    </w:p>
    <w:p w:rsidR="00055FCC" w:rsidRDefault="00055FCC" w:rsidP="00D66743">
      <w:pPr>
        <w:pStyle w:val="SingleTxtG"/>
        <w:numPr>
          <w:ilvl w:val="0"/>
          <w:numId w:val="21"/>
        </w:numPr>
        <w:ind w:left="1134" w:firstLine="0"/>
        <w:jc w:val="left"/>
        <w:rPr>
          <w:lang w:val="en-CA"/>
        </w:rPr>
      </w:pPr>
      <w:r>
        <w:rPr>
          <w:lang w:val="en-CA"/>
        </w:rPr>
        <w:lastRenderedPageBreak/>
        <w:t xml:space="preserve">The table below summarises differences between IBP determinations made using ASTM D86 and the </w:t>
      </w:r>
      <w:r w:rsidR="00014273" w:rsidRPr="00014273">
        <w:rPr>
          <w:lang w:val="en-CA"/>
        </w:rPr>
        <w:t>ASTM D8003 / ASTM D7169</w:t>
      </w:r>
      <w:r>
        <w:rPr>
          <w:lang w:val="en-CA"/>
        </w:rPr>
        <w:t xml:space="preserve"> methods:</w:t>
      </w:r>
    </w:p>
    <w:tbl>
      <w:tblPr>
        <w:tblStyle w:val="GridTable1Light1"/>
        <w:tblW w:w="0" w:type="auto"/>
        <w:tblInd w:w="1129" w:type="dxa"/>
        <w:tblLook w:val="04A0" w:firstRow="1" w:lastRow="0" w:firstColumn="1" w:lastColumn="0" w:noHBand="0" w:noVBand="1"/>
      </w:tblPr>
      <w:tblGrid>
        <w:gridCol w:w="2351"/>
        <w:gridCol w:w="1902"/>
        <w:gridCol w:w="2126"/>
        <w:gridCol w:w="1026"/>
      </w:tblGrid>
      <w:tr w:rsidR="00D728BE" w:rsidTr="00055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14273">
            <w:pPr>
              <w:pStyle w:val="SingleTxtG"/>
              <w:ind w:left="0" w:right="-167"/>
              <w:jc w:val="left"/>
              <w:rPr>
                <w:lang w:val="en-CA"/>
              </w:rPr>
            </w:pPr>
            <w:r>
              <w:rPr>
                <w:lang w:val="en-CA"/>
              </w:rPr>
              <w:t>Sample Type</w:t>
            </w:r>
          </w:p>
        </w:tc>
        <w:tc>
          <w:tcPr>
            <w:tcW w:w="1902" w:type="dxa"/>
          </w:tcPr>
          <w:p w:rsidR="00D728BE" w:rsidRDefault="00D728BE" w:rsidP="00D728BE">
            <w:pPr>
              <w:pStyle w:val="SingleTxtG"/>
              <w:ind w:left="0" w:right="101"/>
              <w:jc w:val="center"/>
              <w:cnfStyle w:val="100000000000" w:firstRow="1" w:lastRow="0" w:firstColumn="0" w:lastColumn="0" w:oddVBand="0" w:evenVBand="0" w:oddHBand="0" w:evenHBand="0" w:firstRowFirstColumn="0" w:firstRowLastColumn="0" w:lastRowFirstColumn="0" w:lastRowLastColumn="0"/>
              <w:rPr>
                <w:lang w:val="en-CA"/>
              </w:rPr>
            </w:pPr>
            <w:r w:rsidRPr="00D728BE">
              <w:rPr>
                <w:lang w:val="en-CA"/>
              </w:rPr>
              <w:t>A</w:t>
            </w:r>
            <w:r>
              <w:rPr>
                <w:lang w:val="en-CA"/>
              </w:rPr>
              <w:t>verage IBP (°C), ASTM D</w:t>
            </w:r>
            <w:r w:rsidRPr="00D728BE">
              <w:rPr>
                <w:lang w:val="en-CA"/>
              </w:rPr>
              <w:t>86</w:t>
            </w:r>
          </w:p>
        </w:tc>
        <w:tc>
          <w:tcPr>
            <w:tcW w:w="2126" w:type="dxa"/>
          </w:tcPr>
          <w:p w:rsidR="00D728BE" w:rsidRDefault="00D728BE" w:rsidP="00D728BE">
            <w:pPr>
              <w:pStyle w:val="SingleTxtG"/>
              <w:ind w:left="0" w:right="-26"/>
              <w:jc w:val="center"/>
              <w:cnfStyle w:val="100000000000" w:firstRow="1" w:lastRow="0" w:firstColumn="0" w:lastColumn="0" w:oddVBand="0" w:evenVBand="0" w:oddHBand="0" w:evenHBand="0" w:firstRowFirstColumn="0" w:firstRowLastColumn="0" w:lastRowFirstColumn="0" w:lastRowLastColumn="0"/>
              <w:rPr>
                <w:lang w:val="en-CA"/>
              </w:rPr>
            </w:pPr>
            <w:r w:rsidRPr="00D728BE">
              <w:rPr>
                <w:lang w:val="en-CA"/>
              </w:rPr>
              <w:t xml:space="preserve">Average IBP (°C), </w:t>
            </w:r>
            <w:r w:rsidR="00014273" w:rsidRPr="00014273">
              <w:rPr>
                <w:lang w:val="en-CA"/>
              </w:rPr>
              <w:t>ASTM D8003 / </w:t>
            </w:r>
            <w:r w:rsidR="00014273">
              <w:rPr>
                <w:lang w:val="en-CA"/>
              </w:rPr>
              <w:br/>
            </w:r>
            <w:r w:rsidR="00014273" w:rsidRPr="00014273">
              <w:rPr>
                <w:lang w:val="en-CA"/>
              </w:rPr>
              <w:t>ASTM D7169</w:t>
            </w:r>
          </w:p>
        </w:tc>
        <w:tc>
          <w:tcPr>
            <w:tcW w:w="1026" w:type="dxa"/>
          </w:tcPr>
          <w:p w:rsidR="00D728BE" w:rsidRDefault="00D728BE" w:rsidP="00D728BE">
            <w:pPr>
              <w:pStyle w:val="SingleTxtG"/>
              <w:ind w:left="0" w:right="-5"/>
              <w:jc w:val="center"/>
              <w:cnfStyle w:val="100000000000" w:firstRow="1" w:lastRow="0" w:firstColumn="0" w:lastColumn="0" w:oddVBand="0" w:evenVBand="0" w:oddHBand="0" w:evenHBand="0" w:firstRowFirstColumn="0" w:firstRowLastColumn="0" w:lastRowFirstColumn="0" w:lastRowLastColumn="0"/>
              <w:rPr>
                <w:lang w:val="en-CA"/>
              </w:rPr>
            </w:pPr>
            <w:r w:rsidRPr="00D728BE">
              <w:rPr>
                <w:lang w:val="en-CA"/>
              </w:rPr>
              <w:t>Average ∆ (°C)</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Light Oil</w:t>
            </w:r>
          </w:p>
        </w:tc>
        <w:tc>
          <w:tcPr>
            <w:tcW w:w="1902" w:type="dxa"/>
          </w:tcPr>
          <w:p w:rsidR="00D728BE" w:rsidRDefault="00D728BE"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35.3</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-17.9</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53.2</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Medium Oil</w:t>
            </w:r>
          </w:p>
        </w:tc>
        <w:tc>
          <w:tcPr>
            <w:tcW w:w="1902" w:type="dxa"/>
          </w:tcPr>
          <w:p w:rsidR="00D728BE" w:rsidRDefault="00D728BE" w:rsidP="00055FCC">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92.8</w:t>
            </w:r>
            <w:r w:rsidR="00055FCC">
              <w:rPr>
                <w:lang w:val="en-CA"/>
              </w:rPr>
              <w:br/>
            </w:r>
            <w:r>
              <w:rPr>
                <w:lang w:val="en-CA"/>
              </w:rPr>
              <w:t>(one point only)</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5.8</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87.0</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Diluted Heavy Oil</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30.9</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-6.2</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37.1</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Synthetic Crude</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35.8</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-0.6</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36.4</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Diluted Bitumen</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32.9</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-0.6</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33.5</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Synthetic Bitumen</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52.8</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-0.6</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53.4</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Condensate</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29.3</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-11.4</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40.7</w:t>
            </w:r>
          </w:p>
        </w:tc>
      </w:tr>
    </w:tbl>
    <w:p w:rsidR="00D728BE" w:rsidRDefault="00D728BE" w:rsidP="00D728BE">
      <w:pPr>
        <w:pStyle w:val="SingleTxtG"/>
        <w:jc w:val="left"/>
        <w:rPr>
          <w:lang w:val="en-CA"/>
        </w:rPr>
      </w:pPr>
    </w:p>
    <w:p w:rsidR="00BD1540" w:rsidRPr="00BD1540" w:rsidRDefault="00BD1540" w:rsidP="00D728BE">
      <w:pPr>
        <w:pStyle w:val="SingleTxtG"/>
        <w:jc w:val="left"/>
        <w:rPr>
          <w:u w:val="single"/>
          <w:lang w:val="en-CA"/>
        </w:rPr>
      </w:pPr>
      <w:r>
        <w:rPr>
          <w:u w:val="single"/>
          <w:lang w:val="en-CA"/>
        </w:rPr>
        <w:t>Hydrogen sulphide (H</w:t>
      </w:r>
      <w:r>
        <w:rPr>
          <w:u w:val="single"/>
          <w:vertAlign w:val="subscript"/>
          <w:lang w:val="en-CA"/>
        </w:rPr>
        <w:t>2</w:t>
      </w:r>
      <w:r>
        <w:rPr>
          <w:u w:val="single"/>
          <w:lang w:val="en-CA"/>
        </w:rPr>
        <w:t>S)</w:t>
      </w:r>
    </w:p>
    <w:p w:rsidR="00BD1540" w:rsidRDefault="00BD1540" w:rsidP="00BD1540">
      <w:pPr>
        <w:pStyle w:val="SingleTxtG"/>
        <w:numPr>
          <w:ilvl w:val="0"/>
          <w:numId w:val="21"/>
        </w:numPr>
        <w:ind w:left="1134" w:firstLine="0"/>
        <w:jc w:val="left"/>
        <w:rPr>
          <w:lang w:val="en-CA"/>
        </w:rPr>
      </w:pPr>
      <w:r>
        <w:rPr>
          <w:lang w:val="en-CA"/>
        </w:rPr>
        <w:t xml:space="preserve">Hydrogen sulphide is a highly toxic gas normally found in varying amounts in crude oil. In Canada, the Occupational </w:t>
      </w:r>
      <w:r w:rsidR="003D407D">
        <w:rPr>
          <w:lang w:val="en-CA"/>
        </w:rPr>
        <w:t>Safety</w:t>
      </w:r>
      <w:r>
        <w:rPr>
          <w:lang w:val="en-CA"/>
        </w:rPr>
        <w:t xml:space="preserve"> and </w:t>
      </w:r>
      <w:r w:rsidR="003D407D">
        <w:rPr>
          <w:lang w:val="en-CA"/>
        </w:rPr>
        <w:t>Health (OSH)</w:t>
      </w:r>
      <w:r>
        <w:rPr>
          <w:lang w:val="en-CA"/>
        </w:rPr>
        <w:t xml:space="preserve"> </w:t>
      </w:r>
      <w:r w:rsidR="00014273">
        <w:rPr>
          <w:lang w:val="en-CA"/>
        </w:rPr>
        <w:t xml:space="preserve">exposure </w:t>
      </w:r>
      <w:r w:rsidR="003D407D">
        <w:rPr>
          <w:lang w:val="en-CA"/>
        </w:rPr>
        <w:t>l</w:t>
      </w:r>
      <w:r>
        <w:rPr>
          <w:lang w:val="en-CA"/>
        </w:rPr>
        <w:t>imit is defined as 20 ppm. The immediately dangerous to health and life limit (IDHL) is defined as 100 ppm. At 500</w:t>
      </w:r>
      <w:r w:rsidR="00014273">
        <w:rPr>
          <w:lang w:val="en-CA"/>
        </w:rPr>
        <w:noBreakHyphen/>
      </w:r>
      <w:r>
        <w:rPr>
          <w:lang w:val="en-CA"/>
        </w:rPr>
        <w:t>1000</w:t>
      </w:r>
      <w:r w:rsidR="00014273">
        <w:rPr>
          <w:lang w:val="en-CA"/>
        </w:rPr>
        <w:t xml:space="preserve"> </w:t>
      </w:r>
      <w:r>
        <w:rPr>
          <w:lang w:val="en-CA"/>
        </w:rPr>
        <w:t>ppm, death is imminent or immediate.</w:t>
      </w:r>
    </w:p>
    <w:p w:rsidR="00BD1540" w:rsidRDefault="003D407D" w:rsidP="00BD1540">
      <w:pPr>
        <w:pStyle w:val="SingleTxtG"/>
        <w:numPr>
          <w:ilvl w:val="0"/>
          <w:numId w:val="21"/>
        </w:numPr>
        <w:ind w:left="1134" w:firstLine="0"/>
        <w:jc w:val="left"/>
        <w:rPr>
          <w:lang w:val="en-CA"/>
        </w:rPr>
      </w:pPr>
      <w:r>
        <w:rPr>
          <w:lang w:val="en-CA"/>
        </w:rPr>
        <w:t>H</w:t>
      </w:r>
      <w:r>
        <w:rPr>
          <w:vertAlign w:val="subscript"/>
          <w:lang w:val="en-CA"/>
        </w:rPr>
        <w:t>2</w:t>
      </w:r>
      <w:r>
        <w:rPr>
          <w:lang w:val="en-CA"/>
        </w:rPr>
        <w:t>S content in petroleum crude oil is a known hazard when handling and transporting crude oil. While crude oil is commonly considered a liquid, the H</w:t>
      </w:r>
      <w:r>
        <w:rPr>
          <w:vertAlign w:val="subscript"/>
          <w:lang w:val="en-CA"/>
        </w:rPr>
        <w:t>2</w:t>
      </w:r>
      <w:r>
        <w:rPr>
          <w:vertAlign w:val="subscript"/>
          <w:lang w:val="en-CA"/>
        </w:rPr>
        <w:softHyphen/>
      </w:r>
      <w:r>
        <w:rPr>
          <w:lang w:val="en-CA"/>
        </w:rPr>
        <w:t>S hazard exists in the vapour space above crude oil in a means of containment, or can be present in an emergency situation when crude oil is exposed to the atmosphere and H</w:t>
      </w:r>
      <w:r>
        <w:rPr>
          <w:vertAlign w:val="subscript"/>
          <w:lang w:val="en-CA"/>
        </w:rPr>
        <w:t>2</w:t>
      </w:r>
      <w:r w:rsidRPr="003D407D">
        <w:rPr>
          <w:lang w:val="en-CA"/>
        </w:rPr>
        <w:softHyphen/>
        <w:t>S is al</w:t>
      </w:r>
      <w:r>
        <w:rPr>
          <w:lang w:val="en-CA"/>
        </w:rPr>
        <w:t>lowed to evolve out of solution.</w:t>
      </w:r>
    </w:p>
    <w:p w:rsidR="003D407D" w:rsidRDefault="003D407D" w:rsidP="00BD1540">
      <w:pPr>
        <w:pStyle w:val="SingleTxtG"/>
        <w:numPr>
          <w:ilvl w:val="0"/>
          <w:numId w:val="21"/>
        </w:numPr>
        <w:ind w:left="1134" w:firstLine="0"/>
        <w:jc w:val="left"/>
        <w:rPr>
          <w:lang w:val="en-CA"/>
        </w:rPr>
      </w:pPr>
      <w:r>
        <w:rPr>
          <w:lang w:val="en-CA"/>
        </w:rPr>
        <w:t>Vapour phase measurement of H</w:t>
      </w:r>
      <w:r>
        <w:rPr>
          <w:vertAlign w:val="subscript"/>
          <w:lang w:val="en-CA"/>
        </w:rPr>
        <w:t>2</w:t>
      </w:r>
      <w:r>
        <w:rPr>
          <w:lang w:val="en-CA"/>
        </w:rPr>
        <w:t>S taken from Canadian crude oil samples ranged from 0-65000 ppm, 26 of the 68 samples collected crude oil samples registered values above 1000 ppm. Of these, 20 samples ranged from 1000 ppm to 20 000 ppm, and 6 samples ranged from 24 000 ppm to 65 000 ppm.</w:t>
      </w:r>
      <w:r w:rsidR="00014273">
        <w:rPr>
          <w:lang w:val="en-CA"/>
        </w:rPr>
        <w:t xml:space="preserve"> It should be noted that testing for H</w:t>
      </w:r>
      <w:r w:rsidR="00014273">
        <w:rPr>
          <w:vertAlign w:val="subscript"/>
          <w:lang w:val="en-CA"/>
        </w:rPr>
        <w:t>2</w:t>
      </w:r>
      <w:r w:rsidR="00014273">
        <w:rPr>
          <w:lang w:val="en-CA"/>
        </w:rPr>
        <w:t xml:space="preserve">S is conducted at 60 </w:t>
      </w:r>
      <w:r w:rsidR="00014273" w:rsidRPr="00D728BE">
        <w:rPr>
          <w:lang w:val="en-CA"/>
        </w:rPr>
        <w:t>°C</w:t>
      </w:r>
      <w:r w:rsidR="00014273">
        <w:rPr>
          <w:lang w:val="en-CA"/>
        </w:rPr>
        <w:t xml:space="preserve"> as per the test method; </w:t>
      </w:r>
      <w:r w:rsidR="002C50D4">
        <w:rPr>
          <w:lang w:val="en-CA"/>
        </w:rPr>
        <w:t>for crude oils that were too volatile (e.g., condensate), the tests were conducted at ambient temperature to avoid the loss of material</w:t>
      </w:r>
      <w:r w:rsidR="00014273">
        <w:rPr>
          <w:lang w:val="en-CA"/>
        </w:rPr>
        <w:t>.</w:t>
      </w:r>
    </w:p>
    <w:p w:rsidR="003D407D" w:rsidRDefault="003D407D" w:rsidP="003D407D">
      <w:pPr>
        <w:pStyle w:val="SingleTxtG"/>
        <w:numPr>
          <w:ilvl w:val="0"/>
          <w:numId w:val="21"/>
        </w:numPr>
        <w:ind w:left="1134" w:firstLine="0"/>
        <w:jc w:val="left"/>
        <w:rPr>
          <w:lang w:val="en-CA"/>
        </w:rPr>
      </w:pPr>
      <w:r w:rsidRPr="003D407D">
        <w:rPr>
          <w:lang w:val="en-CA"/>
        </w:rPr>
        <w:t>The levels of H</w:t>
      </w:r>
      <w:r w:rsidRPr="003D407D">
        <w:rPr>
          <w:vertAlign w:val="subscript"/>
          <w:lang w:val="en-CA"/>
        </w:rPr>
        <w:t>2</w:t>
      </w:r>
      <w:r w:rsidRPr="003D407D">
        <w:rPr>
          <w:lang w:val="en-CA"/>
        </w:rPr>
        <w:t>S found in some crude oil samples are significantly higher than the threshold limit value of the OSH standard. In an accident scenario, or during regular transport operations</w:t>
      </w:r>
      <w:r>
        <w:rPr>
          <w:lang w:val="en-CA"/>
        </w:rPr>
        <w:t xml:space="preserve"> and handling/transferring</w:t>
      </w:r>
      <w:r w:rsidRPr="003D407D">
        <w:rPr>
          <w:lang w:val="en-CA"/>
        </w:rPr>
        <w:t>, these high H</w:t>
      </w:r>
      <w:r w:rsidRPr="003D407D">
        <w:rPr>
          <w:vertAlign w:val="subscript"/>
          <w:lang w:val="en-CA"/>
        </w:rPr>
        <w:t>2</w:t>
      </w:r>
      <w:r w:rsidRPr="003D407D">
        <w:rPr>
          <w:lang w:val="en-CA"/>
        </w:rPr>
        <w:t xml:space="preserve">S crude oils </w:t>
      </w:r>
      <w:r>
        <w:rPr>
          <w:lang w:val="en-CA"/>
        </w:rPr>
        <w:t>may</w:t>
      </w:r>
      <w:r w:rsidRPr="003D407D">
        <w:rPr>
          <w:lang w:val="en-CA"/>
        </w:rPr>
        <w:t xml:space="preserve"> pose a significant risk to persons handling the </w:t>
      </w:r>
      <w:r>
        <w:rPr>
          <w:lang w:val="en-CA"/>
        </w:rPr>
        <w:t>crude oil</w:t>
      </w:r>
      <w:r w:rsidRPr="003D407D">
        <w:rPr>
          <w:lang w:val="en-CA"/>
        </w:rPr>
        <w:t>.</w:t>
      </w:r>
    </w:p>
    <w:p w:rsidR="003D407D" w:rsidRDefault="003D407D" w:rsidP="003D407D">
      <w:pPr>
        <w:pStyle w:val="SingleTxtG"/>
        <w:numPr>
          <w:ilvl w:val="0"/>
          <w:numId w:val="21"/>
        </w:numPr>
        <w:ind w:left="1134" w:firstLine="0"/>
        <w:jc w:val="left"/>
        <w:rPr>
          <w:lang w:val="en-CA"/>
        </w:rPr>
      </w:pPr>
      <w:r>
        <w:rPr>
          <w:lang w:val="en-CA"/>
        </w:rPr>
        <w:t>It should be noted the test results collected have a +/- 25% accuracy, the testing method has a large margin of error but is still indicative of the magnitude and approximate hazard posed by the H</w:t>
      </w:r>
      <w:r>
        <w:rPr>
          <w:vertAlign w:val="subscript"/>
          <w:lang w:val="en-CA"/>
        </w:rPr>
        <w:t>2</w:t>
      </w:r>
      <w:r>
        <w:rPr>
          <w:vertAlign w:val="subscript"/>
          <w:lang w:val="en-CA"/>
        </w:rPr>
        <w:softHyphen/>
      </w:r>
      <w:r>
        <w:rPr>
          <w:lang w:val="en-CA"/>
        </w:rPr>
        <w:t>S present in crude oil.</w:t>
      </w:r>
    </w:p>
    <w:p w:rsidR="00D728BE" w:rsidRPr="00055FCC" w:rsidRDefault="00D728BE" w:rsidP="00D728BE">
      <w:pPr>
        <w:pStyle w:val="HChG"/>
        <w:ind w:firstLine="0"/>
        <w:rPr>
          <w:lang w:val="en-CA"/>
        </w:rPr>
      </w:pPr>
      <w:r w:rsidRPr="00055FCC">
        <w:rPr>
          <w:lang w:val="en-CA"/>
        </w:rPr>
        <w:t>Considerations</w:t>
      </w:r>
    </w:p>
    <w:p w:rsidR="00D728BE" w:rsidRPr="00D728BE" w:rsidRDefault="00D728BE" w:rsidP="00D728BE">
      <w:pPr>
        <w:pStyle w:val="ListParagraph"/>
        <w:numPr>
          <w:ilvl w:val="0"/>
          <w:numId w:val="21"/>
        </w:numPr>
        <w:ind w:left="1134" w:firstLine="0"/>
        <w:rPr>
          <w:lang w:val="en-CA"/>
        </w:rPr>
      </w:pPr>
      <w:r>
        <w:rPr>
          <w:lang w:val="en-CA"/>
        </w:rPr>
        <w:t xml:space="preserve">Elevated vapor pressures of </w:t>
      </w:r>
      <w:r w:rsidRPr="00D728BE">
        <w:rPr>
          <w:lang w:val="en-CA"/>
        </w:rPr>
        <w:t>crude oil m</w:t>
      </w:r>
      <w:r w:rsidR="00014273">
        <w:rPr>
          <w:lang w:val="en-CA"/>
        </w:rPr>
        <w:t xml:space="preserve">ay require classification as a Class 2 – Gas, and may affect </w:t>
      </w:r>
      <w:r w:rsidRPr="00D728BE">
        <w:rPr>
          <w:lang w:val="en-CA"/>
        </w:rPr>
        <w:t>selection of means of containment. A crude oil that meet</w:t>
      </w:r>
      <w:r>
        <w:rPr>
          <w:lang w:val="en-CA"/>
        </w:rPr>
        <w:t xml:space="preserve">s the definition </w:t>
      </w:r>
      <w:r w:rsidR="00055FCC">
        <w:rPr>
          <w:lang w:val="en-CA"/>
        </w:rPr>
        <w:t>for Class</w:t>
      </w:r>
      <w:r>
        <w:rPr>
          <w:lang w:val="en-CA"/>
        </w:rPr>
        <w:t xml:space="preserve"> 2.1 – </w:t>
      </w:r>
      <w:r w:rsidRPr="00D728BE">
        <w:rPr>
          <w:lang w:val="en-CA"/>
        </w:rPr>
        <w:t xml:space="preserve">Flammable </w:t>
      </w:r>
      <w:r>
        <w:rPr>
          <w:lang w:val="en-CA"/>
        </w:rPr>
        <w:t>G</w:t>
      </w:r>
      <w:r w:rsidRPr="00D728BE">
        <w:rPr>
          <w:lang w:val="en-CA"/>
        </w:rPr>
        <w:t>as designation require</w:t>
      </w:r>
      <w:r>
        <w:rPr>
          <w:lang w:val="en-CA"/>
        </w:rPr>
        <w:t>s</w:t>
      </w:r>
      <w:r w:rsidRPr="00D728BE">
        <w:rPr>
          <w:lang w:val="en-CA"/>
        </w:rPr>
        <w:t xml:space="preserve"> a more robust means of containment during transport (pressure tank car or highway tank)</w:t>
      </w:r>
      <w:r>
        <w:rPr>
          <w:lang w:val="en-CA"/>
        </w:rPr>
        <w:t>.</w:t>
      </w:r>
    </w:p>
    <w:p w:rsidR="00D728BE" w:rsidRDefault="003D407D" w:rsidP="00D66743">
      <w:pPr>
        <w:pStyle w:val="SingleTxtG"/>
        <w:numPr>
          <w:ilvl w:val="0"/>
          <w:numId w:val="21"/>
        </w:numPr>
        <w:ind w:left="1134" w:firstLine="0"/>
        <w:jc w:val="left"/>
        <w:rPr>
          <w:lang w:val="en-CA"/>
        </w:rPr>
      </w:pPr>
      <w:r>
        <w:rPr>
          <w:lang w:val="en-CA"/>
        </w:rPr>
        <w:t xml:space="preserve">The use of pressurised sampling and testing for crude oil is an important factor. The </w:t>
      </w:r>
      <w:r w:rsidRPr="00014273">
        <w:rPr>
          <w:lang w:val="en-CA"/>
        </w:rPr>
        <w:t>hazard posed by dissolved light ends cannot be accurately captured by atmospheric sampling and testing which may lead to erroneous data used for classification purposes.</w:t>
      </w:r>
    </w:p>
    <w:p w:rsidR="002C50D4" w:rsidRDefault="00014273" w:rsidP="0008672E">
      <w:pPr>
        <w:pStyle w:val="SingleTxtG"/>
        <w:numPr>
          <w:ilvl w:val="0"/>
          <w:numId w:val="21"/>
        </w:numPr>
        <w:ind w:left="1134" w:firstLine="0"/>
        <w:jc w:val="left"/>
        <w:rPr>
          <w:lang w:val="en-CA"/>
        </w:rPr>
      </w:pPr>
      <w:r w:rsidRPr="00B610E5">
        <w:rPr>
          <w:lang w:val="en-CA"/>
        </w:rPr>
        <w:lastRenderedPageBreak/>
        <w:t>The limitations of ASTM D5705 for testing H</w:t>
      </w:r>
      <w:r w:rsidRPr="00B610E5">
        <w:rPr>
          <w:vertAlign w:val="subscript"/>
          <w:lang w:val="en-CA"/>
        </w:rPr>
        <w:t>2</w:t>
      </w:r>
      <w:r w:rsidRPr="00B610E5">
        <w:rPr>
          <w:lang w:val="en-CA"/>
        </w:rPr>
        <w:t>S point to a need to develop a method of measuring H</w:t>
      </w:r>
      <w:r w:rsidRPr="00B610E5">
        <w:rPr>
          <w:vertAlign w:val="subscript"/>
          <w:lang w:val="en-CA"/>
        </w:rPr>
        <w:t>2</w:t>
      </w:r>
      <w:r w:rsidRPr="00B610E5">
        <w:rPr>
          <w:lang w:val="en-CA"/>
        </w:rPr>
        <w:t>S in the vapour phase that is fit for purpose and has the capability of controlling the variables affecting release of H</w:t>
      </w:r>
      <w:r w:rsidRPr="00B610E5">
        <w:rPr>
          <w:vertAlign w:val="subscript"/>
          <w:lang w:val="en-CA"/>
        </w:rPr>
        <w:t>2</w:t>
      </w:r>
      <w:r w:rsidRPr="00B610E5">
        <w:rPr>
          <w:lang w:val="en-CA"/>
        </w:rPr>
        <w:t>S (sampling method, temperature, V/L ratio and agitation). Measuring vapour phase H</w:t>
      </w:r>
      <w:r w:rsidRPr="00B610E5">
        <w:rPr>
          <w:vertAlign w:val="subscript"/>
          <w:lang w:val="en-CA"/>
        </w:rPr>
        <w:t>2</w:t>
      </w:r>
      <w:r w:rsidRPr="00B610E5">
        <w:rPr>
          <w:lang w:val="en-CA"/>
        </w:rPr>
        <w:t>S using proper sampling techniques, and temperature and headspace conditions in the range normally encountered during operations or transport, would give a better asse</w:t>
      </w:r>
      <w:r w:rsidR="002B7765" w:rsidRPr="00B610E5">
        <w:rPr>
          <w:lang w:val="en-CA"/>
        </w:rPr>
        <w:t xml:space="preserve">ssment of the </w:t>
      </w:r>
      <w:r w:rsidR="00B610E5" w:rsidRPr="00B610E5">
        <w:rPr>
          <w:lang w:val="en-CA"/>
        </w:rPr>
        <w:t>hazard</w:t>
      </w:r>
      <w:r w:rsidR="002B7765" w:rsidRPr="00B610E5">
        <w:rPr>
          <w:lang w:val="en-CA"/>
        </w:rPr>
        <w:t xml:space="preserve">. </w:t>
      </w:r>
      <w:r w:rsidR="002C50D4">
        <w:rPr>
          <w:lang w:val="en-CA"/>
        </w:rPr>
        <w:t xml:space="preserve">Give </w:t>
      </w:r>
      <w:proofErr w:type="gramStart"/>
      <w:r w:rsidR="002C50D4">
        <w:rPr>
          <w:lang w:val="en-CA"/>
        </w:rPr>
        <w:t>this,</w:t>
      </w:r>
      <w:proofErr w:type="gramEnd"/>
      <w:r w:rsidR="002C50D4">
        <w:rPr>
          <w:lang w:val="en-CA"/>
        </w:rPr>
        <w:t xml:space="preserve"> Canada is participating in an industry-led research and development project to develop test standards for H</w:t>
      </w:r>
      <w:r w:rsidR="002C50D4">
        <w:rPr>
          <w:vertAlign w:val="subscript"/>
          <w:lang w:val="en-CA"/>
        </w:rPr>
        <w:t>2</w:t>
      </w:r>
      <w:r w:rsidR="002C50D4">
        <w:rPr>
          <w:lang w:val="en-CA"/>
        </w:rPr>
        <w:t>S analysis.</w:t>
      </w:r>
    </w:p>
    <w:p w:rsidR="00014273" w:rsidRPr="00B610E5" w:rsidRDefault="00014273" w:rsidP="0008672E">
      <w:pPr>
        <w:pStyle w:val="SingleTxtG"/>
        <w:numPr>
          <w:ilvl w:val="0"/>
          <w:numId w:val="21"/>
        </w:numPr>
        <w:ind w:left="1134" w:firstLine="0"/>
        <w:jc w:val="left"/>
        <w:rPr>
          <w:lang w:val="en-CA"/>
        </w:rPr>
      </w:pPr>
      <w:r w:rsidRPr="00B610E5">
        <w:rPr>
          <w:lang w:val="en-CA"/>
        </w:rPr>
        <w:t>Development of a method and knowledge of H</w:t>
      </w:r>
      <w:r w:rsidRPr="00B610E5">
        <w:rPr>
          <w:vertAlign w:val="subscript"/>
          <w:lang w:val="en-CA"/>
        </w:rPr>
        <w:t>2</w:t>
      </w:r>
      <w:r w:rsidRPr="00B610E5">
        <w:rPr>
          <w:lang w:val="en-CA"/>
        </w:rPr>
        <w:t>S concentrations in the vapour phase would help to inform regulators and provide guidance on setting thresholds for H</w:t>
      </w:r>
      <w:r w:rsidRPr="00B610E5">
        <w:rPr>
          <w:vertAlign w:val="subscript"/>
          <w:lang w:val="en-CA"/>
        </w:rPr>
        <w:t>2</w:t>
      </w:r>
      <w:r w:rsidR="002B7765" w:rsidRPr="00B610E5">
        <w:rPr>
          <w:lang w:val="en-CA"/>
        </w:rPr>
        <w:t xml:space="preserve">S. </w:t>
      </w:r>
      <w:r w:rsidRPr="00B610E5">
        <w:rPr>
          <w:lang w:val="en-CA"/>
        </w:rPr>
        <w:t>Testing conditions could then be specified in regulations.</w:t>
      </w:r>
      <w:r w:rsidR="00B610E5">
        <w:rPr>
          <w:lang w:val="en-CA"/>
        </w:rPr>
        <w:t xml:space="preserve"> Canada is currently advancing research in this area and welcomes any data or input from interested parties of the UNSCETDG.</w:t>
      </w:r>
    </w:p>
    <w:p w:rsidR="00D626F7" w:rsidRPr="003D407D" w:rsidRDefault="003D407D" w:rsidP="00D66157">
      <w:pPr>
        <w:pStyle w:val="HChG"/>
        <w:ind w:firstLine="0"/>
        <w:rPr>
          <w:lang w:val="fr-CA"/>
        </w:rPr>
      </w:pPr>
      <w:r>
        <w:rPr>
          <w:lang w:val="fr-CA"/>
        </w:rPr>
        <w:t>Conclusion</w:t>
      </w:r>
    </w:p>
    <w:p w:rsidR="00D626F7" w:rsidRPr="005E23D6" w:rsidRDefault="003D407D" w:rsidP="00D626F7">
      <w:pPr>
        <w:pStyle w:val="SingleTxtG"/>
        <w:numPr>
          <w:ilvl w:val="0"/>
          <w:numId w:val="21"/>
        </w:numPr>
        <w:ind w:left="1134" w:firstLine="0"/>
      </w:pPr>
      <w:r w:rsidRPr="003D407D">
        <w:rPr>
          <w:lang w:val="en-CA"/>
        </w:rPr>
        <w:t>Canada wishes to share the above</w:t>
      </w:r>
      <w:r w:rsidR="00284D4F">
        <w:rPr>
          <w:lang w:val="en-CA"/>
        </w:rPr>
        <w:t xml:space="preserve"> </w:t>
      </w:r>
      <w:r w:rsidRPr="003D407D">
        <w:rPr>
          <w:lang w:val="en-CA"/>
        </w:rPr>
        <w:t xml:space="preserve">mentioned data with </w:t>
      </w:r>
      <w:r>
        <w:rPr>
          <w:lang w:val="en-CA"/>
        </w:rPr>
        <w:t xml:space="preserve">both the UNSCETDG and UNSCEGHS for consideration. </w:t>
      </w:r>
      <w:r w:rsidR="00E41F5B">
        <w:rPr>
          <w:lang w:val="en-CA"/>
        </w:rPr>
        <w:t>E</w:t>
      </w:r>
      <w:r>
        <w:rPr>
          <w:lang w:val="en-CA"/>
        </w:rPr>
        <w:t xml:space="preserve">vents </w:t>
      </w:r>
      <w:r w:rsidR="00E41F5B">
        <w:rPr>
          <w:lang w:val="en-CA"/>
        </w:rPr>
        <w:t xml:space="preserve">over the last few years </w:t>
      </w:r>
      <w:r>
        <w:rPr>
          <w:lang w:val="en-CA"/>
        </w:rPr>
        <w:t>in North America have cause</w:t>
      </w:r>
      <w:r w:rsidR="005E23D6">
        <w:rPr>
          <w:lang w:val="en-CA"/>
        </w:rPr>
        <w:t>d</w:t>
      </w:r>
      <w:r w:rsidR="00E41F5B">
        <w:rPr>
          <w:lang w:val="en-CA"/>
        </w:rPr>
        <w:t xml:space="preserve"> Canada to </w:t>
      </w:r>
      <w:r>
        <w:rPr>
          <w:lang w:val="en-CA"/>
        </w:rPr>
        <w:t>focus</w:t>
      </w:r>
      <w:r w:rsidR="00E41F5B">
        <w:rPr>
          <w:lang w:val="en-CA"/>
        </w:rPr>
        <w:t xml:space="preserve"> research</w:t>
      </w:r>
      <w:r>
        <w:rPr>
          <w:lang w:val="en-CA"/>
        </w:rPr>
        <w:t xml:space="preserve"> efforts on the classification of crude oil. The results obtained in this first phase of testing is of relevance to all members o</w:t>
      </w:r>
      <w:r w:rsidR="005E23D6">
        <w:rPr>
          <w:lang w:val="en-CA"/>
        </w:rPr>
        <w:t>f the UNSCETDG and UNSCEGHS where crude oil is extracted, transported, or handled.</w:t>
      </w:r>
    </w:p>
    <w:p w:rsidR="005E23D6" w:rsidRPr="00014273" w:rsidRDefault="005E23D6" w:rsidP="00D626F7">
      <w:pPr>
        <w:pStyle w:val="SingleTxtG"/>
        <w:numPr>
          <w:ilvl w:val="0"/>
          <w:numId w:val="21"/>
        </w:numPr>
        <w:ind w:left="1134" w:firstLine="0"/>
      </w:pPr>
      <w:r w:rsidRPr="00014273">
        <w:rPr>
          <w:lang w:val="en-CA"/>
        </w:rPr>
        <w:t xml:space="preserve">Canada will continue sharing research results as they are </w:t>
      </w:r>
      <w:r w:rsidR="00E41F5B">
        <w:rPr>
          <w:lang w:val="en-CA"/>
        </w:rPr>
        <w:t>available</w:t>
      </w:r>
      <w:r w:rsidRPr="00014273">
        <w:rPr>
          <w:lang w:val="en-CA"/>
        </w:rPr>
        <w:t xml:space="preserve"> with both the UNSCETDG and UNSCEGHS. A copy of the research results is attached in Annex B.</w:t>
      </w:r>
    </w:p>
    <w:p w:rsidR="00D626F7" w:rsidRDefault="005B032E" w:rsidP="00D626F7">
      <w:pPr>
        <w:pStyle w:val="SingleTxtG"/>
        <w:ind w:left="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8580120</wp:posOffset>
                </wp:positionH>
                <wp:positionV relativeFrom="paragraph">
                  <wp:posOffset>-83820</wp:posOffset>
                </wp:positionV>
                <wp:extent cx="440055" cy="5707380"/>
                <wp:effectExtent l="0" t="0" r="1778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5707380"/>
                        </a:xfrm>
                        <a:prstGeom prst="rect">
                          <a:avLst/>
                        </a:prstGeom>
                        <a:solidFill>
                          <a:srgbClr val="FFFFFF"/>
                        </a:solidFill>
                        <a:ln w="9525">
                          <a:solidFill>
                            <a:srgbClr val="FFFFFF"/>
                          </a:solidFill>
                          <a:miter lim="800000"/>
                          <a:headEnd/>
                          <a:tailEnd/>
                        </a:ln>
                      </wps:spPr>
                      <wps:txbx>
                        <w:txbxContent>
                          <w:p w:rsidR="00D626F7" w:rsidRPr="00693C13" w:rsidRDefault="00D626F7" w:rsidP="00D626F7">
                            <w:pPr>
                              <w:pBdr>
                                <w:bottom w:val="single" w:sz="4" w:space="1" w:color="auto"/>
                              </w:pBdr>
                              <w:jc w:val="right"/>
                              <w:rPr>
                                <w:b/>
                                <w:sz w:val="18"/>
                                <w:szCs w:val="18"/>
                              </w:rPr>
                            </w:pPr>
                            <w:r w:rsidRPr="00693C13">
                              <w:rPr>
                                <w:b/>
                                <w:sz w:val="18"/>
                                <w:szCs w:val="18"/>
                              </w:rPr>
                              <w:t>UN/SCETDG/46/INF.47</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6pt;margin-top:-6.6pt;width:34.65pt;height:449.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" strokecolor="white">
                <v:textbox style="layout-flow:vertical;mso-fit-shape-to-text:t">
                  <w:txbxContent>
                    <w:p w:rsidR="00D626F7" w:rsidRPr="00693C13" w:rsidRDefault="00D626F7" w:rsidP="00D626F7">
                      <w:pPr>
                        <w:pBdr>
                          <w:bottom w:val="single" w:sz="4" w:space="1" w:color="auto"/>
                        </w:pBdr>
                        <w:jc w:val="right"/>
                        <w:rPr>
                          <w:b/>
                          <w:sz w:val="18"/>
                          <w:szCs w:val="18"/>
                        </w:rPr>
                      </w:pPr>
                      <w:r w:rsidRPr="00693C13">
                        <w:rPr>
                          <w:b/>
                          <w:sz w:val="18"/>
                          <w:szCs w:val="18"/>
                        </w:rPr>
                        <w:t>UN/SCETDG/46/INF.47</w:t>
                      </w:r>
                    </w:p>
                  </w:txbxContent>
                </v:textbox>
              </v:shape>
            </w:pict>
          </mc:Fallback>
        </mc:AlternateContent>
      </w:r>
    </w:p>
    <w:p w:rsidR="00D626F7" w:rsidRPr="00F32CDC" w:rsidRDefault="00D626F7" w:rsidP="00D626F7">
      <w:pPr>
        <w:pStyle w:val="SingleTxtG"/>
        <w:spacing w:before="240" w:after="0"/>
        <w:jc w:val="center"/>
        <w:rPr>
          <w:u w:val="single"/>
        </w:rPr>
      </w:pPr>
      <w:r>
        <w:rPr>
          <w:u w:val="single"/>
        </w:rPr>
        <w:tab/>
      </w:r>
      <w:r>
        <w:rPr>
          <w:u w:val="single"/>
        </w:rPr>
        <w:tab/>
      </w:r>
      <w:r>
        <w:rPr>
          <w:u w:val="single"/>
        </w:rPr>
        <w:tab/>
      </w:r>
    </w:p>
    <w:p w:rsidR="00D626F7" w:rsidRDefault="00D626F7" w:rsidP="00D626F7">
      <w:pPr>
        <w:pStyle w:val="SingleTxtG"/>
        <w:spacing w:before="240" w:after="0"/>
        <w:jc w:val="left"/>
        <w:rPr>
          <w:u w:val="single"/>
        </w:rPr>
        <w:sectPr w:rsidR="00D626F7" w:rsidSect="00882F4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701" w:right="1134" w:bottom="2268" w:left="1134" w:header="1134" w:footer="1701" w:gutter="0"/>
          <w:cols w:space="720"/>
          <w:titlePg/>
          <w:docGrid w:linePitch="272"/>
        </w:sectPr>
      </w:pPr>
    </w:p>
    <w:p w:rsidR="00C61702" w:rsidRPr="00014273" w:rsidRDefault="00AA4AE9" w:rsidP="00D66157">
      <w:pPr>
        <w:spacing w:before="120" w:after="240" w:line="240" w:lineRule="auto"/>
        <w:jc w:val="center"/>
        <w:rPr>
          <w:b/>
          <w:sz w:val="24"/>
          <w:u w:val="single"/>
        </w:rPr>
      </w:pPr>
      <w:r w:rsidRPr="00014273">
        <w:rPr>
          <w:b/>
          <w:sz w:val="24"/>
          <w:u w:val="single"/>
        </w:rPr>
        <w:lastRenderedPageBreak/>
        <w:t xml:space="preserve">Annex </w:t>
      </w:r>
      <w:proofErr w:type="gramStart"/>
      <w:r w:rsidRPr="00014273">
        <w:rPr>
          <w:b/>
          <w:sz w:val="24"/>
          <w:u w:val="single"/>
        </w:rPr>
        <w:t>A</w:t>
      </w:r>
      <w:proofErr w:type="gramEnd"/>
      <w:r w:rsidRPr="00014273">
        <w:rPr>
          <w:b/>
          <w:sz w:val="24"/>
          <w:u w:val="single"/>
        </w:rPr>
        <w:t xml:space="preserve"> – Test Methods Used</w:t>
      </w:r>
    </w:p>
    <w:tbl>
      <w:tblPr>
        <w:tblStyle w:val="GridTable1Light1"/>
        <w:tblW w:w="0" w:type="auto"/>
        <w:tblInd w:w="914" w:type="dxa"/>
        <w:tblLook w:val="04A0" w:firstRow="1" w:lastRow="0" w:firstColumn="1" w:lastColumn="0" w:noHBand="0" w:noVBand="1"/>
      </w:tblPr>
      <w:tblGrid>
        <w:gridCol w:w="2058"/>
        <w:gridCol w:w="6100"/>
      </w:tblGrid>
      <w:tr w:rsidR="00AA4AE9" w:rsidRPr="00AA4AE9" w:rsidTr="00BB5E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137" w:right="-708"/>
            </w:pPr>
            <w:r>
              <w:t>Test Method</w:t>
            </w:r>
          </w:p>
        </w:tc>
        <w:tc>
          <w:tcPr>
            <w:tcW w:w="6100" w:type="dxa"/>
          </w:tcPr>
          <w:p w:rsidR="00AA4AE9" w:rsidRPr="00AA4AE9" w:rsidRDefault="00AA4AE9" w:rsidP="00BB5ED0">
            <w:pPr>
              <w:ind w:left="145"/>
              <w:cnfStyle w:val="100000000000" w:firstRow="1" w:lastRow="0" w:firstColumn="0" w:lastColumn="0" w:oddVBand="0" w:evenVBand="0" w:oddHBand="0" w:evenHBand="0" w:firstRowFirstColumn="0" w:firstRowLastColumn="0" w:lastRowFirstColumn="0" w:lastRowLastColumn="0"/>
            </w:pPr>
            <w:r>
              <w:t>Title</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APHA4500 S2-E</w:t>
            </w:r>
          </w:p>
        </w:tc>
        <w:tc>
          <w:tcPr>
            <w:tcW w:w="6100" w:type="dxa"/>
          </w:tcPr>
          <w:p w:rsidR="00AA4AE9" w:rsidRDefault="00AA4AE9" w:rsidP="00BB5ED0">
            <w:pPr>
              <w:ind w:left="0" w:right="0"/>
              <w:cnfStyle w:val="000000000000" w:firstRow="0" w:lastRow="0" w:firstColumn="0" w:lastColumn="0" w:oddVBand="0" w:evenVBand="0" w:oddHBand="0" w:evenHBand="0" w:firstRowFirstColumn="0" w:firstRowLastColumn="0" w:lastRowFirstColumn="0" w:lastRowLastColumn="0"/>
            </w:pPr>
            <w:r>
              <w:t>Sulphur in Water, Extractable (Methylene Blue Auto-</w:t>
            </w:r>
            <w:proofErr w:type="spellStart"/>
            <w:r>
              <w:t>Colourimetry</w:t>
            </w:r>
            <w:proofErr w:type="spellEnd"/>
            <w:r>
              <w:t>)</w:t>
            </w:r>
          </w:p>
          <w:p w:rsidR="00AA4AE9" w:rsidRDefault="00AA4AE9" w:rsidP="00BB5ED0">
            <w:pPr>
              <w:ind w:left="0" w:right="0"/>
              <w:cnfStyle w:val="000000000000" w:firstRow="0" w:lastRow="0" w:firstColumn="0" w:lastColumn="0" w:oddVBand="0" w:evenVBand="0" w:oddHBand="0" w:evenHBand="0" w:firstRowFirstColumn="0" w:firstRowLastColumn="0" w:lastRowFirstColumn="0" w:lastRowLastColumn="0"/>
            </w:pPr>
          </w:p>
          <w:p w:rsidR="00AA4AE9" w:rsidRDefault="00AA4AE9" w:rsidP="00BB5ED0">
            <w:pPr>
              <w:ind w:left="0" w:right="0"/>
              <w:cnfStyle w:val="000000000000" w:firstRow="0" w:lastRow="0" w:firstColumn="0" w:lastColumn="0" w:oddVBand="0" w:evenVBand="0" w:oddHBand="0" w:evenHBand="0" w:firstRowFirstColumn="0" w:firstRowLastColumn="0" w:lastRowFirstColumn="0" w:lastRowLastColumn="0"/>
            </w:pPr>
            <w:r>
              <w:t>Output: concentration of H2S in solution, mg/L</w:t>
            </w:r>
          </w:p>
          <w:p w:rsidR="00AA4AE9" w:rsidRPr="00822CE3" w:rsidRDefault="00AA4AE9" w:rsidP="00BB5ED0">
            <w:pPr>
              <w:ind w:left="0" w:right="0"/>
              <w:cnfStyle w:val="000000000000" w:firstRow="0" w:lastRow="0" w:firstColumn="0" w:lastColumn="0" w:oddVBand="0" w:evenVBand="0" w:oddHBand="0" w:evenHBand="0" w:firstRowFirstColumn="0" w:firstRowLastColumn="0" w:lastRowFirstColumn="0" w:lastRowLastColumn="0"/>
            </w:pPr>
            <w:r>
              <w:t>Detection Limit:  0.002mg/L</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D56</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Standard Test Method for Flash Point by Tag Closed Cup Tester</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flash point, °C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D86</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Standard Test Method for Distillation of Petroleum Products at Atmospheric Pressure, Initial Boiling Point</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initial boiling point (IBP),°C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D93</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 xml:space="preserve">Standard Test Methods for Flash Point by </w:t>
            </w:r>
            <w:proofErr w:type="spellStart"/>
            <w:r>
              <w:t>Pensky</w:t>
            </w:r>
            <w:proofErr w:type="spellEnd"/>
            <w:r>
              <w:t>-Martens Closed Cup Tester</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flash point, °C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D323M</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 xml:space="preserve">Standard Test Method for </w:t>
            </w:r>
            <w:proofErr w:type="spellStart"/>
            <w:r>
              <w:t>Vapor</w:t>
            </w:r>
            <w:proofErr w:type="spellEnd"/>
            <w:r>
              <w:t xml:space="preserve"> Pressure of Petroleum Products (Reid Method), Modified.  </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BB5ED0">
            <w:pPr>
              <w:ind w:left="34" w:right="0"/>
              <w:cnfStyle w:val="000000000000" w:firstRow="0" w:lastRow="0" w:firstColumn="0" w:lastColumn="0" w:oddVBand="0" w:evenVBand="0" w:oddHBand="0" w:evenHBand="0" w:firstRowFirstColumn="0" w:firstRowLastColumn="0" w:lastRowFirstColumn="0" w:lastRowLastColumn="0"/>
            </w:pPr>
            <w:r>
              <w:t>Output:  vapour pressure at V/L 4:1 and 50°C, °C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D3828</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Standard Test Methods for Flash Point by Small Scale Closed Cup Tester</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BB5ED0">
            <w:pPr>
              <w:ind w:left="34" w:right="0"/>
              <w:cnfStyle w:val="000000000000" w:firstRow="0" w:lastRow="0" w:firstColumn="0" w:lastColumn="0" w:oddVBand="0" w:evenVBand="0" w:oddHBand="0" w:evenHBand="0" w:firstRowFirstColumn="0" w:firstRowLastColumn="0" w:lastRowFirstColumn="0" w:lastRowLastColumn="0"/>
            </w:pPr>
            <w:r>
              <w:t>Output:  flash point, °C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D4007</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Water and Sediment in Crude Oil by the Centrifuge Method (Laboratory Procedure)</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water content, volume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D5002</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 xml:space="preserve">Standard Test Method for Density and Relative Density of Crude Oils by Digital Density </w:t>
            </w:r>
            <w:proofErr w:type="spellStart"/>
            <w:r>
              <w:t>Analyzer</w:t>
            </w:r>
            <w:proofErr w:type="spellEnd"/>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density, kg/m3</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D5705</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 xml:space="preserve">Measurement of Hydrogen Sulphide in the </w:t>
            </w:r>
            <w:proofErr w:type="spellStart"/>
            <w:r>
              <w:t>Vapor</w:t>
            </w:r>
            <w:proofErr w:type="spellEnd"/>
            <w:r>
              <w:t xml:space="preserve"> Phase Above Residual Oils</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38"/>
              <w:cnfStyle w:val="000000000000" w:firstRow="0" w:lastRow="0" w:firstColumn="0" w:lastColumn="0" w:oddVBand="0" w:evenVBand="0" w:oddHBand="0" w:evenHBand="0" w:firstRowFirstColumn="0" w:firstRowLastColumn="0" w:lastRowFirstColumn="0" w:lastRowLastColumn="0"/>
            </w:pPr>
            <w:r>
              <w:t>Output:  concentration of H2S in the vapour phase, ppm</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D6377</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 xml:space="preserve">Standard Test Method for Determination of </w:t>
            </w:r>
            <w:proofErr w:type="spellStart"/>
            <w:r>
              <w:t>Vapor</w:t>
            </w:r>
            <w:proofErr w:type="spellEnd"/>
            <w:r>
              <w:t xml:space="preserve"> Pressure of Crude Oil: </w:t>
            </w:r>
            <w:proofErr w:type="spellStart"/>
            <w:r>
              <w:t>VPCRx</w:t>
            </w:r>
            <w:proofErr w:type="spellEnd"/>
            <w:r>
              <w:t xml:space="preserve"> (Expansion Method)</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 xml:space="preserve">Output:  vapour pressure at V/L 0.2:1 and 50°C, </w:t>
            </w:r>
            <w:proofErr w:type="spellStart"/>
            <w:r>
              <w:t>kPa</w:t>
            </w:r>
            <w:proofErr w:type="spellEnd"/>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D7169</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Standard Test Method for Boiling Point Distribution of Samples with Residues Such as Crude Oils and Atmospheric and Vacuum Residues by High Temperature Gas Chromatography</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boiling point distribution, mass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D7678</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Total Petroleum Hydrocarbons (TPH) in Water and Wastewater Solvent Extraction using Mid-IR Laser Spectroscopy</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concentration of TPH in water, mg/L (ppm)</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lastRenderedPageBreak/>
              <w:t>ASTM D7900</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Standard Test Method for Determination of Light Hydrocarbons in Stabilized Crude Oils by Gas Chromatography</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0866A5">
            <w:pPr>
              <w:ind w:left="34" w:right="38"/>
              <w:cnfStyle w:val="000000000000" w:firstRow="0" w:lastRow="0" w:firstColumn="0" w:lastColumn="0" w:oddVBand="0" w:evenVBand="0" w:oddHBand="0" w:evenHBand="0" w:firstRowFirstColumn="0" w:firstRowLastColumn="0" w:lastRowFirstColumn="0" w:lastRowLastColumn="0"/>
            </w:pPr>
            <w:r>
              <w:t>Output:  light end composition, mass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GOR/GC</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Atmospheric Flash of Hydrocarbon Samples for Gas-Oil Ratio Determination (GOR) Determination and Gas Composition by GC</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GOR, m3/m3 and flashed gas composition, mass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0866A5" w:rsidP="00BB5ED0">
            <w:pPr>
              <w:ind w:left="0" w:right="151"/>
              <w:jc w:val="center"/>
            </w:pPr>
            <w:r w:rsidRPr="00AA4AE9">
              <w:t>ASTM D8003</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Standard Test Method for  Determination of Light Hydrocarbons and Hydrocarbon Boiling Point Distribution and Cut Point Intervals in Live Crude Oils and Condensates via Gas Chromatography</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light end composition, mass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0866A5" w:rsidP="00BB5ED0">
            <w:pPr>
              <w:ind w:left="0" w:right="151"/>
              <w:jc w:val="center"/>
            </w:pPr>
            <w:r>
              <w:t>ISO 10156</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Gases and gas mixtures – Determination of fire potential and oxidizing ability for the selection of cylinder valve outlets</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flammability range with air, % of gas in air</w:t>
            </w:r>
          </w:p>
        </w:tc>
      </w:tr>
    </w:tbl>
    <w:p w:rsidR="006644A1" w:rsidRDefault="006644A1" w:rsidP="00AA4AE9">
      <w:pPr>
        <w:spacing w:before="120" w:after="240" w:line="240" w:lineRule="auto"/>
        <w:jc w:val="left"/>
        <w:rPr>
          <w:b/>
          <w:u w:val="single"/>
        </w:rPr>
        <w:sectPr w:rsidR="006644A1" w:rsidSect="0049771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964" w:footer="1701" w:gutter="0"/>
          <w:cols w:space="720"/>
          <w:titlePg/>
          <w:docGrid w:linePitch="272"/>
        </w:sectPr>
      </w:pPr>
    </w:p>
    <w:p w:rsidR="00AA4AE9" w:rsidRDefault="006644A1" w:rsidP="006644A1">
      <w:pPr>
        <w:spacing w:before="120" w:after="240" w:line="240" w:lineRule="auto"/>
        <w:jc w:val="center"/>
        <w:rPr>
          <w:b/>
          <w:u w:val="single"/>
        </w:rPr>
      </w:pPr>
      <w:r>
        <w:rPr>
          <w:b/>
          <w:u w:val="single"/>
        </w:rPr>
        <w:lastRenderedPageBreak/>
        <w:t>ANNEX B – AITF Report</w:t>
      </w:r>
    </w:p>
    <w:p w:rsidR="0024571F" w:rsidRDefault="0024571F" w:rsidP="006644A1">
      <w:pPr>
        <w:spacing w:before="120" w:after="240" w:line="240" w:lineRule="auto"/>
        <w:jc w:val="center"/>
        <w:rPr>
          <w:b/>
          <w:u w:val="single"/>
        </w:rPr>
      </w:pPr>
    </w:p>
    <w:p w:rsidR="0024571F" w:rsidRPr="00AA4AE9" w:rsidRDefault="0059406C" w:rsidP="006644A1">
      <w:pPr>
        <w:spacing w:before="120" w:after="240" w:line="240" w:lineRule="auto"/>
        <w:jc w:val="center"/>
        <w:rPr>
          <w:b/>
          <w:u w:val="single"/>
        </w:rPr>
      </w:pPr>
      <w:r>
        <w:rPr>
          <w:b/>
          <w:u w:val="single"/>
        </w:rPr>
        <w:t>See INF.62/Add.1</w:t>
      </w:r>
    </w:p>
    <w:sectPr w:rsidR="0024571F" w:rsidRPr="00AA4AE9" w:rsidSect="00497711">
      <w:headerReference w:type="first" r:id="rId21"/>
      <w:footerReference w:type="first" r:id="rId2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BF" w:rsidRDefault="00B656BF"/>
  </w:endnote>
  <w:endnote w:type="continuationSeparator" w:id="0">
    <w:p w:rsidR="00B656BF" w:rsidRDefault="00B656BF"/>
  </w:endnote>
  <w:endnote w:type="continuationNotice" w:id="1">
    <w:p w:rsidR="00B656BF" w:rsidRDefault="00B65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869205"/>
      <w:docPartObj>
        <w:docPartGallery w:val="Page Numbers (Bottom of Page)"/>
        <w:docPartUnique/>
      </w:docPartObj>
    </w:sdtPr>
    <w:sdtEndPr>
      <w:rPr>
        <w:noProof/>
      </w:rPr>
    </w:sdtEndPr>
    <w:sdtContent>
      <w:p w:rsidR="007A3E4C" w:rsidRDefault="007A3E4C">
        <w:pPr>
          <w:pStyle w:val="Footer"/>
        </w:pPr>
        <w:r>
          <w:fldChar w:fldCharType="begin"/>
        </w:r>
        <w:r>
          <w:instrText xml:space="preserve"> PAGE   \* MERGEFORMAT </w:instrText>
        </w:r>
        <w:r>
          <w:fldChar w:fldCharType="separate"/>
        </w:r>
        <w:r w:rsidR="00DC70AF">
          <w:rPr>
            <w:noProof/>
          </w:rPr>
          <w:t>4</w:t>
        </w:r>
        <w:r>
          <w:rPr>
            <w:noProof/>
          </w:rPr>
          <w:fldChar w:fldCharType="end"/>
        </w:r>
      </w:p>
    </w:sdtContent>
  </w:sdt>
  <w:p w:rsidR="00D626F7" w:rsidRDefault="00D62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7232247"/>
      <w:docPartObj>
        <w:docPartGallery w:val="Page Numbers (Bottom of Page)"/>
        <w:docPartUnique/>
      </w:docPartObj>
    </w:sdtPr>
    <w:sdtEndPr/>
    <w:sdtContent>
      <w:p w:rsidR="00D626F7" w:rsidRPr="007A3E4C" w:rsidRDefault="007F1CE0" w:rsidP="000E427C">
        <w:pPr>
          <w:pStyle w:val="Footer"/>
          <w:jc w:val="right"/>
          <w:rPr>
            <w:b/>
          </w:rPr>
        </w:pPr>
        <w:r w:rsidRPr="007A3E4C">
          <w:rPr>
            <w:b/>
          </w:rPr>
          <w:fldChar w:fldCharType="begin"/>
        </w:r>
        <w:r w:rsidR="00D626F7" w:rsidRPr="007A3E4C">
          <w:rPr>
            <w:b/>
          </w:rPr>
          <w:instrText xml:space="preserve"> PAGE   \* MERGEFORMAT </w:instrText>
        </w:r>
        <w:r w:rsidRPr="007A3E4C">
          <w:rPr>
            <w:b/>
          </w:rPr>
          <w:fldChar w:fldCharType="separate"/>
        </w:r>
        <w:r w:rsidR="00DC70AF">
          <w:rPr>
            <w:b/>
            <w:noProof/>
          </w:rPr>
          <w:t>5</w:t>
        </w:r>
        <w:r w:rsidRPr="007A3E4C">
          <w:rPr>
            <w:b/>
            <w:noProof/>
          </w:rPr>
          <w:fldChar w:fldCharType="end"/>
        </w:r>
      </w:p>
    </w:sdtContent>
  </w:sdt>
  <w:p w:rsidR="00D626F7" w:rsidRDefault="00D626F7" w:rsidP="000E427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F7" w:rsidRPr="0099001C" w:rsidRDefault="00D626F7" w:rsidP="0049716C"/>
  <w:p w:rsidR="00D626F7" w:rsidRDefault="00D626F7" w:rsidP="005D5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7F1CE0" w:rsidP="000216CC">
    <w:pPr>
      <w:pStyle w:val="Footer"/>
      <w:tabs>
        <w:tab w:val="right" w:pos="9638"/>
      </w:tabs>
      <w:rPr>
        <w:sz w:val="18"/>
      </w:rPr>
    </w:pPr>
    <w:r w:rsidRPr="000216CC">
      <w:rPr>
        <w:b/>
        <w:sz w:val="18"/>
      </w:rPr>
      <w:fldChar w:fldCharType="begin"/>
    </w:r>
    <w:r w:rsidR="009A7577" w:rsidRPr="000216CC">
      <w:rPr>
        <w:b/>
        <w:sz w:val="18"/>
      </w:rPr>
      <w:instrText xml:space="preserve"> PAGE  \* MERGEFORMAT </w:instrText>
    </w:r>
    <w:r w:rsidRPr="000216CC">
      <w:rPr>
        <w:b/>
        <w:sz w:val="18"/>
      </w:rPr>
      <w:fldChar w:fldCharType="separate"/>
    </w:r>
    <w:r w:rsidR="0024571F">
      <w:rPr>
        <w:b/>
        <w:noProof/>
        <w:sz w:val="18"/>
      </w:rPr>
      <w:t>70</w:t>
    </w:r>
    <w:r w:rsidRPr="000216CC">
      <w:rPr>
        <w:b/>
        <w:sz w:val="18"/>
      </w:rPr>
      <w:fldChar w:fldCharType="end"/>
    </w:r>
    <w:r w:rsidR="009A7577">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b/>
        <w:sz w:val="18"/>
      </w:rPr>
    </w:pPr>
    <w:r>
      <w:tab/>
    </w:r>
    <w:r w:rsidR="007F1CE0" w:rsidRPr="000216CC">
      <w:rPr>
        <w:b/>
        <w:sz w:val="18"/>
      </w:rPr>
      <w:fldChar w:fldCharType="begin"/>
    </w:r>
    <w:r w:rsidRPr="000216CC">
      <w:rPr>
        <w:b/>
        <w:sz w:val="18"/>
      </w:rPr>
      <w:instrText xml:space="preserve"> PAGE  \* MERGEFORMAT </w:instrText>
    </w:r>
    <w:r w:rsidR="007F1CE0" w:rsidRPr="000216CC">
      <w:rPr>
        <w:b/>
        <w:sz w:val="18"/>
      </w:rPr>
      <w:fldChar w:fldCharType="separate"/>
    </w:r>
    <w:r w:rsidR="00DC70AF">
      <w:rPr>
        <w:b/>
        <w:noProof/>
        <w:sz w:val="18"/>
      </w:rPr>
      <w:t>7</w:t>
    </w:r>
    <w:r w:rsidR="007F1CE0" w:rsidRPr="000216CC">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831BB9">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A1" w:rsidRPr="006644A1" w:rsidRDefault="006644A1" w:rsidP="00664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BF" w:rsidRPr="000B175B" w:rsidRDefault="00B656BF" w:rsidP="000B175B">
      <w:pPr>
        <w:tabs>
          <w:tab w:val="right" w:pos="2155"/>
        </w:tabs>
        <w:spacing w:after="80"/>
        <w:ind w:left="680"/>
        <w:rPr>
          <w:u w:val="single"/>
        </w:rPr>
      </w:pPr>
      <w:r>
        <w:rPr>
          <w:u w:val="single"/>
        </w:rPr>
        <w:tab/>
      </w:r>
    </w:p>
  </w:footnote>
  <w:footnote w:type="continuationSeparator" w:id="0">
    <w:p w:rsidR="00B656BF" w:rsidRPr="00FC68B7" w:rsidRDefault="00B656BF" w:rsidP="00FC68B7">
      <w:pPr>
        <w:tabs>
          <w:tab w:val="left" w:pos="2155"/>
        </w:tabs>
        <w:spacing w:after="80"/>
        <w:ind w:left="680"/>
        <w:rPr>
          <w:u w:val="single"/>
        </w:rPr>
      </w:pPr>
      <w:r>
        <w:rPr>
          <w:u w:val="single"/>
        </w:rPr>
        <w:tab/>
      </w:r>
    </w:p>
  </w:footnote>
  <w:footnote w:type="continuationNotice" w:id="1">
    <w:p w:rsidR="00B656BF" w:rsidRDefault="00B656BF"/>
  </w:footnote>
  <w:footnote w:id="2">
    <w:p w:rsidR="001D2518" w:rsidRPr="00B610E5" w:rsidRDefault="001D2518" w:rsidP="001D2518">
      <w:pPr>
        <w:pStyle w:val="FootnoteText"/>
        <w:tabs>
          <w:tab w:val="clear" w:pos="1021"/>
          <w:tab w:val="right" w:pos="851"/>
        </w:tabs>
        <w:ind w:left="0" w:firstLine="0"/>
        <w:rPr>
          <w:sz w:val="16"/>
          <w:lang w:val="en-CA"/>
        </w:rPr>
      </w:pPr>
      <w:r w:rsidRPr="001D2518">
        <w:rPr>
          <w:rStyle w:val="FootnoteReference"/>
          <w:sz w:val="16"/>
        </w:rPr>
        <w:footnoteRef/>
      </w:r>
      <w:r w:rsidRPr="001D2518">
        <w:rPr>
          <w:sz w:val="16"/>
        </w:rPr>
        <w:t xml:space="preserve"> True </w:t>
      </w:r>
      <w:proofErr w:type="spellStart"/>
      <w:r w:rsidRPr="001D2518">
        <w:rPr>
          <w:sz w:val="16"/>
        </w:rPr>
        <w:t>Vapor</w:t>
      </w:r>
      <w:proofErr w:type="spellEnd"/>
      <w:r w:rsidRPr="001D2518">
        <w:rPr>
          <w:sz w:val="16"/>
        </w:rPr>
        <w:t xml:space="preserve"> Pressure (TVP)</w:t>
      </w:r>
      <w:r w:rsidRPr="001D2518">
        <w:rPr>
          <w:sz w:val="16"/>
          <w:lang w:val="en-CA"/>
        </w:rPr>
        <w:t>:</w:t>
      </w:r>
      <w:r>
        <w:rPr>
          <w:sz w:val="16"/>
          <w:lang w:val="en-CA"/>
        </w:rPr>
        <w:t xml:space="preserve"> </w:t>
      </w:r>
      <w:r w:rsidRPr="001D2518">
        <w:rPr>
          <w:sz w:val="16"/>
        </w:rPr>
        <w:t>a term used to</w:t>
      </w:r>
      <w:r w:rsidRPr="001D2518">
        <w:rPr>
          <w:sz w:val="16"/>
          <w:lang w:val="en-CA"/>
        </w:rPr>
        <w:t xml:space="preserve"> </w:t>
      </w:r>
      <w:r w:rsidRPr="001D2518">
        <w:rPr>
          <w:sz w:val="16"/>
        </w:rPr>
        <w:t>describe the pressure exerted by a fluid at a</w:t>
      </w:r>
      <w:r w:rsidRPr="001D2518">
        <w:rPr>
          <w:sz w:val="16"/>
          <w:lang w:val="en-CA"/>
        </w:rPr>
        <w:t xml:space="preserve"> </w:t>
      </w:r>
      <w:r w:rsidRPr="001D2518">
        <w:rPr>
          <w:sz w:val="16"/>
        </w:rPr>
        <w:t xml:space="preserve">very low </w:t>
      </w:r>
      <w:proofErr w:type="spellStart"/>
      <w:r w:rsidRPr="001D2518">
        <w:rPr>
          <w:sz w:val="16"/>
        </w:rPr>
        <w:t>vapor</w:t>
      </w:r>
      <w:proofErr w:type="spellEnd"/>
      <w:r w:rsidRPr="001D2518">
        <w:rPr>
          <w:sz w:val="16"/>
        </w:rPr>
        <w:t xml:space="preserve">/liquid ratio at a specified temperature; empirically, a result to represent the bubble point, defined as a zero </w:t>
      </w:r>
      <w:proofErr w:type="spellStart"/>
      <w:r w:rsidRPr="001D2518">
        <w:rPr>
          <w:sz w:val="16"/>
        </w:rPr>
        <w:t>vapor</w:t>
      </w:r>
      <w:proofErr w:type="spellEnd"/>
      <w:r w:rsidRPr="001D2518">
        <w:rPr>
          <w:sz w:val="16"/>
        </w:rPr>
        <w:t>/liquid (V/L) ratio up to say 0.02 V/L ratio (lower limit of test methods such as ASTM D6377).</w:t>
      </w:r>
      <w:r w:rsidRPr="001D2518">
        <w:rPr>
          <w:sz w:val="16"/>
          <w:lang w:val="en-CA"/>
        </w:rPr>
        <w:t xml:space="preserve"> </w:t>
      </w:r>
      <w:r w:rsidRPr="00B610E5">
        <w:rPr>
          <w:sz w:val="16"/>
          <w:lang w:val="en-CA"/>
        </w:rPr>
        <w:t>Source: http://goo.gl/0cDck5</w:t>
      </w:r>
    </w:p>
  </w:footnote>
  <w:footnote w:id="3">
    <w:p w:rsidR="001D2518" w:rsidRPr="001D2518" w:rsidRDefault="001D2518" w:rsidP="001D2518">
      <w:pPr>
        <w:pStyle w:val="FootnoteText"/>
        <w:tabs>
          <w:tab w:val="clear" w:pos="1021"/>
          <w:tab w:val="right" w:pos="851"/>
        </w:tabs>
        <w:ind w:left="0" w:firstLine="0"/>
        <w:jc w:val="left"/>
        <w:rPr>
          <w:sz w:val="16"/>
          <w:szCs w:val="16"/>
          <w:lang w:val="en-CA"/>
        </w:rPr>
      </w:pPr>
      <w:r w:rsidRPr="001D2518">
        <w:rPr>
          <w:rStyle w:val="FootnoteReference"/>
          <w:sz w:val="16"/>
          <w:szCs w:val="16"/>
        </w:rPr>
        <w:footnoteRef/>
      </w:r>
      <w:r w:rsidRPr="001D2518">
        <w:rPr>
          <w:sz w:val="16"/>
          <w:szCs w:val="16"/>
        </w:rPr>
        <w:t xml:space="preserve"> Reid</w:t>
      </w:r>
      <w:r w:rsidRPr="001D2518">
        <w:rPr>
          <w:sz w:val="16"/>
          <w:szCs w:val="16"/>
          <w:lang w:val="en-CA"/>
        </w:rPr>
        <w:t xml:space="preserve"> </w:t>
      </w:r>
      <w:proofErr w:type="spellStart"/>
      <w:r w:rsidRPr="001D2518">
        <w:rPr>
          <w:sz w:val="16"/>
          <w:szCs w:val="16"/>
        </w:rPr>
        <w:t>Vapor</w:t>
      </w:r>
      <w:proofErr w:type="spellEnd"/>
      <w:r w:rsidRPr="001D2518">
        <w:rPr>
          <w:sz w:val="16"/>
          <w:szCs w:val="16"/>
        </w:rPr>
        <w:t xml:space="preserve"> Pressure (RVP)</w:t>
      </w:r>
      <w:r w:rsidRPr="001D2518">
        <w:rPr>
          <w:sz w:val="16"/>
          <w:szCs w:val="16"/>
          <w:lang w:val="en-CA"/>
        </w:rPr>
        <w:t xml:space="preserve">: </w:t>
      </w:r>
      <w:r w:rsidRPr="001D2518">
        <w:rPr>
          <w:sz w:val="16"/>
          <w:szCs w:val="16"/>
        </w:rPr>
        <w:t xml:space="preserve">a term commonly defined by ASTM D323 Reid </w:t>
      </w:r>
      <w:proofErr w:type="spellStart"/>
      <w:r w:rsidRPr="001D2518">
        <w:rPr>
          <w:sz w:val="16"/>
          <w:szCs w:val="16"/>
        </w:rPr>
        <w:t>Vapor</w:t>
      </w:r>
      <w:proofErr w:type="spellEnd"/>
      <w:r w:rsidRPr="001D2518">
        <w:rPr>
          <w:sz w:val="16"/>
          <w:szCs w:val="16"/>
        </w:rPr>
        <w:t xml:space="preserve"> Pressure Method -</w:t>
      </w:r>
      <w:r w:rsidRPr="001D2518">
        <w:rPr>
          <w:sz w:val="16"/>
          <w:szCs w:val="16"/>
          <w:lang w:val="en-CA"/>
        </w:rPr>
        <w:t xml:space="preserve"> </w:t>
      </w:r>
      <w:r w:rsidRPr="001D2518">
        <w:rPr>
          <w:sz w:val="16"/>
          <w:szCs w:val="16"/>
        </w:rPr>
        <w:t>used to describe the pressure exerted by an air saturated fluid at</w:t>
      </w:r>
      <w:r w:rsidRPr="001D2518">
        <w:rPr>
          <w:sz w:val="16"/>
          <w:szCs w:val="16"/>
          <w:lang w:val="en-CA"/>
        </w:rPr>
        <w:t xml:space="preserve"> </w:t>
      </w:r>
      <w:r w:rsidRPr="001D2518">
        <w:rPr>
          <w:sz w:val="16"/>
          <w:szCs w:val="16"/>
        </w:rPr>
        <w:t xml:space="preserve">a </w:t>
      </w:r>
      <w:proofErr w:type="spellStart"/>
      <w:r w:rsidRPr="001D2518">
        <w:rPr>
          <w:sz w:val="16"/>
          <w:szCs w:val="16"/>
        </w:rPr>
        <w:t>vapor</w:t>
      </w:r>
      <w:proofErr w:type="spellEnd"/>
      <w:r w:rsidRPr="001D2518">
        <w:rPr>
          <w:sz w:val="16"/>
          <w:szCs w:val="16"/>
        </w:rPr>
        <w:t>/liquid ratio of 4:1 at 37.8°C.</w:t>
      </w:r>
      <w:r w:rsidRPr="001D2518">
        <w:rPr>
          <w:sz w:val="16"/>
          <w:szCs w:val="16"/>
          <w:lang w:val="en-CA"/>
        </w:rPr>
        <w:t xml:space="preserve"> Source: http://goo.gl/0cDck5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4C" w:rsidRPr="007A3E4C" w:rsidRDefault="007A3E4C">
    <w:pPr>
      <w:pStyle w:val="Header"/>
      <w:rPr>
        <w:lang w:val="fr-CH"/>
      </w:rPr>
    </w:pPr>
    <w:r>
      <w:rPr>
        <w:lang w:val="fr-CH"/>
      </w:rPr>
      <w:t>UN/SCETDG/48/INF.62</w:t>
    </w:r>
    <w:r>
      <w:rPr>
        <w:lang w:val="fr-CH"/>
      </w:rPr>
      <w:br/>
      <w:t>UN/SCEGHS/30/INF.23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4C" w:rsidRPr="007A3E4C" w:rsidRDefault="007A3E4C" w:rsidP="007A3E4C">
    <w:pPr>
      <w:pStyle w:val="Header"/>
      <w:jc w:val="right"/>
      <w:rPr>
        <w:lang w:val="fr-CH"/>
      </w:rPr>
    </w:pPr>
    <w:r>
      <w:rPr>
        <w:lang w:val="fr-CH"/>
      </w:rPr>
      <w:t>UN/SCETDG/48/INF.62</w:t>
    </w:r>
    <w:r>
      <w:rPr>
        <w:lang w:val="fr-CH"/>
      </w:rPr>
      <w:br/>
      <w:t>UN/SCEGHS/30/INF.23</w:t>
    </w:r>
  </w:p>
  <w:p w:rsidR="007A3E4C" w:rsidRDefault="007A3E4C" w:rsidP="007A3E4C">
    <w:pPr>
      <w:pStyle w:val="Header"/>
      <w:pBdr>
        <w:bottom w:val="none" w:sz="0" w:space="0" w:color="auto"/>
      </w:pBd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F7" w:rsidRDefault="00D626F7" w:rsidP="0049716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92708C" w:rsidRDefault="009A7577">
    <w:pPr>
      <w:pStyle w:val="Header"/>
      <w:rPr>
        <w:lang w:val="nl-NL"/>
      </w:rPr>
    </w:pPr>
    <w:r w:rsidRPr="0092708C">
      <w:rPr>
        <w:lang w:val="nl-NL"/>
      </w:rPr>
      <w:t>UN/SCETDG/47/INF</w:t>
    </w:r>
    <w:proofErr w:type="gramStart"/>
    <w:r w:rsidRPr="0092708C">
      <w:rPr>
        <w:lang w:val="nl-NL"/>
      </w:rPr>
      <w:t>.</w:t>
    </w:r>
    <w:r>
      <w:rPr>
        <w:lang w:val="nl-NL"/>
      </w:rPr>
      <w:t>X</w:t>
    </w:r>
  </w:p>
  <w:p w:rsidR="009A7577" w:rsidRPr="00B5392B" w:rsidRDefault="009A7577">
    <w:pPr>
      <w:pStyle w:val="Header"/>
      <w:rPr>
        <w:lang w:val="nl-NL"/>
      </w:rPr>
    </w:pPr>
    <w:proofErr w:type="gramEnd"/>
    <w:r w:rsidRPr="0092708C">
      <w:rPr>
        <w:lang w:val="nl-NL"/>
      </w:rPr>
      <w:t>UN/SCEGHS/29/INF</w:t>
    </w:r>
    <w:proofErr w:type="gramStart"/>
    <w:r w:rsidRPr="0092708C">
      <w:rPr>
        <w:lang w:val="nl-NL"/>
      </w:rPr>
      <w:t>.</w:t>
    </w:r>
    <w:r>
      <w:rPr>
        <w:lang w:val="nl-NL"/>
      </w:rPr>
      <w:t>X</w:t>
    </w:r>
  </w:p>
  <w:proofErr w:type="gramEn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CD314C" w:rsidRDefault="007A3E4C" w:rsidP="000216CC">
    <w:pPr>
      <w:pStyle w:val="Header"/>
      <w:jc w:val="right"/>
      <w:rPr>
        <w:lang w:val="fr-FR"/>
      </w:rPr>
    </w:pPr>
    <w:r>
      <w:rPr>
        <w:lang w:val="fr-FR"/>
      </w:rPr>
      <w:t>UN/SCETDG/48/INF.62</w:t>
    </w:r>
    <w:r>
      <w:rPr>
        <w:lang w:val="fr-FR"/>
      </w:rPr>
      <w:br/>
      <w:t>UN/SCEGHS/30/INF.23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4C" w:rsidRPr="007A3E4C" w:rsidRDefault="007A3E4C" w:rsidP="007A3E4C">
    <w:pPr>
      <w:pStyle w:val="Header"/>
      <w:rPr>
        <w:lang w:val="fr-CH"/>
      </w:rPr>
    </w:pPr>
    <w:r>
      <w:rPr>
        <w:lang w:val="fr-CH"/>
      </w:rPr>
      <w:t>UN/SCETDG/48/INF.62</w:t>
    </w:r>
    <w:r>
      <w:rPr>
        <w:lang w:val="fr-CH"/>
      </w:rPr>
      <w:br/>
      <w:t>UN/SCEGHS/30/INF.23</w:t>
    </w:r>
  </w:p>
  <w:p w:rsidR="009A7577" w:rsidRPr="006644A1" w:rsidRDefault="009A7577" w:rsidP="007A3E4C">
    <w:pPr>
      <w:pStyle w:val="Header"/>
      <w:pBdr>
        <w:bottom w:val="none" w:sz="0" w:space="0" w:color="auto"/>
      </w:pBdr>
      <w:ind w:left="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4C" w:rsidRPr="007A3E4C" w:rsidRDefault="007A3E4C" w:rsidP="007A3E4C">
    <w:pPr>
      <w:pStyle w:val="Header"/>
      <w:rPr>
        <w:lang w:val="fr-CH"/>
      </w:rPr>
    </w:pPr>
    <w:r>
      <w:rPr>
        <w:lang w:val="fr-CH"/>
      </w:rPr>
      <w:t>UN/SCETDG/48/INF.62</w:t>
    </w:r>
    <w:r>
      <w:rPr>
        <w:lang w:val="fr-CH"/>
      </w:rPr>
      <w:br/>
      <w:t>UN/SCEGHS/30/INF.23</w:t>
    </w:r>
  </w:p>
  <w:p w:rsidR="007A3E4C" w:rsidRPr="006644A1" w:rsidRDefault="007A3E4C" w:rsidP="007A3E4C">
    <w:pPr>
      <w:pStyle w:val="Header"/>
      <w:pBdr>
        <w:bottom w:val="none" w:sz="0" w:space="0" w:color="auto"/>
      </w:pBd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72C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710719"/>
    <w:multiLevelType w:val="hybridMultilevel"/>
    <w:tmpl w:val="04A21158"/>
    <w:lvl w:ilvl="0" w:tplc="3C5273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3230AF7"/>
    <w:multiLevelType w:val="hybridMultilevel"/>
    <w:tmpl w:val="ABFA2E5A"/>
    <w:lvl w:ilvl="0" w:tplc="2EAE39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9C3C29"/>
    <w:multiLevelType w:val="multilevel"/>
    <w:tmpl w:val="F3CEC194"/>
    <w:lvl w:ilvl="0">
      <w:start w:val="2"/>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3"/>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E53649"/>
    <w:multiLevelType w:val="hybridMultilevel"/>
    <w:tmpl w:val="3BBCE6D6"/>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28B97A49"/>
    <w:multiLevelType w:val="hybridMultilevel"/>
    <w:tmpl w:val="04A21158"/>
    <w:lvl w:ilvl="0" w:tplc="3C5273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A25A5D"/>
    <w:multiLevelType w:val="hybridMultilevel"/>
    <w:tmpl w:val="F74CB442"/>
    <w:lvl w:ilvl="0" w:tplc="DACE920E">
      <w:start w:val="1"/>
      <w:numFmt w:val="bullet"/>
      <w:lvlText w:val="•"/>
      <w:lvlJc w:val="left"/>
      <w:pPr>
        <w:tabs>
          <w:tab w:val="num" w:pos="720"/>
        </w:tabs>
        <w:ind w:left="720" w:hanging="360"/>
      </w:pPr>
      <w:rPr>
        <w:rFonts w:ascii="Times New Roman" w:hAnsi="Times New Roman" w:hint="default"/>
      </w:rPr>
    </w:lvl>
    <w:lvl w:ilvl="1" w:tplc="8608798E" w:tentative="1">
      <w:start w:val="1"/>
      <w:numFmt w:val="bullet"/>
      <w:lvlText w:val="•"/>
      <w:lvlJc w:val="left"/>
      <w:pPr>
        <w:tabs>
          <w:tab w:val="num" w:pos="1440"/>
        </w:tabs>
        <w:ind w:left="1440" w:hanging="360"/>
      </w:pPr>
      <w:rPr>
        <w:rFonts w:ascii="Times New Roman" w:hAnsi="Times New Roman" w:hint="default"/>
      </w:rPr>
    </w:lvl>
    <w:lvl w:ilvl="2" w:tplc="CD6C50C6" w:tentative="1">
      <w:start w:val="1"/>
      <w:numFmt w:val="bullet"/>
      <w:lvlText w:val="•"/>
      <w:lvlJc w:val="left"/>
      <w:pPr>
        <w:tabs>
          <w:tab w:val="num" w:pos="2160"/>
        </w:tabs>
        <w:ind w:left="2160" w:hanging="360"/>
      </w:pPr>
      <w:rPr>
        <w:rFonts w:ascii="Times New Roman" w:hAnsi="Times New Roman" w:hint="default"/>
      </w:rPr>
    </w:lvl>
    <w:lvl w:ilvl="3" w:tplc="44CCB57A" w:tentative="1">
      <w:start w:val="1"/>
      <w:numFmt w:val="bullet"/>
      <w:lvlText w:val="•"/>
      <w:lvlJc w:val="left"/>
      <w:pPr>
        <w:tabs>
          <w:tab w:val="num" w:pos="2880"/>
        </w:tabs>
        <w:ind w:left="2880" w:hanging="360"/>
      </w:pPr>
      <w:rPr>
        <w:rFonts w:ascii="Times New Roman" w:hAnsi="Times New Roman" w:hint="default"/>
      </w:rPr>
    </w:lvl>
    <w:lvl w:ilvl="4" w:tplc="BC7A3436" w:tentative="1">
      <w:start w:val="1"/>
      <w:numFmt w:val="bullet"/>
      <w:lvlText w:val="•"/>
      <w:lvlJc w:val="left"/>
      <w:pPr>
        <w:tabs>
          <w:tab w:val="num" w:pos="3600"/>
        </w:tabs>
        <w:ind w:left="3600" w:hanging="360"/>
      </w:pPr>
      <w:rPr>
        <w:rFonts w:ascii="Times New Roman" w:hAnsi="Times New Roman" w:hint="default"/>
      </w:rPr>
    </w:lvl>
    <w:lvl w:ilvl="5" w:tplc="563CBBD4" w:tentative="1">
      <w:start w:val="1"/>
      <w:numFmt w:val="bullet"/>
      <w:lvlText w:val="•"/>
      <w:lvlJc w:val="left"/>
      <w:pPr>
        <w:tabs>
          <w:tab w:val="num" w:pos="4320"/>
        </w:tabs>
        <w:ind w:left="4320" w:hanging="360"/>
      </w:pPr>
      <w:rPr>
        <w:rFonts w:ascii="Times New Roman" w:hAnsi="Times New Roman" w:hint="default"/>
      </w:rPr>
    </w:lvl>
    <w:lvl w:ilvl="6" w:tplc="6882DD20" w:tentative="1">
      <w:start w:val="1"/>
      <w:numFmt w:val="bullet"/>
      <w:lvlText w:val="•"/>
      <w:lvlJc w:val="left"/>
      <w:pPr>
        <w:tabs>
          <w:tab w:val="num" w:pos="5040"/>
        </w:tabs>
        <w:ind w:left="5040" w:hanging="360"/>
      </w:pPr>
      <w:rPr>
        <w:rFonts w:ascii="Times New Roman" w:hAnsi="Times New Roman" w:hint="default"/>
      </w:rPr>
    </w:lvl>
    <w:lvl w:ilvl="7" w:tplc="94CCFC02" w:tentative="1">
      <w:start w:val="1"/>
      <w:numFmt w:val="bullet"/>
      <w:lvlText w:val="•"/>
      <w:lvlJc w:val="left"/>
      <w:pPr>
        <w:tabs>
          <w:tab w:val="num" w:pos="5760"/>
        </w:tabs>
        <w:ind w:left="5760" w:hanging="360"/>
      </w:pPr>
      <w:rPr>
        <w:rFonts w:ascii="Times New Roman" w:hAnsi="Times New Roman" w:hint="default"/>
      </w:rPr>
    </w:lvl>
    <w:lvl w:ilvl="8" w:tplc="7D08298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6EE7A50"/>
    <w:multiLevelType w:val="hybridMultilevel"/>
    <w:tmpl w:val="85267EC8"/>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1">
    <w:nsid w:val="389C7A8C"/>
    <w:multiLevelType w:val="hybridMultilevel"/>
    <w:tmpl w:val="0FD83C54"/>
    <w:lvl w:ilvl="0" w:tplc="97D67EEE">
      <w:start w:val="1"/>
      <w:numFmt w:val="lowerRoman"/>
      <w:lvlText w:val="(%1)"/>
      <w:lvlJc w:val="left"/>
      <w:pPr>
        <w:ind w:left="2280" w:hanging="72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22">
    <w:nsid w:val="4259003B"/>
    <w:multiLevelType w:val="hybridMultilevel"/>
    <w:tmpl w:val="1BD86C80"/>
    <w:lvl w:ilvl="0" w:tplc="5A1A2C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64F0373"/>
    <w:multiLevelType w:val="hybridMultilevel"/>
    <w:tmpl w:val="FA869D1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4">
    <w:nsid w:val="4972687A"/>
    <w:multiLevelType w:val="multilevel"/>
    <w:tmpl w:val="BD644B46"/>
    <w:lvl w:ilvl="0">
      <w:start w:val="2"/>
      <w:numFmt w:val="decimal"/>
      <w:lvlText w:val="%1"/>
      <w:lvlJc w:val="left"/>
      <w:pPr>
        <w:ind w:left="660" w:hanging="660"/>
      </w:pPr>
      <w:rPr>
        <w:rFonts w:hint="default"/>
        <w:u w:val="none"/>
      </w:rPr>
    </w:lvl>
    <w:lvl w:ilvl="1">
      <w:start w:val="8"/>
      <w:numFmt w:val="decimal"/>
      <w:lvlText w:val="%1.%2"/>
      <w:lvlJc w:val="left"/>
      <w:pPr>
        <w:ind w:left="660" w:hanging="660"/>
      </w:pPr>
      <w:rPr>
        <w:rFonts w:hint="default"/>
        <w:u w:val="none"/>
      </w:rPr>
    </w:lvl>
    <w:lvl w:ilvl="2">
      <w:start w:val="2"/>
      <w:numFmt w:val="decimal"/>
      <w:lvlText w:val="%1.%2.%3"/>
      <w:lvlJc w:val="left"/>
      <w:pPr>
        <w:ind w:left="720" w:hanging="720"/>
      </w:pPr>
      <w:rPr>
        <w:rFonts w:hint="default"/>
        <w:u w:val="none"/>
      </w:rPr>
    </w:lvl>
    <w:lvl w:ilvl="3">
      <w:start w:val="2"/>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5">
    <w:nsid w:val="4A5A1D2A"/>
    <w:multiLevelType w:val="hybridMultilevel"/>
    <w:tmpl w:val="FEDCF398"/>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26">
    <w:nsid w:val="540B7ADB"/>
    <w:multiLevelType w:val="hybridMultilevel"/>
    <w:tmpl w:val="62F4AEE6"/>
    <w:lvl w:ilvl="0" w:tplc="5FD0082A">
      <w:start w:val="1"/>
      <w:numFmt w:val="lowerLetter"/>
      <w:lvlText w:val="(%1)"/>
      <w:lvlJc w:val="left"/>
      <w:pPr>
        <w:ind w:left="840" w:hanging="360"/>
      </w:pPr>
      <w:rPr>
        <w:rFonts w:ascii="Times New Roman" w:hAnsi="Times New Roman" w:cs="Times New Roman" w:hint="default"/>
        <w:strike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7">
    <w:nsid w:val="59F9775E"/>
    <w:multiLevelType w:val="multilevel"/>
    <w:tmpl w:val="BD644B46"/>
    <w:lvl w:ilvl="0">
      <w:start w:val="2"/>
      <w:numFmt w:val="decimal"/>
      <w:lvlText w:val="%1"/>
      <w:lvlJc w:val="left"/>
      <w:pPr>
        <w:ind w:left="660" w:hanging="660"/>
      </w:pPr>
      <w:rPr>
        <w:rFonts w:hint="default"/>
        <w:u w:val="none"/>
      </w:rPr>
    </w:lvl>
    <w:lvl w:ilvl="1">
      <w:start w:val="8"/>
      <w:numFmt w:val="decimal"/>
      <w:lvlText w:val="%1.%2"/>
      <w:lvlJc w:val="left"/>
      <w:pPr>
        <w:ind w:left="660" w:hanging="660"/>
      </w:pPr>
      <w:rPr>
        <w:rFonts w:hint="default"/>
        <w:u w:val="none"/>
      </w:rPr>
    </w:lvl>
    <w:lvl w:ilvl="2">
      <w:start w:val="3"/>
      <w:numFmt w:val="decimal"/>
      <w:lvlText w:val="%1.%2.%3"/>
      <w:lvlJc w:val="left"/>
      <w:pPr>
        <w:ind w:left="720" w:hanging="720"/>
      </w:pPr>
      <w:rPr>
        <w:rFonts w:hint="default"/>
        <w:u w:val="none"/>
      </w:rPr>
    </w:lvl>
    <w:lvl w:ilvl="3">
      <w:start w:val="2"/>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1D61E64"/>
    <w:multiLevelType w:val="hybridMultilevel"/>
    <w:tmpl w:val="CC100146"/>
    <w:lvl w:ilvl="0" w:tplc="3F562986">
      <w:start w:val="1"/>
      <w:numFmt w:val="lowerRoman"/>
      <w:lvlText w:val="(%1)"/>
      <w:lvlJc w:val="left"/>
      <w:pPr>
        <w:ind w:left="720" w:hanging="360"/>
      </w:pPr>
      <w:rPr>
        <w:rFonts w:hint="default"/>
        <w:b w:val="0"/>
        <w:i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83731FC"/>
    <w:multiLevelType w:val="hybridMultilevel"/>
    <w:tmpl w:val="8688A22E"/>
    <w:lvl w:ilvl="0" w:tplc="6CE29124">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8"/>
  </w:num>
  <w:num w:numId="12">
    <w:abstractNumId w:val="14"/>
  </w:num>
  <w:num w:numId="13">
    <w:abstractNumId w:val="13"/>
  </w:num>
  <w:num w:numId="14">
    <w:abstractNumId w:val="30"/>
  </w:num>
  <w:num w:numId="15">
    <w:abstractNumId w:val="31"/>
  </w:num>
  <w:num w:numId="16">
    <w:abstractNumId w:val="25"/>
  </w:num>
  <w:num w:numId="17">
    <w:abstractNumId w:val="32"/>
  </w:num>
  <w:num w:numId="18">
    <w:abstractNumId w:val="23"/>
  </w:num>
  <w:num w:numId="19">
    <w:abstractNumId w:val="0"/>
  </w:num>
  <w:num w:numId="20">
    <w:abstractNumId w:val="16"/>
  </w:num>
  <w:num w:numId="21">
    <w:abstractNumId w:val="20"/>
  </w:num>
  <w:num w:numId="22">
    <w:abstractNumId w:val="11"/>
  </w:num>
  <w:num w:numId="23">
    <w:abstractNumId w:val="29"/>
  </w:num>
  <w:num w:numId="24">
    <w:abstractNumId w:val="26"/>
  </w:num>
  <w:num w:numId="25">
    <w:abstractNumId w:val="21"/>
  </w:num>
  <w:num w:numId="26">
    <w:abstractNumId w:val="22"/>
  </w:num>
  <w:num w:numId="27">
    <w:abstractNumId w:val="27"/>
  </w:num>
  <w:num w:numId="28">
    <w:abstractNumId w:val="17"/>
  </w:num>
  <w:num w:numId="29">
    <w:abstractNumId w:val="12"/>
  </w:num>
  <w:num w:numId="30">
    <w:abstractNumId w:val="24"/>
  </w:num>
  <w:num w:numId="31">
    <w:abstractNumId w:val="15"/>
  </w:num>
  <w:num w:numId="32">
    <w:abstractNumId w:val="19"/>
  </w:num>
  <w:num w:numId="3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4273"/>
    <w:rsid w:val="00017D24"/>
    <w:rsid w:val="000216CC"/>
    <w:rsid w:val="00036672"/>
    <w:rsid w:val="00042A6B"/>
    <w:rsid w:val="00043180"/>
    <w:rsid w:val="00044C90"/>
    <w:rsid w:val="00045D66"/>
    <w:rsid w:val="000500B7"/>
    <w:rsid w:val="000504CE"/>
    <w:rsid w:val="00050922"/>
    <w:rsid w:val="00050F6B"/>
    <w:rsid w:val="00053492"/>
    <w:rsid w:val="00055FCC"/>
    <w:rsid w:val="0005710C"/>
    <w:rsid w:val="00064402"/>
    <w:rsid w:val="00067E6D"/>
    <w:rsid w:val="00072C8C"/>
    <w:rsid w:val="00073129"/>
    <w:rsid w:val="00075F99"/>
    <w:rsid w:val="00076A0A"/>
    <w:rsid w:val="0008018E"/>
    <w:rsid w:val="00082CE1"/>
    <w:rsid w:val="00083598"/>
    <w:rsid w:val="00084632"/>
    <w:rsid w:val="000866A5"/>
    <w:rsid w:val="00091046"/>
    <w:rsid w:val="00091419"/>
    <w:rsid w:val="00091CB3"/>
    <w:rsid w:val="000931C0"/>
    <w:rsid w:val="000A2236"/>
    <w:rsid w:val="000A35F2"/>
    <w:rsid w:val="000A3A48"/>
    <w:rsid w:val="000A4C38"/>
    <w:rsid w:val="000B175B"/>
    <w:rsid w:val="000B3A0F"/>
    <w:rsid w:val="000B3B3A"/>
    <w:rsid w:val="000B4919"/>
    <w:rsid w:val="000B7AF2"/>
    <w:rsid w:val="000C1ED8"/>
    <w:rsid w:val="000C3C99"/>
    <w:rsid w:val="000C5D4B"/>
    <w:rsid w:val="000C717F"/>
    <w:rsid w:val="000D0B8F"/>
    <w:rsid w:val="000D481F"/>
    <w:rsid w:val="000D4FF5"/>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47DCC"/>
    <w:rsid w:val="00157489"/>
    <w:rsid w:val="0016069E"/>
    <w:rsid w:val="001633FB"/>
    <w:rsid w:val="00163A1B"/>
    <w:rsid w:val="001643FA"/>
    <w:rsid w:val="00165735"/>
    <w:rsid w:val="00167786"/>
    <w:rsid w:val="00181019"/>
    <w:rsid w:val="001835BF"/>
    <w:rsid w:val="00184B86"/>
    <w:rsid w:val="001A2005"/>
    <w:rsid w:val="001B35EE"/>
    <w:rsid w:val="001B4B04"/>
    <w:rsid w:val="001B6B72"/>
    <w:rsid w:val="001C429D"/>
    <w:rsid w:val="001C6663"/>
    <w:rsid w:val="001C7895"/>
    <w:rsid w:val="001D1D05"/>
    <w:rsid w:val="001D2518"/>
    <w:rsid w:val="001D26DF"/>
    <w:rsid w:val="001D2FDC"/>
    <w:rsid w:val="001D3123"/>
    <w:rsid w:val="001D3A88"/>
    <w:rsid w:val="001D4B2D"/>
    <w:rsid w:val="001D4E70"/>
    <w:rsid w:val="001E797C"/>
    <w:rsid w:val="00202EB7"/>
    <w:rsid w:val="00211B12"/>
    <w:rsid w:val="00211E0B"/>
    <w:rsid w:val="002130A3"/>
    <w:rsid w:val="0021481D"/>
    <w:rsid w:val="00221589"/>
    <w:rsid w:val="00221AC2"/>
    <w:rsid w:val="00224CD9"/>
    <w:rsid w:val="002309A7"/>
    <w:rsid w:val="00235381"/>
    <w:rsid w:val="00237785"/>
    <w:rsid w:val="00241178"/>
    <w:rsid w:val="00241466"/>
    <w:rsid w:val="002440E7"/>
    <w:rsid w:val="0024477E"/>
    <w:rsid w:val="0024571F"/>
    <w:rsid w:val="00247570"/>
    <w:rsid w:val="00253AB8"/>
    <w:rsid w:val="00257C1E"/>
    <w:rsid w:val="00261B71"/>
    <w:rsid w:val="002621F5"/>
    <w:rsid w:val="002708B5"/>
    <w:rsid w:val="002725CA"/>
    <w:rsid w:val="00273A92"/>
    <w:rsid w:val="00277896"/>
    <w:rsid w:val="00280EB7"/>
    <w:rsid w:val="00284D4F"/>
    <w:rsid w:val="00294360"/>
    <w:rsid w:val="002976CF"/>
    <w:rsid w:val="002A0BD2"/>
    <w:rsid w:val="002A5B17"/>
    <w:rsid w:val="002B067A"/>
    <w:rsid w:val="002B1514"/>
    <w:rsid w:val="002B1CDA"/>
    <w:rsid w:val="002B63F3"/>
    <w:rsid w:val="002B7765"/>
    <w:rsid w:val="002C3DE3"/>
    <w:rsid w:val="002C50D4"/>
    <w:rsid w:val="002C5E7B"/>
    <w:rsid w:val="002C7F25"/>
    <w:rsid w:val="002D5A85"/>
    <w:rsid w:val="002D5C7D"/>
    <w:rsid w:val="002D765D"/>
    <w:rsid w:val="002E35BB"/>
    <w:rsid w:val="002E4C04"/>
    <w:rsid w:val="002F68FD"/>
    <w:rsid w:val="00300711"/>
    <w:rsid w:val="003107FA"/>
    <w:rsid w:val="00315D73"/>
    <w:rsid w:val="00316FF9"/>
    <w:rsid w:val="00321716"/>
    <w:rsid w:val="003229D8"/>
    <w:rsid w:val="00327D0A"/>
    <w:rsid w:val="00344505"/>
    <w:rsid w:val="003459E8"/>
    <w:rsid w:val="003517C3"/>
    <w:rsid w:val="00355502"/>
    <w:rsid w:val="00356BC7"/>
    <w:rsid w:val="00357A20"/>
    <w:rsid w:val="00372F06"/>
    <w:rsid w:val="00391647"/>
    <w:rsid w:val="0039277A"/>
    <w:rsid w:val="00396F6A"/>
    <w:rsid w:val="003972E0"/>
    <w:rsid w:val="003A1EC2"/>
    <w:rsid w:val="003A4158"/>
    <w:rsid w:val="003A52D7"/>
    <w:rsid w:val="003A5A16"/>
    <w:rsid w:val="003C0657"/>
    <w:rsid w:val="003C18C9"/>
    <w:rsid w:val="003C2CC4"/>
    <w:rsid w:val="003C655D"/>
    <w:rsid w:val="003D034F"/>
    <w:rsid w:val="003D407D"/>
    <w:rsid w:val="003D4B23"/>
    <w:rsid w:val="003F23A4"/>
    <w:rsid w:val="003F3E85"/>
    <w:rsid w:val="003F5B52"/>
    <w:rsid w:val="004035E4"/>
    <w:rsid w:val="00403EC6"/>
    <w:rsid w:val="00406CD4"/>
    <w:rsid w:val="004213FA"/>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70348"/>
    <w:rsid w:val="00471766"/>
    <w:rsid w:val="0048304D"/>
    <w:rsid w:val="00484A9B"/>
    <w:rsid w:val="004870D2"/>
    <w:rsid w:val="00492AF9"/>
    <w:rsid w:val="00494BF8"/>
    <w:rsid w:val="00494C77"/>
    <w:rsid w:val="00497711"/>
    <w:rsid w:val="004A7BCC"/>
    <w:rsid w:val="004B006F"/>
    <w:rsid w:val="004B2C9D"/>
    <w:rsid w:val="004B5939"/>
    <w:rsid w:val="004B73D6"/>
    <w:rsid w:val="004C352F"/>
    <w:rsid w:val="004C39D0"/>
    <w:rsid w:val="004C4F1A"/>
    <w:rsid w:val="004C6D6D"/>
    <w:rsid w:val="004D69D5"/>
    <w:rsid w:val="004E0C5D"/>
    <w:rsid w:val="004E625F"/>
    <w:rsid w:val="004E783D"/>
    <w:rsid w:val="004F4240"/>
    <w:rsid w:val="004F509F"/>
    <w:rsid w:val="004F77CD"/>
    <w:rsid w:val="005026C2"/>
    <w:rsid w:val="005072EE"/>
    <w:rsid w:val="00507CF1"/>
    <w:rsid w:val="005124BA"/>
    <w:rsid w:val="00522177"/>
    <w:rsid w:val="00527910"/>
    <w:rsid w:val="005420F2"/>
    <w:rsid w:val="00542505"/>
    <w:rsid w:val="005475D4"/>
    <w:rsid w:val="00555CDB"/>
    <w:rsid w:val="00561B6D"/>
    <w:rsid w:val="00562D45"/>
    <w:rsid w:val="0056615B"/>
    <w:rsid w:val="00567DFB"/>
    <w:rsid w:val="00571DAA"/>
    <w:rsid w:val="0057529F"/>
    <w:rsid w:val="0058129D"/>
    <w:rsid w:val="00584A5C"/>
    <w:rsid w:val="00590144"/>
    <w:rsid w:val="0059406C"/>
    <w:rsid w:val="0059682C"/>
    <w:rsid w:val="005A1E4B"/>
    <w:rsid w:val="005A64DD"/>
    <w:rsid w:val="005B032E"/>
    <w:rsid w:val="005B09F0"/>
    <w:rsid w:val="005B0CED"/>
    <w:rsid w:val="005B3DB3"/>
    <w:rsid w:val="005B528A"/>
    <w:rsid w:val="005C4CB5"/>
    <w:rsid w:val="005D0C6C"/>
    <w:rsid w:val="005E23D6"/>
    <w:rsid w:val="005E2A3F"/>
    <w:rsid w:val="005E5946"/>
    <w:rsid w:val="005F3A39"/>
    <w:rsid w:val="005F5C2F"/>
    <w:rsid w:val="005F7BB1"/>
    <w:rsid w:val="00602490"/>
    <w:rsid w:val="00603A2B"/>
    <w:rsid w:val="00603E3C"/>
    <w:rsid w:val="00611FC4"/>
    <w:rsid w:val="006176FB"/>
    <w:rsid w:val="00626B06"/>
    <w:rsid w:val="00627614"/>
    <w:rsid w:val="006279AC"/>
    <w:rsid w:val="0063419C"/>
    <w:rsid w:val="00635381"/>
    <w:rsid w:val="00635CD7"/>
    <w:rsid w:val="00636986"/>
    <w:rsid w:val="00637542"/>
    <w:rsid w:val="00640B26"/>
    <w:rsid w:val="00641194"/>
    <w:rsid w:val="00645A0B"/>
    <w:rsid w:val="00646B21"/>
    <w:rsid w:val="006500BA"/>
    <w:rsid w:val="006506DB"/>
    <w:rsid w:val="00662121"/>
    <w:rsid w:val="00662E09"/>
    <w:rsid w:val="006644A1"/>
    <w:rsid w:val="00670CF0"/>
    <w:rsid w:val="0067381A"/>
    <w:rsid w:val="00675F87"/>
    <w:rsid w:val="00690CD6"/>
    <w:rsid w:val="006A3932"/>
    <w:rsid w:val="006A63E3"/>
    <w:rsid w:val="006A7392"/>
    <w:rsid w:val="006B1C55"/>
    <w:rsid w:val="006C0D34"/>
    <w:rsid w:val="006C251B"/>
    <w:rsid w:val="006C2F7E"/>
    <w:rsid w:val="006D3560"/>
    <w:rsid w:val="006E3B65"/>
    <w:rsid w:val="006E564B"/>
    <w:rsid w:val="00700D5D"/>
    <w:rsid w:val="007025C0"/>
    <w:rsid w:val="00707F04"/>
    <w:rsid w:val="00711637"/>
    <w:rsid w:val="00714F4F"/>
    <w:rsid w:val="00723A99"/>
    <w:rsid w:val="0072632A"/>
    <w:rsid w:val="00736E6A"/>
    <w:rsid w:val="00741F59"/>
    <w:rsid w:val="0074697D"/>
    <w:rsid w:val="00755EBE"/>
    <w:rsid w:val="00761619"/>
    <w:rsid w:val="0076177C"/>
    <w:rsid w:val="00761CFF"/>
    <w:rsid w:val="00763C33"/>
    <w:rsid w:val="00766322"/>
    <w:rsid w:val="00770BCD"/>
    <w:rsid w:val="00771904"/>
    <w:rsid w:val="00773353"/>
    <w:rsid w:val="00774129"/>
    <w:rsid w:val="00774E8F"/>
    <w:rsid w:val="00774EAA"/>
    <w:rsid w:val="0078123B"/>
    <w:rsid w:val="00786434"/>
    <w:rsid w:val="00790791"/>
    <w:rsid w:val="00792D92"/>
    <w:rsid w:val="00796F36"/>
    <w:rsid w:val="007A2CDB"/>
    <w:rsid w:val="007A3E4C"/>
    <w:rsid w:val="007A62EC"/>
    <w:rsid w:val="007B1A7E"/>
    <w:rsid w:val="007B2BA8"/>
    <w:rsid w:val="007B6BA5"/>
    <w:rsid w:val="007C2C0D"/>
    <w:rsid w:val="007C3162"/>
    <w:rsid w:val="007C3390"/>
    <w:rsid w:val="007C4F4B"/>
    <w:rsid w:val="007C644D"/>
    <w:rsid w:val="007D7BC6"/>
    <w:rsid w:val="007E4BD3"/>
    <w:rsid w:val="007E5D7C"/>
    <w:rsid w:val="007F1CE0"/>
    <w:rsid w:val="007F2A54"/>
    <w:rsid w:val="007F4CD3"/>
    <w:rsid w:val="007F5104"/>
    <w:rsid w:val="007F6611"/>
    <w:rsid w:val="00800024"/>
    <w:rsid w:val="008037A2"/>
    <w:rsid w:val="00816582"/>
    <w:rsid w:val="008175E9"/>
    <w:rsid w:val="00820A2D"/>
    <w:rsid w:val="00821F97"/>
    <w:rsid w:val="008242D7"/>
    <w:rsid w:val="00826C09"/>
    <w:rsid w:val="0083043E"/>
    <w:rsid w:val="0083069A"/>
    <w:rsid w:val="00831BB9"/>
    <w:rsid w:val="00832A1D"/>
    <w:rsid w:val="00834479"/>
    <w:rsid w:val="00835AA0"/>
    <w:rsid w:val="00846809"/>
    <w:rsid w:val="00851388"/>
    <w:rsid w:val="0086107D"/>
    <w:rsid w:val="00864251"/>
    <w:rsid w:val="00871FD5"/>
    <w:rsid w:val="00881213"/>
    <w:rsid w:val="00884692"/>
    <w:rsid w:val="008926EF"/>
    <w:rsid w:val="008979B1"/>
    <w:rsid w:val="008A0AA2"/>
    <w:rsid w:val="008A0B75"/>
    <w:rsid w:val="008A1542"/>
    <w:rsid w:val="008A6B25"/>
    <w:rsid w:val="008A6C4F"/>
    <w:rsid w:val="008A7679"/>
    <w:rsid w:val="008A7AB3"/>
    <w:rsid w:val="008B65FB"/>
    <w:rsid w:val="008C3B3C"/>
    <w:rsid w:val="008C4283"/>
    <w:rsid w:val="008C74C3"/>
    <w:rsid w:val="008C74D4"/>
    <w:rsid w:val="008C7BF7"/>
    <w:rsid w:val="008D134F"/>
    <w:rsid w:val="008D3C75"/>
    <w:rsid w:val="008D6942"/>
    <w:rsid w:val="008E0E46"/>
    <w:rsid w:val="008E1DAE"/>
    <w:rsid w:val="008E295A"/>
    <w:rsid w:val="008F0AEF"/>
    <w:rsid w:val="008F2D9A"/>
    <w:rsid w:val="008F44B8"/>
    <w:rsid w:val="008F504A"/>
    <w:rsid w:val="00923019"/>
    <w:rsid w:val="00924B63"/>
    <w:rsid w:val="0092708C"/>
    <w:rsid w:val="009363B6"/>
    <w:rsid w:val="00940F46"/>
    <w:rsid w:val="00941ECC"/>
    <w:rsid w:val="00945A5D"/>
    <w:rsid w:val="00946A0D"/>
    <w:rsid w:val="00947CAC"/>
    <w:rsid w:val="00955109"/>
    <w:rsid w:val="00963B67"/>
    <w:rsid w:val="00963CBA"/>
    <w:rsid w:val="009701ED"/>
    <w:rsid w:val="00984471"/>
    <w:rsid w:val="00985F37"/>
    <w:rsid w:val="009879EA"/>
    <w:rsid w:val="009908A5"/>
    <w:rsid w:val="0099124E"/>
    <w:rsid w:val="00991261"/>
    <w:rsid w:val="009953D5"/>
    <w:rsid w:val="009A1D29"/>
    <w:rsid w:val="009A7577"/>
    <w:rsid w:val="009B19F1"/>
    <w:rsid w:val="009C6394"/>
    <w:rsid w:val="009D0E2A"/>
    <w:rsid w:val="009D0F0E"/>
    <w:rsid w:val="009D1AAE"/>
    <w:rsid w:val="009D634E"/>
    <w:rsid w:val="009E1560"/>
    <w:rsid w:val="009E5615"/>
    <w:rsid w:val="009F0F06"/>
    <w:rsid w:val="009F4FC5"/>
    <w:rsid w:val="00A074A5"/>
    <w:rsid w:val="00A104DD"/>
    <w:rsid w:val="00A1427D"/>
    <w:rsid w:val="00A235F1"/>
    <w:rsid w:val="00A249F7"/>
    <w:rsid w:val="00A34B00"/>
    <w:rsid w:val="00A3777A"/>
    <w:rsid w:val="00A428B8"/>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BED"/>
    <w:rsid w:val="00AA1D9A"/>
    <w:rsid w:val="00AA32EB"/>
    <w:rsid w:val="00AA4AE9"/>
    <w:rsid w:val="00AB382F"/>
    <w:rsid w:val="00AB4CF1"/>
    <w:rsid w:val="00AC260A"/>
    <w:rsid w:val="00AD53B0"/>
    <w:rsid w:val="00AD7C88"/>
    <w:rsid w:val="00AE45DE"/>
    <w:rsid w:val="00AF0878"/>
    <w:rsid w:val="00AF2F9D"/>
    <w:rsid w:val="00AF535C"/>
    <w:rsid w:val="00AF6710"/>
    <w:rsid w:val="00B013E6"/>
    <w:rsid w:val="00B04D66"/>
    <w:rsid w:val="00B10C19"/>
    <w:rsid w:val="00B1157C"/>
    <w:rsid w:val="00B1501F"/>
    <w:rsid w:val="00B26710"/>
    <w:rsid w:val="00B26B3C"/>
    <w:rsid w:val="00B30179"/>
    <w:rsid w:val="00B3317B"/>
    <w:rsid w:val="00B41384"/>
    <w:rsid w:val="00B41DF6"/>
    <w:rsid w:val="00B4398E"/>
    <w:rsid w:val="00B4412A"/>
    <w:rsid w:val="00B50DA3"/>
    <w:rsid w:val="00B5392B"/>
    <w:rsid w:val="00B610E5"/>
    <w:rsid w:val="00B656BF"/>
    <w:rsid w:val="00B67CF5"/>
    <w:rsid w:val="00B71E2B"/>
    <w:rsid w:val="00B73DA8"/>
    <w:rsid w:val="00B74F7C"/>
    <w:rsid w:val="00B75E05"/>
    <w:rsid w:val="00B81E12"/>
    <w:rsid w:val="00B84AAC"/>
    <w:rsid w:val="00B90F54"/>
    <w:rsid w:val="00B91CC3"/>
    <w:rsid w:val="00B91DA4"/>
    <w:rsid w:val="00B92A0C"/>
    <w:rsid w:val="00B93068"/>
    <w:rsid w:val="00BB176D"/>
    <w:rsid w:val="00BB3B28"/>
    <w:rsid w:val="00BC74E9"/>
    <w:rsid w:val="00BD1540"/>
    <w:rsid w:val="00BE1FF8"/>
    <w:rsid w:val="00BE50CA"/>
    <w:rsid w:val="00BE618E"/>
    <w:rsid w:val="00BF53E5"/>
    <w:rsid w:val="00C0263F"/>
    <w:rsid w:val="00C03B44"/>
    <w:rsid w:val="00C06E4E"/>
    <w:rsid w:val="00C13A85"/>
    <w:rsid w:val="00C218A4"/>
    <w:rsid w:val="00C348AE"/>
    <w:rsid w:val="00C36D37"/>
    <w:rsid w:val="00C463DD"/>
    <w:rsid w:val="00C46D5B"/>
    <w:rsid w:val="00C537D5"/>
    <w:rsid w:val="00C61702"/>
    <w:rsid w:val="00C62F76"/>
    <w:rsid w:val="00C66D78"/>
    <w:rsid w:val="00C745C3"/>
    <w:rsid w:val="00C80292"/>
    <w:rsid w:val="00C81212"/>
    <w:rsid w:val="00C84FF1"/>
    <w:rsid w:val="00C91180"/>
    <w:rsid w:val="00C93C11"/>
    <w:rsid w:val="00C971F6"/>
    <w:rsid w:val="00CA049C"/>
    <w:rsid w:val="00CA381C"/>
    <w:rsid w:val="00CA74D3"/>
    <w:rsid w:val="00CB2158"/>
    <w:rsid w:val="00CB6380"/>
    <w:rsid w:val="00CC1DA0"/>
    <w:rsid w:val="00CC4CA6"/>
    <w:rsid w:val="00CC5306"/>
    <w:rsid w:val="00CD0009"/>
    <w:rsid w:val="00CD30EE"/>
    <w:rsid w:val="00CD314C"/>
    <w:rsid w:val="00CD3225"/>
    <w:rsid w:val="00CE4083"/>
    <w:rsid w:val="00CE46BA"/>
    <w:rsid w:val="00CE4A8F"/>
    <w:rsid w:val="00CE525F"/>
    <w:rsid w:val="00CF6F32"/>
    <w:rsid w:val="00CF778D"/>
    <w:rsid w:val="00D0631B"/>
    <w:rsid w:val="00D06C3A"/>
    <w:rsid w:val="00D164BA"/>
    <w:rsid w:val="00D2031B"/>
    <w:rsid w:val="00D25E8C"/>
    <w:rsid w:val="00D25FE2"/>
    <w:rsid w:val="00D27E89"/>
    <w:rsid w:val="00D37E80"/>
    <w:rsid w:val="00D43252"/>
    <w:rsid w:val="00D46231"/>
    <w:rsid w:val="00D4758F"/>
    <w:rsid w:val="00D5409C"/>
    <w:rsid w:val="00D57C13"/>
    <w:rsid w:val="00D57FD9"/>
    <w:rsid w:val="00D610C1"/>
    <w:rsid w:val="00D626F7"/>
    <w:rsid w:val="00D658FA"/>
    <w:rsid w:val="00D66157"/>
    <w:rsid w:val="00D728BE"/>
    <w:rsid w:val="00D730E3"/>
    <w:rsid w:val="00D753D8"/>
    <w:rsid w:val="00D96248"/>
    <w:rsid w:val="00D96CC5"/>
    <w:rsid w:val="00D978C6"/>
    <w:rsid w:val="00D97B77"/>
    <w:rsid w:val="00DA277B"/>
    <w:rsid w:val="00DA6620"/>
    <w:rsid w:val="00DA67AD"/>
    <w:rsid w:val="00DC2FFF"/>
    <w:rsid w:val="00DC6B13"/>
    <w:rsid w:val="00DC70AF"/>
    <w:rsid w:val="00DD42A0"/>
    <w:rsid w:val="00DE236F"/>
    <w:rsid w:val="00DE3ECB"/>
    <w:rsid w:val="00DE4785"/>
    <w:rsid w:val="00DE7267"/>
    <w:rsid w:val="00DF0A4D"/>
    <w:rsid w:val="00DF3039"/>
    <w:rsid w:val="00DF3A04"/>
    <w:rsid w:val="00DF4518"/>
    <w:rsid w:val="00E130AB"/>
    <w:rsid w:val="00E1679E"/>
    <w:rsid w:val="00E239A0"/>
    <w:rsid w:val="00E25730"/>
    <w:rsid w:val="00E34E58"/>
    <w:rsid w:val="00E36838"/>
    <w:rsid w:val="00E36C10"/>
    <w:rsid w:val="00E40B76"/>
    <w:rsid w:val="00E41F5B"/>
    <w:rsid w:val="00E42461"/>
    <w:rsid w:val="00E4443D"/>
    <w:rsid w:val="00E5227F"/>
    <w:rsid w:val="00E52EB0"/>
    <w:rsid w:val="00E54352"/>
    <w:rsid w:val="00E5644E"/>
    <w:rsid w:val="00E5691C"/>
    <w:rsid w:val="00E631BA"/>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01B"/>
    <w:rsid w:val="00EC755A"/>
    <w:rsid w:val="00ED3508"/>
    <w:rsid w:val="00ED3F6F"/>
    <w:rsid w:val="00ED7A2A"/>
    <w:rsid w:val="00EE2A87"/>
    <w:rsid w:val="00EE4D59"/>
    <w:rsid w:val="00EE73C3"/>
    <w:rsid w:val="00EF1D7F"/>
    <w:rsid w:val="00EF4AAC"/>
    <w:rsid w:val="00EF660F"/>
    <w:rsid w:val="00F01C57"/>
    <w:rsid w:val="00F03FA2"/>
    <w:rsid w:val="00F05283"/>
    <w:rsid w:val="00F07537"/>
    <w:rsid w:val="00F07E12"/>
    <w:rsid w:val="00F1200D"/>
    <w:rsid w:val="00F30A8A"/>
    <w:rsid w:val="00F34267"/>
    <w:rsid w:val="00F3574D"/>
    <w:rsid w:val="00F40295"/>
    <w:rsid w:val="00F40E75"/>
    <w:rsid w:val="00F412D3"/>
    <w:rsid w:val="00F444E3"/>
    <w:rsid w:val="00F453C5"/>
    <w:rsid w:val="00F5087E"/>
    <w:rsid w:val="00F51BAB"/>
    <w:rsid w:val="00F535BE"/>
    <w:rsid w:val="00F54674"/>
    <w:rsid w:val="00F75E96"/>
    <w:rsid w:val="00FA00A0"/>
    <w:rsid w:val="00FA3FB7"/>
    <w:rsid w:val="00FB580E"/>
    <w:rsid w:val="00FB5A37"/>
    <w:rsid w:val="00FB7793"/>
    <w:rsid w:val="00FC18AA"/>
    <w:rsid w:val="00FC215C"/>
    <w:rsid w:val="00FC68B7"/>
    <w:rsid w:val="00FD2744"/>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pPr>
        <w:spacing w:after="120" w:line="240" w:lineRule="atLeast"/>
        <w:ind w:left="1134" w:right="113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hanging="1134"/>
    </w:pPr>
    <w:rPr>
      <w:b/>
      <w:sz w:val="28"/>
    </w:rPr>
  </w:style>
  <w:style w:type="paragraph" w:customStyle="1" w:styleId="SingleTxtG">
    <w:name w:val="_ Single Txt_G"/>
    <w:basedOn w:val="Normal"/>
    <w:link w:val="SingleTxtGChar"/>
    <w:rsid w:val="00A8523D"/>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F1CE0"/>
    <w:rPr>
      <w:rFonts w:cs="Courier New"/>
    </w:rPr>
  </w:style>
  <w:style w:type="paragraph" w:styleId="BodyText">
    <w:name w:val="Body Text"/>
    <w:basedOn w:val="Normal"/>
    <w:next w:val="Normal"/>
    <w:semiHidden/>
    <w:rsid w:val="007F1CE0"/>
  </w:style>
  <w:style w:type="paragraph" w:styleId="BodyTextIndent">
    <w:name w:val="Body Text Indent"/>
    <w:basedOn w:val="Normal"/>
    <w:semiHidden/>
    <w:rsid w:val="007F1CE0"/>
    <w:pPr>
      <w:ind w:left="283"/>
    </w:pPr>
  </w:style>
  <w:style w:type="paragraph" w:styleId="BlockText">
    <w:name w:val="Block Text"/>
    <w:basedOn w:val="Normal"/>
    <w:semiHidden/>
    <w:rsid w:val="007F1CE0"/>
    <w:pPr>
      <w:ind w:left="1440" w:right="1440"/>
    </w:pPr>
  </w:style>
  <w:style w:type="paragraph" w:customStyle="1" w:styleId="SMG">
    <w:name w:val="__S_M_G"/>
    <w:basedOn w:val="Normal"/>
    <w:next w:val="Normal"/>
    <w:rsid w:val="00A8523D"/>
    <w:pPr>
      <w:keepNext/>
      <w:keepLines/>
      <w:spacing w:before="240" w:after="240" w:line="420" w:lineRule="exact"/>
    </w:pPr>
    <w:rPr>
      <w:b/>
      <w:sz w:val="40"/>
    </w:rPr>
  </w:style>
  <w:style w:type="paragraph" w:customStyle="1" w:styleId="SLG">
    <w:name w:val="__S_L_G"/>
    <w:basedOn w:val="Normal"/>
    <w:next w:val="Normal"/>
    <w:rsid w:val="00A8523D"/>
    <w:pPr>
      <w:keepNext/>
      <w:keepLines/>
      <w:spacing w:before="240" w:after="240" w:line="580" w:lineRule="exact"/>
    </w:pPr>
    <w:rPr>
      <w:b/>
      <w:sz w:val="56"/>
    </w:rPr>
  </w:style>
  <w:style w:type="paragraph" w:customStyle="1" w:styleId="SSG">
    <w:name w:val="__S_S_G"/>
    <w:basedOn w:val="Normal"/>
    <w:next w:val="Normal"/>
    <w:rsid w:val="00A8523D"/>
    <w:pPr>
      <w:keepNext/>
      <w:keepLines/>
      <w:spacing w:before="240" w:after="240" w:line="300" w:lineRule="exact"/>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hanging="1134"/>
    </w:pPr>
    <w:rPr>
      <w:sz w:val="18"/>
    </w:rPr>
  </w:style>
  <w:style w:type="paragraph" w:customStyle="1" w:styleId="XLargeG">
    <w:name w:val="__XLarge_G"/>
    <w:basedOn w:val="Normal"/>
    <w:next w:val="Normal"/>
    <w:rsid w:val="00A8523D"/>
    <w:pPr>
      <w:keepNext/>
      <w:keepLines/>
      <w:spacing w:before="240" w:after="240" w:line="420" w:lineRule="exact"/>
    </w:pPr>
    <w:rPr>
      <w:b/>
      <w:sz w:val="40"/>
    </w:rPr>
  </w:style>
  <w:style w:type="paragraph" w:customStyle="1" w:styleId="Bullet1G">
    <w:name w:val="_Bullet 1_G"/>
    <w:basedOn w:val="Normal"/>
    <w:rsid w:val="00A8523D"/>
    <w:pPr>
      <w:numPr>
        <w:numId w:val="14"/>
      </w:numPr>
    </w:pPr>
  </w:style>
  <w:style w:type="paragraph" w:styleId="EndnoteText">
    <w:name w:val="endnote text"/>
    <w:aliases w:val="2_G"/>
    <w:basedOn w:val="FootnoteText"/>
    <w:rsid w:val="00A8523D"/>
  </w:style>
  <w:style w:type="character" w:styleId="CommentReference">
    <w:name w:val="annotation reference"/>
    <w:uiPriority w:val="99"/>
    <w:semiHidden/>
    <w:rsid w:val="007F1CE0"/>
    <w:rPr>
      <w:sz w:val="6"/>
    </w:rPr>
  </w:style>
  <w:style w:type="paragraph" w:styleId="CommentText">
    <w:name w:val="annotation text"/>
    <w:basedOn w:val="Normal"/>
    <w:link w:val="CommentTextChar"/>
    <w:rsid w:val="007F1CE0"/>
  </w:style>
  <w:style w:type="character" w:styleId="LineNumber">
    <w:name w:val="line number"/>
    <w:semiHidden/>
    <w:rsid w:val="007F1CE0"/>
    <w:rPr>
      <w:sz w:val="14"/>
    </w:rPr>
  </w:style>
  <w:style w:type="paragraph" w:customStyle="1" w:styleId="Bullet2G">
    <w:name w:val="_Bullet 2_G"/>
    <w:basedOn w:val="Normal"/>
    <w:rsid w:val="00A8523D"/>
    <w:pPr>
      <w:numPr>
        <w:numId w:val="15"/>
      </w:numPr>
    </w:pPr>
  </w:style>
  <w:style w:type="paragraph" w:customStyle="1" w:styleId="H1G">
    <w:name w:val="_ H_1_G"/>
    <w:basedOn w:val="Normal"/>
    <w:next w:val="Normal"/>
    <w:rsid w:val="00A8523D"/>
    <w:pPr>
      <w:keepNext/>
      <w:keepLines/>
      <w:tabs>
        <w:tab w:val="right" w:pos="851"/>
      </w:tabs>
      <w:spacing w:before="360" w:after="240" w:line="270" w:lineRule="exact"/>
      <w:ind w:hanging="1134"/>
    </w:pPr>
    <w:rPr>
      <w:b/>
      <w:sz w:val="24"/>
    </w:rPr>
  </w:style>
  <w:style w:type="paragraph" w:customStyle="1" w:styleId="H23G">
    <w:name w:val="_ H_2/3_G"/>
    <w:basedOn w:val="Normal"/>
    <w:next w:val="Normal"/>
    <w:rsid w:val="00A8523D"/>
    <w:pPr>
      <w:keepNext/>
      <w:keepLines/>
      <w:tabs>
        <w:tab w:val="right" w:pos="851"/>
      </w:tabs>
      <w:spacing w:before="240" w:line="240" w:lineRule="exact"/>
      <w:ind w:hanging="1134"/>
    </w:pPr>
    <w:rPr>
      <w:b/>
    </w:rPr>
  </w:style>
  <w:style w:type="paragraph" w:customStyle="1" w:styleId="H4G">
    <w:name w:val="_ H_4_G"/>
    <w:basedOn w:val="Normal"/>
    <w:next w:val="Normal"/>
    <w:rsid w:val="00A8523D"/>
    <w:pPr>
      <w:keepNext/>
      <w:keepLines/>
      <w:tabs>
        <w:tab w:val="right" w:pos="851"/>
      </w:tabs>
      <w:spacing w:before="240" w:line="240" w:lineRule="exact"/>
      <w:ind w:hanging="1134"/>
    </w:pPr>
    <w:rPr>
      <w:i/>
    </w:rPr>
  </w:style>
  <w:style w:type="paragraph" w:customStyle="1" w:styleId="H56G">
    <w:name w:val="_ H_5/6_G"/>
    <w:basedOn w:val="Normal"/>
    <w:next w:val="Normal"/>
    <w:rsid w:val="00A8523D"/>
    <w:pPr>
      <w:keepNext/>
      <w:keepLines/>
      <w:tabs>
        <w:tab w:val="right" w:pos="851"/>
      </w:tabs>
      <w:spacing w:before="240" w:line="240" w:lineRule="exact"/>
      <w:ind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line="480" w:lineRule="auto"/>
    </w:pPr>
  </w:style>
  <w:style w:type="paragraph" w:styleId="BodyText3">
    <w:name w:val="Body Text 3"/>
    <w:basedOn w:val="Normal"/>
    <w:semiHidden/>
    <w:rsid w:val="008A6C4F"/>
    <w:rPr>
      <w:sz w:val="16"/>
      <w:szCs w:val="16"/>
    </w:rPr>
  </w:style>
  <w:style w:type="paragraph" w:styleId="BodyTextFirstIndent">
    <w:name w:val="Body Text First Indent"/>
    <w:basedOn w:val="BodyText"/>
    <w:semiHidden/>
    <w:rsid w:val="008A6C4F"/>
    <w:pPr>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line="480" w:lineRule="auto"/>
      <w:ind w:left="283"/>
    </w:pPr>
  </w:style>
  <w:style w:type="paragraph" w:styleId="BodyTextIndent3">
    <w:name w:val="Body Text Indent 3"/>
    <w:basedOn w:val="Normal"/>
    <w:semiHidden/>
    <w:rsid w:val="008A6C4F"/>
    <w:pPr>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ind w:left="283"/>
    </w:pPr>
  </w:style>
  <w:style w:type="paragraph" w:styleId="ListContinue2">
    <w:name w:val="List Continue 2"/>
    <w:basedOn w:val="Normal"/>
    <w:semiHidden/>
    <w:rsid w:val="008A6C4F"/>
    <w:pPr>
      <w:ind w:left="566"/>
    </w:pPr>
  </w:style>
  <w:style w:type="paragraph" w:styleId="ListContinue3">
    <w:name w:val="List Continue 3"/>
    <w:basedOn w:val="Normal"/>
    <w:semiHidden/>
    <w:rsid w:val="008A6C4F"/>
    <w:pPr>
      <w:ind w:left="849"/>
    </w:pPr>
  </w:style>
  <w:style w:type="paragraph" w:styleId="ListContinue4">
    <w:name w:val="List Continue 4"/>
    <w:basedOn w:val="Normal"/>
    <w:semiHidden/>
    <w:rsid w:val="008A6C4F"/>
    <w:pPr>
      <w:ind w:left="1132"/>
    </w:pPr>
  </w:style>
  <w:style w:type="paragraph" w:styleId="ListContinue5">
    <w:name w:val="List Continue 5"/>
    <w:basedOn w:val="Normal"/>
    <w:semiHidden/>
    <w:rsid w:val="008A6C4F"/>
    <w:pPr>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pacing w:line="240" w:lineRule="auto"/>
      <w:ind w:left="720"/>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autoSpaceDE w:val="0"/>
      <w:autoSpaceDN w:val="0"/>
      <w:adjustRightInd w:val="0"/>
      <w:spacing w:line="240" w:lineRule="auto"/>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pacing w:line="240" w:lineRule="auto"/>
    </w:pPr>
    <w:rPr>
      <w:snapToGrid w:val="0"/>
      <w:color w:val="000000"/>
      <w:sz w:val="22"/>
      <w:szCs w:val="22"/>
    </w:rPr>
  </w:style>
  <w:style w:type="paragraph" w:customStyle="1" w:styleId="Style1">
    <w:name w:val="Style1"/>
    <w:basedOn w:val="Normal"/>
    <w:rsid w:val="009D634E"/>
    <w:pPr>
      <w:spacing w:line="240" w:lineRule="auto"/>
    </w:pPr>
    <w:rPr>
      <w:sz w:val="22"/>
      <w:szCs w:val="24"/>
    </w:rPr>
  </w:style>
  <w:style w:type="character" w:customStyle="1" w:styleId="FooterChar">
    <w:name w:val="Footer Char"/>
    <w:aliases w:val="3_G Char"/>
    <w:link w:val="Footer"/>
    <w:uiPriority w:val="99"/>
    <w:rsid w:val="00D626F7"/>
    <w:rPr>
      <w:sz w:val="16"/>
      <w:lang w:eastAsia="en-US"/>
    </w:rPr>
  </w:style>
  <w:style w:type="paragraph" w:styleId="ListParagraph">
    <w:name w:val="List Paragraph"/>
    <w:basedOn w:val="Normal"/>
    <w:uiPriority w:val="99"/>
    <w:qFormat/>
    <w:rsid w:val="00D626F7"/>
    <w:pPr>
      <w:ind w:left="720"/>
      <w:contextualSpacing/>
    </w:pPr>
  </w:style>
  <w:style w:type="character" w:customStyle="1" w:styleId="HeaderChar">
    <w:name w:val="Header Char"/>
    <w:aliases w:val="6_G Char"/>
    <w:basedOn w:val="DefaultParagraphFont"/>
    <w:link w:val="Header"/>
    <w:uiPriority w:val="99"/>
    <w:rsid w:val="00D626F7"/>
    <w:rPr>
      <w:b/>
      <w:sz w:val="18"/>
      <w:lang w:eastAsia="en-US"/>
    </w:rPr>
  </w:style>
  <w:style w:type="table" w:customStyle="1" w:styleId="GridTable1Light1">
    <w:name w:val="Grid Table 1 Light1"/>
    <w:basedOn w:val="TableNormal"/>
    <w:uiPriority w:val="46"/>
    <w:rsid w:val="000500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AA4AE9"/>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pPr>
        <w:spacing w:after="120" w:line="240" w:lineRule="atLeast"/>
        <w:ind w:left="1134" w:right="113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hanging="1134"/>
    </w:pPr>
    <w:rPr>
      <w:b/>
      <w:sz w:val="28"/>
    </w:rPr>
  </w:style>
  <w:style w:type="paragraph" w:customStyle="1" w:styleId="SingleTxtG">
    <w:name w:val="_ Single Txt_G"/>
    <w:basedOn w:val="Normal"/>
    <w:link w:val="SingleTxtGChar"/>
    <w:rsid w:val="00A8523D"/>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F1CE0"/>
    <w:rPr>
      <w:rFonts w:cs="Courier New"/>
    </w:rPr>
  </w:style>
  <w:style w:type="paragraph" w:styleId="BodyText">
    <w:name w:val="Body Text"/>
    <w:basedOn w:val="Normal"/>
    <w:next w:val="Normal"/>
    <w:semiHidden/>
    <w:rsid w:val="007F1CE0"/>
  </w:style>
  <w:style w:type="paragraph" w:styleId="BodyTextIndent">
    <w:name w:val="Body Text Indent"/>
    <w:basedOn w:val="Normal"/>
    <w:semiHidden/>
    <w:rsid w:val="007F1CE0"/>
    <w:pPr>
      <w:ind w:left="283"/>
    </w:pPr>
  </w:style>
  <w:style w:type="paragraph" w:styleId="BlockText">
    <w:name w:val="Block Text"/>
    <w:basedOn w:val="Normal"/>
    <w:semiHidden/>
    <w:rsid w:val="007F1CE0"/>
    <w:pPr>
      <w:ind w:left="1440" w:right="1440"/>
    </w:pPr>
  </w:style>
  <w:style w:type="paragraph" w:customStyle="1" w:styleId="SMG">
    <w:name w:val="__S_M_G"/>
    <w:basedOn w:val="Normal"/>
    <w:next w:val="Normal"/>
    <w:rsid w:val="00A8523D"/>
    <w:pPr>
      <w:keepNext/>
      <w:keepLines/>
      <w:spacing w:before="240" w:after="240" w:line="420" w:lineRule="exact"/>
    </w:pPr>
    <w:rPr>
      <w:b/>
      <w:sz w:val="40"/>
    </w:rPr>
  </w:style>
  <w:style w:type="paragraph" w:customStyle="1" w:styleId="SLG">
    <w:name w:val="__S_L_G"/>
    <w:basedOn w:val="Normal"/>
    <w:next w:val="Normal"/>
    <w:rsid w:val="00A8523D"/>
    <w:pPr>
      <w:keepNext/>
      <w:keepLines/>
      <w:spacing w:before="240" w:after="240" w:line="580" w:lineRule="exact"/>
    </w:pPr>
    <w:rPr>
      <w:b/>
      <w:sz w:val="56"/>
    </w:rPr>
  </w:style>
  <w:style w:type="paragraph" w:customStyle="1" w:styleId="SSG">
    <w:name w:val="__S_S_G"/>
    <w:basedOn w:val="Normal"/>
    <w:next w:val="Normal"/>
    <w:rsid w:val="00A8523D"/>
    <w:pPr>
      <w:keepNext/>
      <w:keepLines/>
      <w:spacing w:before="240" w:after="240" w:line="300" w:lineRule="exact"/>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hanging="1134"/>
    </w:pPr>
    <w:rPr>
      <w:sz w:val="18"/>
    </w:rPr>
  </w:style>
  <w:style w:type="paragraph" w:customStyle="1" w:styleId="XLargeG">
    <w:name w:val="__XLarge_G"/>
    <w:basedOn w:val="Normal"/>
    <w:next w:val="Normal"/>
    <w:rsid w:val="00A8523D"/>
    <w:pPr>
      <w:keepNext/>
      <w:keepLines/>
      <w:spacing w:before="240" w:after="240" w:line="420" w:lineRule="exact"/>
    </w:pPr>
    <w:rPr>
      <w:b/>
      <w:sz w:val="40"/>
    </w:rPr>
  </w:style>
  <w:style w:type="paragraph" w:customStyle="1" w:styleId="Bullet1G">
    <w:name w:val="_Bullet 1_G"/>
    <w:basedOn w:val="Normal"/>
    <w:rsid w:val="00A8523D"/>
    <w:pPr>
      <w:numPr>
        <w:numId w:val="14"/>
      </w:numPr>
    </w:pPr>
  </w:style>
  <w:style w:type="paragraph" w:styleId="EndnoteText">
    <w:name w:val="endnote text"/>
    <w:aliases w:val="2_G"/>
    <w:basedOn w:val="FootnoteText"/>
    <w:rsid w:val="00A8523D"/>
  </w:style>
  <w:style w:type="character" w:styleId="CommentReference">
    <w:name w:val="annotation reference"/>
    <w:uiPriority w:val="99"/>
    <w:semiHidden/>
    <w:rsid w:val="007F1CE0"/>
    <w:rPr>
      <w:sz w:val="6"/>
    </w:rPr>
  </w:style>
  <w:style w:type="paragraph" w:styleId="CommentText">
    <w:name w:val="annotation text"/>
    <w:basedOn w:val="Normal"/>
    <w:link w:val="CommentTextChar"/>
    <w:rsid w:val="007F1CE0"/>
  </w:style>
  <w:style w:type="character" w:styleId="LineNumber">
    <w:name w:val="line number"/>
    <w:semiHidden/>
    <w:rsid w:val="007F1CE0"/>
    <w:rPr>
      <w:sz w:val="14"/>
    </w:rPr>
  </w:style>
  <w:style w:type="paragraph" w:customStyle="1" w:styleId="Bullet2G">
    <w:name w:val="_Bullet 2_G"/>
    <w:basedOn w:val="Normal"/>
    <w:rsid w:val="00A8523D"/>
    <w:pPr>
      <w:numPr>
        <w:numId w:val="15"/>
      </w:numPr>
    </w:pPr>
  </w:style>
  <w:style w:type="paragraph" w:customStyle="1" w:styleId="H1G">
    <w:name w:val="_ H_1_G"/>
    <w:basedOn w:val="Normal"/>
    <w:next w:val="Normal"/>
    <w:rsid w:val="00A8523D"/>
    <w:pPr>
      <w:keepNext/>
      <w:keepLines/>
      <w:tabs>
        <w:tab w:val="right" w:pos="851"/>
      </w:tabs>
      <w:spacing w:before="360" w:after="240" w:line="270" w:lineRule="exact"/>
      <w:ind w:hanging="1134"/>
    </w:pPr>
    <w:rPr>
      <w:b/>
      <w:sz w:val="24"/>
    </w:rPr>
  </w:style>
  <w:style w:type="paragraph" w:customStyle="1" w:styleId="H23G">
    <w:name w:val="_ H_2/3_G"/>
    <w:basedOn w:val="Normal"/>
    <w:next w:val="Normal"/>
    <w:rsid w:val="00A8523D"/>
    <w:pPr>
      <w:keepNext/>
      <w:keepLines/>
      <w:tabs>
        <w:tab w:val="right" w:pos="851"/>
      </w:tabs>
      <w:spacing w:before="240" w:line="240" w:lineRule="exact"/>
      <w:ind w:hanging="1134"/>
    </w:pPr>
    <w:rPr>
      <w:b/>
    </w:rPr>
  </w:style>
  <w:style w:type="paragraph" w:customStyle="1" w:styleId="H4G">
    <w:name w:val="_ H_4_G"/>
    <w:basedOn w:val="Normal"/>
    <w:next w:val="Normal"/>
    <w:rsid w:val="00A8523D"/>
    <w:pPr>
      <w:keepNext/>
      <w:keepLines/>
      <w:tabs>
        <w:tab w:val="right" w:pos="851"/>
      </w:tabs>
      <w:spacing w:before="240" w:line="240" w:lineRule="exact"/>
      <w:ind w:hanging="1134"/>
    </w:pPr>
    <w:rPr>
      <w:i/>
    </w:rPr>
  </w:style>
  <w:style w:type="paragraph" w:customStyle="1" w:styleId="H56G">
    <w:name w:val="_ H_5/6_G"/>
    <w:basedOn w:val="Normal"/>
    <w:next w:val="Normal"/>
    <w:rsid w:val="00A8523D"/>
    <w:pPr>
      <w:keepNext/>
      <w:keepLines/>
      <w:tabs>
        <w:tab w:val="right" w:pos="851"/>
      </w:tabs>
      <w:spacing w:before="240" w:line="240" w:lineRule="exact"/>
      <w:ind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line="480" w:lineRule="auto"/>
    </w:pPr>
  </w:style>
  <w:style w:type="paragraph" w:styleId="BodyText3">
    <w:name w:val="Body Text 3"/>
    <w:basedOn w:val="Normal"/>
    <w:semiHidden/>
    <w:rsid w:val="008A6C4F"/>
    <w:rPr>
      <w:sz w:val="16"/>
      <w:szCs w:val="16"/>
    </w:rPr>
  </w:style>
  <w:style w:type="paragraph" w:styleId="BodyTextFirstIndent">
    <w:name w:val="Body Text First Indent"/>
    <w:basedOn w:val="BodyText"/>
    <w:semiHidden/>
    <w:rsid w:val="008A6C4F"/>
    <w:pPr>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line="480" w:lineRule="auto"/>
      <w:ind w:left="283"/>
    </w:pPr>
  </w:style>
  <w:style w:type="paragraph" w:styleId="BodyTextIndent3">
    <w:name w:val="Body Text Indent 3"/>
    <w:basedOn w:val="Normal"/>
    <w:semiHidden/>
    <w:rsid w:val="008A6C4F"/>
    <w:pPr>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ind w:left="283"/>
    </w:pPr>
  </w:style>
  <w:style w:type="paragraph" w:styleId="ListContinue2">
    <w:name w:val="List Continue 2"/>
    <w:basedOn w:val="Normal"/>
    <w:semiHidden/>
    <w:rsid w:val="008A6C4F"/>
    <w:pPr>
      <w:ind w:left="566"/>
    </w:pPr>
  </w:style>
  <w:style w:type="paragraph" w:styleId="ListContinue3">
    <w:name w:val="List Continue 3"/>
    <w:basedOn w:val="Normal"/>
    <w:semiHidden/>
    <w:rsid w:val="008A6C4F"/>
    <w:pPr>
      <w:ind w:left="849"/>
    </w:pPr>
  </w:style>
  <w:style w:type="paragraph" w:styleId="ListContinue4">
    <w:name w:val="List Continue 4"/>
    <w:basedOn w:val="Normal"/>
    <w:semiHidden/>
    <w:rsid w:val="008A6C4F"/>
    <w:pPr>
      <w:ind w:left="1132"/>
    </w:pPr>
  </w:style>
  <w:style w:type="paragraph" w:styleId="ListContinue5">
    <w:name w:val="List Continue 5"/>
    <w:basedOn w:val="Normal"/>
    <w:semiHidden/>
    <w:rsid w:val="008A6C4F"/>
    <w:pPr>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pacing w:line="240" w:lineRule="auto"/>
      <w:ind w:left="720"/>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autoSpaceDE w:val="0"/>
      <w:autoSpaceDN w:val="0"/>
      <w:adjustRightInd w:val="0"/>
      <w:spacing w:line="240" w:lineRule="auto"/>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pacing w:line="240" w:lineRule="auto"/>
    </w:pPr>
    <w:rPr>
      <w:snapToGrid w:val="0"/>
      <w:color w:val="000000"/>
      <w:sz w:val="22"/>
      <w:szCs w:val="22"/>
    </w:rPr>
  </w:style>
  <w:style w:type="paragraph" w:customStyle="1" w:styleId="Style1">
    <w:name w:val="Style1"/>
    <w:basedOn w:val="Normal"/>
    <w:rsid w:val="009D634E"/>
    <w:pPr>
      <w:spacing w:line="240" w:lineRule="auto"/>
    </w:pPr>
    <w:rPr>
      <w:sz w:val="22"/>
      <w:szCs w:val="24"/>
    </w:rPr>
  </w:style>
  <w:style w:type="character" w:customStyle="1" w:styleId="FooterChar">
    <w:name w:val="Footer Char"/>
    <w:aliases w:val="3_G Char"/>
    <w:link w:val="Footer"/>
    <w:uiPriority w:val="99"/>
    <w:rsid w:val="00D626F7"/>
    <w:rPr>
      <w:sz w:val="16"/>
      <w:lang w:eastAsia="en-US"/>
    </w:rPr>
  </w:style>
  <w:style w:type="paragraph" w:styleId="ListParagraph">
    <w:name w:val="List Paragraph"/>
    <w:basedOn w:val="Normal"/>
    <w:uiPriority w:val="99"/>
    <w:qFormat/>
    <w:rsid w:val="00D626F7"/>
    <w:pPr>
      <w:ind w:left="720"/>
      <w:contextualSpacing/>
    </w:pPr>
  </w:style>
  <w:style w:type="character" w:customStyle="1" w:styleId="HeaderChar">
    <w:name w:val="Header Char"/>
    <w:aliases w:val="6_G Char"/>
    <w:basedOn w:val="DefaultParagraphFont"/>
    <w:link w:val="Header"/>
    <w:uiPriority w:val="99"/>
    <w:rsid w:val="00D626F7"/>
    <w:rPr>
      <w:b/>
      <w:sz w:val="18"/>
      <w:lang w:eastAsia="en-US"/>
    </w:rPr>
  </w:style>
  <w:style w:type="table" w:customStyle="1" w:styleId="GridTable1Light1">
    <w:name w:val="Grid Table 1 Light1"/>
    <w:basedOn w:val="TableNormal"/>
    <w:uiPriority w:val="46"/>
    <w:rsid w:val="000500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AA4AE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747">
      <w:bodyDiv w:val="1"/>
      <w:marLeft w:val="0"/>
      <w:marRight w:val="0"/>
      <w:marTop w:val="0"/>
      <w:marBottom w:val="0"/>
      <w:divBdr>
        <w:top w:val="none" w:sz="0" w:space="0" w:color="auto"/>
        <w:left w:val="none" w:sz="0" w:space="0" w:color="auto"/>
        <w:bottom w:val="none" w:sz="0" w:space="0" w:color="auto"/>
        <w:right w:val="none" w:sz="0" w:space="0" w:color="auto"/>
      </w:divBdr>
      <w:divsChild>
        <w:div w:id="1792241972">
          <w:marLeft w:val="0"/>
          <w:marRight w:val="0"/>
          <w:marTop w:val="0"/>
          <w:marBottom w:val="0"/>
          <w:divBdr>
            <w:top w:val="none" w:sz="0" w:space="0" w:color="auto"/>
            <w:left w:val="none" w:sz="0" w:space="0" w:color="auto"/>
            <w:bottom w:val="none" w:sz="0" w:space="0" w:color="auto"/>
            <w:right w:val="none" w:sz="0" w:space="0" w:color="auto"/>
          </w:divBdr>
        </w:div>
        <w:div w:id="46731909">
          <w:marLeft w:val="0"/>
          <w:marRight w:val="0"/>
          <w:marTop w:val="0"/>
          <w:marBottom w:val="0"/>
          <w:divBdr>
            <w:top w:val="none" w:sz="0" w:space="0" w:color="auto"/>
            <w:left w:val="none" w:sz="0" w:space="0" w:color="auto"/>
            <w:bottom w:val="none" w:sz="0" w:space="0" w:color="auto"/>
            <w:right w:val="none" w:sz="0" w:space="0" w:color="auto"/>
          </w:divBdr>
        </w:div>
      </w:divsChild>
    </w:div>
    <w:div w:id="1331254769">
      <w:bodyDiv w:val="1"/>
      <w:marLeft w:val="0"/>
      <w:marRight w:val="0"/>
      <w:marTop w:val="0"/>
      <w:marBottom w:val="0"/>
      <w:divBdr>
        <w:top w:val="none" w:sz="0" w:space="0" w:color="auto"/>
        <w:left w:val="none" w:sz="0" w:space="0" w:color="auto"/>
        <w:bottom w:val="none" w:sz="0" w:space="0" w:color="auto"/>
        <w:right w:val="none" w:sz="0" w:space="0" w:color="auto"/>
      </w:divBdr>
    </w:div>
    <w:div w:id="1375542347">
      <w:bodyDiv w:val="1"/>
      <w:marLeft w:val="0"/>
      <w:marRight w:val="0"/>
      <w:marTop w:val="0"/>
      <w:marBottom w:val="0"/>
      <w:divBdr>
        <w:top w:val="none" w:sz="0" w:space="0" w:color="auto"/>
        <w:left w:val="none" w:sz="0" w:space="0" w:color="auto"/>
        <w:bottom w:val="none" w:sz="0" w:space="0" w:color="auto"/>
        <w:right w:val="none" w:sz="0" w:space="0" w:color="auto"/>
      </w:divBdr>
      <w:divsChild>
        <w:div w:id="2089375929">
          <w:marLeft w:val="547"/>
          <w:marRight w:val="0"/>
          <w:marTop w:val="82"/>
          <w:marBottom w:val="0"/>
          <w:divBdr>
            <w:top w:val="none" w:sz="0" w:space="0" w:color="auto"/>
            <w:left w:val="none" w:sz="0" w:space="0" w:color="auto"/>
            <w:bottom w:val="none" w:sz="0" w:space="0" w:color="auto"/>
            <w:right w:val="none" w:sz="0" w:space="0" w:color="auto"/>
          </w:divBdr>
        </w:div>
      </w:divsChild>
    </w:div>
    <w:div w:id="1638074470">
      <w:bodyDiv w:val="1"/>
      <w:marLeft w:val="0"/>
      <w:marRight w:val="0"/>
      <w:marTop w:val="0"/>
      <w:marBottom w:val="0"/>
      <w:divBdr>
        <w:top w:val="none" w:sz="0" w:space="0" w:color="auto"/>
        <w:left w:val="none" w:sz="0" w:space="0" w:color="auto"/>
        <w:bottom w:val="none" w:sz="0" w:space="0" w:color="auto"/>
        <w:right w:val="none" w:sz="0" w:space="0" w:color="auto"/>
      </w:divBdr>
      <w:divsChild>
        <w:div w:id="79016826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Bla14</b:Tag>
    <b:SourceType>Report</b:SourceType>
    <b:Guid>{91829156-F952-45CB-AD7D-5244145DC1BB}</b:Guid>
    <b:Author>
      <b:Author>
        <b:NameList>
          <b:Person>
            <b:Last>Blackmore</b:Last>
            <b:First>T.</b:First>
            <b:Middle>Murray, D. Lemieux, A.</b:Middle>
          </b:Person>
        </b:NameList>
      </b:Author>
    </b:Author>
    <b:Title>Light Ends Composition in Dilbit and Conventional Crudes</b:Title>
    <b:Year>2014</b:Year>
    <b:Publisher>Omnicon Consultants Inc.</b:Publisher>
    <b:City>Edmonton</b:City>
    <b:RefOrder>1</b:RefOrder>
  </b:Source>
  <b:Source>
    <b:Tag>CAP14</b:Tag>
    <b:SourceType>Report</b:SourceType>
    <b:Guid>{A79A003F-43A6-4545-B733-DA70246BF4FF}</b:Guid>
    <b:Title>Crude Oil Forecast, Markets &amp; Transportation</b:Title>
    <b:Year>2014</b:Year>
    <b:City>Calgary</b:City>
    <b:Publisher>CAPP</b:Publisher>
    <b:Author>
      <b:Author>
        <b:Corporate>CAPP</b:Corporate>
      </b:Author>
    </b:Author>
    <b:RefOrder>2</b:RefOrder>
  </b:Source>
  <b:Source>
    <b:Tag>Ric13</b:Tag>
    <b:SourceType>InternetSite</b:SourceType>
    <b:Guid>{0AD65920-29B0-4816-8012-E24AE35C66EF}</b:Guid>
    <b:Title>Railcars and trucks make a comeback as mthods for shipping oil</b:Title>
    <b:Year>2013</b:Year>
    <b:Author>
      <b:Author>
        <b:NameList>
          <b:Person>
            <b:Last>Ricciotti</b:Last>
            <b:First>Lisa</b:First>
          </b:Person>
        </b:NameList>
      </b:Author>
    </b:Author>
    <b:Month>February</b:Month>
    <b:Day>18</b:Day>
    <b:InternetSiteTitle>Alberta Oil Magazine</b:InternetSiteTitle>
    <b:YearAccessed>2015</b:YearAccessed>
    <b:MonthAccessed>April</b:MonthAccessed>
    <b:DayAccessed>20</b:DayAccessed>
    <b:URL>http://www.albertaoilmagazine.com/2013/02/railcars-trucks-make-oil-comeback/</b:URL>
    <b:RefOrder>3</b:RefOrder>
  </b:Source>
  <b:Source>
    <b:Tag>Can13</b:Tag>
    <b:SourceType>DocumentFromInternetSite</b:SourceType>
    <b:Guid>{91806739-D737-498D-8EA2-BB0662D7C120}</b:Guid>
    <b:Title>CTA Issues White Paper on Transportation of Dangerous Gooods by Truck</b:Title>
    <b:Year>2013</b:Year>
    <b:Author>
      <b:Author>
        <b:Corporate>Canadian Trucking Alliance</b:Corporate>
      </b:Author>
    </b:Author>
    <b:CountryRegion>Canada</b:CountryRegion>
    <b:Month>November</b:Month>
    <b:Day>26</b:Day>
    <b:InternetSiteTitle>Canadian Trucking Alliance</b:InternetSiteTitle>
    <b:YearAccessed>2015</b:YearAccessed>
    <b:MonthAccessed>May</b:MonthAccessed>
    <b:DayAccessed>27</b:DayAccessed>
    <b:URL>http://member.cantruck.ca/imispublic/Home2/AM/ContentManagerNet/ContentDisplay.aspx?Section=Home2&amp;ContentID=13211</b:URL>
    <b:RefOrder>4</b:RefOrder>
  </b:Source>
  <b:Source>
    <b:Tag>WGB12</b:Tag>
    <b:SourceType>Report</b:SourceType>
    <b:Guid>{196FD816-3C22-448E-BBEC-2BB1E367D0F2}</b:Guid>
    <b:Title>H2S in Crude Measurement Report</b:Title>
    <b:Year>2012</b:Year>
    <b:Author>
      <b:Author>
        <b:NameList>
          <b:Person>
            <b:Last>Lywood</b:Last>
            <b:First>W.G.</b:First>
            <b:Middle>(Bill)</b:Middle>
          </b:Person>
          <b:Person>
            <b:Last>Murray</b:Last>
            <b:First>Dave</b:First>
          </b:Person>
        </b:NameList>
      </b:Author>
    </b:Author>
    <b:Publisher>Canadian Crude Quality Technical Association</b:Publisher>
    <b:City>Edmonton</b:City>
    <b:RefOrder>5</b:RefOrder>
  </b:Source>
  <b:Source>
    <b:Tag>Cru03</b:Tag>
    <b:SourceType>Report</b:SourceType>
    <b:Guid>{E5E74E3A-3984-4979-826C-BA2826B6A88D}</b:Guid>
    <b:Title>Water Measurement Subcommittee Final Discussion Paper</b:Title>
    <b:Year>2003</b:Year>
    <b:Author>
      <b:Author>
        <b:Corporate>Crude Oil Quality Association</b:Corporate>
      </b:Author>
    </b:Author>
    <b:Publisher>COQA</b:Publisher>
    <b:RefOrder>6</b:RefOrder>
  </b:Source>
  <b:Source>
    <b:Tag>CCQ14</b:Tag>
    <b:SourceType>DocumentFromInternetSite</b:SourceType>
    <b:Guid>{A5AC46D2-B64C-436D-9D2D-07B7D88546A8}</b:Guid>
    <b:Title>Analytical Methods</b:Title>
    <b:Year>2014</b:Year>
    <b:Author>
      <b:Author>
        <b:Corporate>CCQTA</b:Corporate>
      </b:Author>
    </b:Author>
    <b:InternetSiteTitle>The Canadian Crude Technical Association</b:InternetSiteTitle>
    <b:Month>05</b:Month>
    <b:Day>23</b:Day>
    <b:YearAccessed>2015</b:YearAccessed>
    <b:MonthAccessed>04</b:MonthAccessed>
    <b:DayAccessed>21</b:DayAccessed>
    <b:URL>http://www.ccqta.com/methods.php?analytical_id=19</b:URL>
    <b:RefOrder>7</b:RefOrder>
  </b:Source>
  <b:Source>
    <b:Tag>CAP142</b:Tag>
    <b:SourceType>Report</b:SourceType>
    <b:Guid>{B3F5B083-7EB7-4DDD-87A3-E7140D4D4B07}</b:Guid>
    <b:Author>
      <b:Author>
        <b:Corporate>CAPP</b:Corporate>
      </b:Author>
    </b:Author>
    <b:Title>Transporting Crude by Rail in Canada</b:Title>
    <b:Year>2014</b:Year>
    <b:Publisher>Canadian Association of Petroleum Producers</b:Publisher>
    <b:City>Calgary</b:City>
    <b:RefOrder>8</b:RefOrder>
  </b:Source>
  <b:Source>
    <b:Tag>ISO10</b:Tag>
    <b:SourceType>Report</b:SourceType>
    <b:Guid>{D95540F3-F63B-4187-AD0F-21A2DCDDF18F}</b:Guid>
    <b:Author>
      <b:Author>
        <b:Corporate>ISO</b:Corporate>
      </b:Author>
    </b:Author>
    <b:Title>ISO 10156:2010 Gases and gas mixtures - Determination of fire potential and oxidizing ability for the selection of cylinder valve outlets</b:Title>
    <b:Year>2010</b:Year>
    <b:Publisher>International Organization for Standardization</b:Publisher>
    <b:City>Switzerland</b:City>
    <b:RefOrder>9</b:RefOrder>
  </b:Source>
  <b:Source>
    <b:Tag>Whi131</b:Tag>
    <b:SourceType>Book</b:SourceType>
    <b:Guid>{4C5653A5-B331-43F5-8873-C7E6A7250819}</b:Guid>
    <b:Author>
      <b:Author>
        <b:NameList>
          <b:Person>
            <b:Last>White</b:Last>
            <b:First>E.W.</b:First>
          </b:Person>
          <b:Person>
            <b:Last>Montemayor</b:Last>
            <b:Middle>G</b:Middle>
            <b:First>R</b:First>
          </b:Person>
        </b:NameList>
      </b:Author>
    </b:Author>
    <b:Title>The Practice of Flash Point Determination:  A Laboratory Resource</b:Title>
    <b:Year>2013</b:Year>
    <b:City>West Conshohocken</b:City>
    <b:Publisher>ASTM International</b:Publisher>
    <b:RefOrder>10</b:RefOrder>
  </b:Source>
  <b:Source>
    <b:Tag>Ped89</b:Tag>
    <b:SourceType>JournalArticle</b:SourceType>
    <b:Guid>{9359CC40-863E-4AF8-9623-76B0CA7169B0}</b:Guid>
    <b:Title>Characterization of gas condensate mixtures</b:Title>
    <b:Year>1989</b:Year>
    <b:Author>
      <b:Author>
        <b:NameList>
          <b:Person>
            <b:Last>Pedersen</b:Last>
            <b:First>K.S.</b:First>
          </b:Person>
          <b:Person>
            <b:Last>Thomassen</b:Last>
            <b:First>P.</b:First>
          </b:Person>
          <b:Person>
            <b:Last>Fredenslund</b:Last>
            <b:First>A.</b:First>
          </b:Person>
        </b:NameList>
      </b:Author>
    </b:Author>
    <b:JournalName>Advances in Thermodynamics</b:JournalName>
    <b:Pages>137-152</b:Pages>
    <b:RefOrder>11</b:RefOrder>
  </b:Source>
  <b:Source>
    <b:Tag>CAP141</b:Tag>
    <b:SourceType>Report</b:SourceType>
    <b:Guid>{D323ED11-0627-46A7-A256-61341576E013}</b:Guid>
    <b:Author>
      <b:Author>
        <b:Corporate>CAPP</b:Corporate>
      </b:Author>
    </b:Author>
    <b:Title>Canadian Crude Oil Production by Major Fields</b:Title>
    <b:Year>2014</b:Year>
    <b:Publisher>Canadian Association of Petroleum Producers</b:Publisher>
    <b:City>Calgary</b:City>
    <b:RefOrder>12</b:RefOrder>
  </b:Source>
  <b:Source>
    <b:Tag>API14</b:Tag>
    <b:SourceType>Report</b:SourceType>
    <b:Guid>{F58AB11F-44F5-4086-BCF8-C104EBB3976B}</b:Guid>
    <b:Title>API RP 3000:  Classifying and Loading of Crude Oil into Rail Tank Cars</b:Title>
    <b:Year>2014</b:Year>
    <b:Author>
      <b:Author>
        <b:Corporate>API</b:Corporate>
      </b:Author>
    </b:Author>
    <b:Publisher>American Petroleum Institute</b:Publisher>
    <b:City>Washington DC</b:City>
    <b:RefOrder>13</b:RefOrder>
  </b:Source>
</b:Sources>
</file>

<file path=customXml/itemProps1.xml><?xml version="1.0" encoding="utf-8"?>
<ds:datastoreItem xmlns:ds="http://schemas.openxmlformats.org/officeDocument/2006/customXml" ds:itemID="{8E496F74-25AD-4596-A509-F17411EF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8</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2015-12-04T07:26:00Z</cp:lastPrinted>
  <dcterms:created xsi:type="dcterms:W3CDTF">2015-12-04T12:05:00Z</dcterms:created>
  <dcterms:modified xsi:type="dcterms:W3CDTF">2015-12-04T12:05:00Z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