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FD6BCD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6D2EF2">
              <w:rPr>
                <w:b/>
                <w:sz w:val="40"/>
                <w:szCs w:val="40"/>
                <w:lang w:val="fr-FR"/>
              </w:rPr>
              <w:t>58</w:t>
            </w:r>
          </w:p>
          <w:p w:rsidR="0099001C" w:rsidRPr="00EE6D31" w:rsidRDefault="0099001C" w:rsidP="006D2EF2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6D2EF2">
              <w:rPr>
                <w:b/>
                <w:sz w:val="40"/>
                <w:szCs w:val="40"/>
                <w:lang w:val="fr-FR"/>
              </w:rPr>
              <w:t>20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FD6BCD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FD6BCD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6D2EF2">
              <w:rPr>
                <w:b/>
              </w:rPr>
              <w:t>2</w:t>
            </w:r>
            <w:r w:rsidR="00BC4C75">
              <w:rPr>
                <w:b/>
              </w:rPr>
              <w:t xml:space="preserve"> </w:t>
            </w:r>
            <w:r w:rsidR="00FD6BCD">
              <w:rPr>
                <w:b/>
              </w:rPr>
              <w:t>Dec</w:t>
            </w:r>
            <w:r w:rsidR="001465C4">
              <w:rPr>
                <w:b/>
              </w:rPr>
              <w:t>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FD6BCD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FD6BCD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FD6BCD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FD6BCD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FD6BCD">
        <w:tc>
          <w:tcPr>
            <w:tcW w:w="4649" w:type="dxa"/>
            <w:tcMar>
              <w:top w:w="28" w:type="dxa"/>
            </w:tcMar>
          </w:tcPr>
          <w:p w:rsidR="00EE6D31" w:rsidRDefault="00EE6D31" w:rsidP="00FD6BCD">
            <w:pPr>
              <w:ind w:right="57"/>
            </w:pPr>
            <w:r>
              <w:t>Geneva, 30 November – 9 December 2015</w:t>
            </w:r>
          </w:p>
          <w:p w:rsidR="00EE6D31" w:rsidRDefault="00EE6D31" w:rsidP="00FD6BCD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5C371C">
              <w:t>10 (h)</w:t>
            </w:r>
            <w:r w:rsidRPr="006500BA">
              <w:t xml:space="preserve"> of the provisional agenda</w:t>
            </w:r>
          </w:p>
          <w:p w:rsidR="00EE6D31" w:rsidRPr="005C371C" w:rsidRDefault="005C371C" w:rsidP="00EE6D31">
            <w:pPr>
              <w:ind w:right="57"/>
              <w:rPr>
                <w:b/>
                <w:bCs/>
              </w:rPr>
            </w:pPr>
            <w:r w:rsidRPr="005C371C">
              <w:rPr>
                <w:b/>
              </w:rPr>
              <w:t>Issues relating to the Globally Harmonized System of Classification and Labelling of Chemicals: miscellaneous</w:t>
            </w: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FD6BCD">
            <w:r>
              <w:t>Geneva, 9</w:t>
            </w:r>
            <w:r w:rsidR="007367DB">
              <w:t xml:space="preserve"> </w:t>
            </w:r>
            <w:r>
              <w:t>–</w:t>
            </w:r>
            <w:r w:rsidR="007367DB">
              <w:t xml:space="preserve"> </w:t>
            </w:r>
            <w:r>
              <w:t>11 December 2015</w:t>
            </w:r>
          </w:p>
          <w:p w:rsidR="00EE6D31" w:rsidRDefault="00EE6D31" w:rsidP="00FD6BCD">
            <w:r w:rsidRPr="006500BA">
              <w:t xml:space="preserve">Item </w:t>
            </w:r>
            <w:r w:rsidR="0033675D">
              <w:t>3 (d</w:t>
            </w:r>
            <w:r w:rsidR="007024E9">
              <w:t>)</w:t>
            </w:r>
            <w:r w:rsidRPr="006500BA">
              <w:t xml:space="preserve"> of the provisional agenda</w:t>
            </w:r>
          </w:p>
          <w:p w:rsidR="001465C4" w:rsidRPr="0033675D" w:rsidRDefault="0033675D" w:rsidP="0033675D">
            <w:pPr>
              <w:suppressAutoHyphens w:val="0"/>
              <w:spacing w:line="240" w:lineRule="auto"/>
              <w:rPr>
                <w:b/>
                <w:bCs/>
              </w:rPr>
            </w:pPr>
            <w:r w:rsidRPr="0033675D">
              <w:rPr>
                <w:b/>
              </w:rPr>
              <w:t>Classification criteria and related hazard communication</w:t>
            </w:r>
            <w:r w:rsidRPr="003367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3675D">
              <w:rPr>
                <w:b/>
              </w:rPr>
              <w:t>n</w:t>
            </w:r>
            <w:r w:rsidRPr="0033675D">
              <w:rPr>
                <w:b/>
              </w:rPr>
              <w:t>anomaterials</w:t>
            </w:r>
            <w:proofErr w:type="spellEnd"/>
          </w:p>
        </w:tc>
      </w:tr>
    </w:tbl>
    <w:p w:rsidR="005C371C" w:rsidRPr="005C371C" w:rsidRDefault="005C371C" w:rsidP="005C371C">
      <w:pPr>
        <w:pStyle w:val="HChG"/>
      </w:pPr>
      <w:r>
        <w:tab/>
      </w:r>
      <w:r>
        <w:tab/>
        <w:t xml:space="preserve">GHS </w:t>
      </w:r>
      <w:r w:rsidR="0033675D">
        <w:t xml:space="preserve">informal working group on </w:t>
      </w:r>
      <w:proofErr w:type="spellStart"/>
      <w:r w:rsidR="0033675D">
        <w:t>n</w:t>
      </w:r>
      <w:bookmarkStart w:id="0" w:name="_GoBack"/>
      <w:bookmarkEnd w:id="0"/>
      <w:r w:rsidR="00FD6BCD">
        <w:t>anomaterials</w:t>
      </w:r>
      <w:proofErr w:type="spellEnd"/>
    </w:p>
    <w:p w:rsidR="007024E9" w:rsidRPr="001E0572" w:rsidRDefault="007024E9" w:rsidP="006D2EF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Transmitted by the expert from France</w:t>
      </w:r>
    </w:p>
    <w:p w:rsidR="00FD6BCD" w:rsidRPr="00756057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1.</w:t>
      </w:r>
      <w:r w:rsidRPr="001E0572">
        <w:rPr>
          <w:lang w:val="en-US"/>
        </w:rPr>
        <w:tab/>
      </w:r>
      <w:r w:rsidR="00FD6BCD">
        <w:rPr>
          <w:lang w:val="en-US"/>
        </w:rPr>
        <w:t xml:space="preserve">An informal working group on </w:t>
      </w:r>
      <w:proofErr w:type="spellStart"/>
      <w:r w:rsidR="00FD6BCD">
        <w:rPr>
          <w:lang w:val="en-US"/>
        </w:rPr>
        <w:t>Nanomateri</w:t>
      </w:r>
      <w:r w:rsidR="006D2EF2">
        <w:rPr>
          <w:lang w:val="en-US"/>
        </w:rPr>
        <w:t>als</w:t>
      </w:r>
      <w:proofErr w:type="spellEnd"/>
      <w:r w:rsidR="006D2EF2">
        <w:rPr>
          <w:lang w:val="en-US"/>
        </w:rPr>
        <w:t xml:space="preserve"> is scheduled on Wednesday 9 </w:t>
      </w:r>
      <w:r w:rsidR="00FD6BCD">
        <w:rPr>
          <w:lang w:val="en-US"/>
        </w:rPr>
        <w:t>December, 2015 during the 30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Globally </w:t>
      </w:r>
      <w:r w:rsidRPr="00756057">
        <w:rPr>
          <w:lang w:val="en-US"/>
        </w:rPr>
        <w:t>Harmonized System of Classification and Labelling of Chemicals</w:t>
      </w:r>
      <w:r w:rsidR="00FD6BCD" w:rsidRPr="00756057">
        <w:rPr>
          <w:lang w:val="en-US"/>
        </w:rPr>
        <w:t>.</w:t>
      </w:r>
    </w:p>
    <w:p w:rsidR="007024E9" w:rsidRDefault="007024E9" w:rsidP="007024E9">
      <w:pPr>
        <w:pStyle w:val="SingleTxtG"/>
        <w:rPr>
          <w:lang w:val="en-US"/>
        </w:rPr>
      </w:pPr>
      <w:r w:rsidRPr="00756057">
        <w:rPr>
          <w:lang w:val="en-US"/>
        </w:rPr>
        <w:t>2.</w:t>
      </w:r>
      <w:r w:rsidRPr="00756057">
        <w:rPr>
          <w:lang w:val="en-US"/>
        </w:rPr>
        <w:tab/>
        <w:t xml:space="preserve">The expert from France is </w:t>
      </w:r>
      <w:r w:rsidR="00756057" w:rsidRPr="00756057">
        <w:rPr>
          <w:lang w:val="en-US"/>
        </w:rPr>
        <w:t>submitting the attached presentation in appendix as supporting information for discussion during the informal working group.</w:t>
      </w:r>
      <w:r w:rsidR="00E20121">
        <w:rPr>
          <w:lang w:val="en-US"/>
        </w:rPr>
        <w:t xml:space="preserve"> It appears to be also interesting information for both plenary sessions of TDG and GHS sub-committee</w:t>
      </w:r>
      <w:r w:rsidR="003170E3">
        <w:rPr>
          <w:lang w:val="en-US"/>
        </w:rPr>
        <w:t>s</w:t>
      </w:r>
      <w:r w:rsidR="00E20121">
        <w:rPr>
          <w:lang w:val="en-US"/>
        </w:rPr>
        <w:t xml:space="preserve">. Based on comments from the other experts, France may come back with a more detailed review of test </w:t>
      </w:r>
      <w:r w:rsidR="00BE2D07">
        <w:rPr>
          <w:lang w:val="en-US"/>
        </w:rPr>
        <w:t>descriptions and screening procedures if needed</w:t>
      </w:r>
      <w:r w:rsidR="00E20121">
        <w:rPr>
          <w:lang w:val="en-US"/>
        </w:rPr>
        <w:t xml:space="preserve"> </w:t>
      </w:r>
      <w:r w:rsidR="00BE2D07">
        <w:rPr>
          <w:lang w:val="en-US"/>
        </w:rPr>
        <w:t>and proposals on</w:t>
      </w:r>
      <w:r w:rsidR="00E20121">
        <w:rPr>
          <w:lang w:val="en-US"/>
        </w:rPr>
        <w:t xml:space="preserve"> the</w:t>
      </w:r>
      <w:r w:rsidR="00BE2D07">
        <w:rPr>
          <w:lang w:val="en-US"/>
        </w:rPr>
        <w:t>ir adaptations</w:t>
      </w:r>
      <w:r w:rsidR="00E20121">
        <w:rPr>
          <w:lang w:val="en-US"/>
        </w:rPr>
        <w:t xml:space="preserve"> to fit with </w:t>
      </w:r>
      <w:proofErr w:type="spellStart"/>
      <w:r w:rsidR="00E20121">
        <w:rPr>
          <w:lang w:val="en-US"/>
        </w:rPr>
        <w:t>nanomaterials</w:t>
      </w:r>
      <w:proofErr w:type="spellEnd"/>
      <w:r w:rsidR="00E20121">
        <w:rPr>
          <w:lang w:val="en-US"/>
        </w:rPr>
        <w:t>.</w:t>
      </w:r>
    </w:p>
    <w:p w:rsidR="00E20121" w:rsidRPr="001E0572" w:rsidRDefault="006D2EF2" w:rsidP="007024E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E20121">
        <w:rPr>
          <w:lang w:val="en-US"/>
        </w:rPr>
        <w:t xml:space="preserve">Of course this is also links to a more general discussion on what belongs to the terminology of </w:t>
      </w:r>
      <w:proofErr w:type="spellStart"/>
      <w:r w:rsidR="00E20121">
        <w:rPr>
          <w:lang w:val="en-US"/>
        </w:rPr>
        <w:t>nanomaterials</w:t>
      </w:r>
      <w:proofErr w:type="spellEnd"/>
      <w:r w:rsidR="00E20121">
        <w:rPr>
          <w:lang w:val="en-US"/>
        </w:rPr>
        <w:t>.</w:t>
      </w:r>
    </w:p>
    <w:p w:rsidR="007024E9" w:rsidRPr="005130F3" w:rsidRDefault="007024E9" w:rsidP="005130F3">
      <w:pPr>
        <w:pStyle w:val="SingleTxtG"/>
        <w:spacing w:before="240" w:after="0"/>
        <w:jc w:val="center"/>
        <w:rPr>
          <w:u w:val="single"/>
          <w:lang w:val="en-US"/>
        </w:rPr>
      </w:pPr>
    </w:p>
    <w:p w:rsidR="004F7C29" w:rsidRDefault="004F7C29">
      <w:pPr>
        <w:suppressAutoHyphens w:val="0"/>
        <w:spacing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7024E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615987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1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639321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3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 w:rsidRPr="002C5EBA">
        <w:rPr>
          <w:noProof/>
          <w:lang w:eastAsia="en-GB"/>
        </w:rPr>
        <w:lastRenderedPageBreak/>
        <w:drawing>
          <wp:inline distT="0" distB="0" distL="0" distR="0">
            <wp:extent cx="6120765" cy="452104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497206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53479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5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18565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p w:rsidR="004F7C29" w:rsidRDefault="002C5EBA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en-GB"/>
        </w:rPr>
        <w:lastRenderedPageBreak/>
        <w:drawing>
          <wp:inline distT="0" distB="0" distL="0" distR="0">
            <wp:extent cx="6120765" cy="451856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9" w:rsidRPr="006D2EF2" w:rsidRDefault="006D2EF2" w:rsidP="006D2EF2">
      <w:pPr>
        <w:spacing w:before="240"/>
        <w:ind w:left="1134" w:right="1134"/>
        <w:jc w:val="center"/>
        <w:rPr>
          <w:rFonts w:ascii="Trebuchet MS" w:hAnsi="Trebuchet MS"/>
          <w:u w:val="single"/>
          <w:lang w:val="en-US"/>
        </w:rPr>
      </w:pP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  <w:r>
        <w:rPr>
          <w:rFonts w:ascii="Trebuchet MS" w:hAnsi="Trebuchet MS"/>
          <w:u w:val="single"/>
          <w:lang w:val="en-US"/>
        </w:rPr>
        <w:tab/>
      </w:r>
    </w:p>
    <w:p w:rsidR="004F7C29" w:rsidRPr="001E0572" w:rsidRDefault="004F7C29" w:rsidP="004F7C29">
      <w:pPr>
        <w:spacing w:line="240" w:lineRule="auto"/>
        <w:ind w:left="567" w:hanging="426"/>
        <w:rPr>
          <w:rFonts w:ascii="Trebuchet MS" w:hAnsi="Trebuchet MS"/>
          <w:lang w:val="en-US"/>
        </w:rPr>
      </w:pPr>
    </w:p>
    <w:sectPr w:rsidR="004F7C29" w:rsidRPr="001E0572" w:rsidSect="0099001C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29" w:rsidRDefault="004F7C29"/>
  </w:endnote>
  <w:endnote w:type="continuationSeparator" w:id="0">
    <w:p w:rsidR="004F7C29" w:rsidRDefault="004F7C29"/>
  </w:endnote>
  <w:endnote w:type="continuationNotice" w:id="1">
    <w:p w:rsidR="004F7C29" w:rsidRDefault="004F7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99001C" w:rsidRDefault="004F7C29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E7AF3">
      <w:rPr>
        <w:b/>
        <w:noProof/>
        <w:sz w:val="18"/>
      </w:rPr>
      <w:t>8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99001C" w:rsidRDefault="004F7C29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E7AF3">
      <w:rPr>
        <w:b/>
        <w:noProof/>
        <w:sz w:val="18"/>
      </w:rPr>
      <w:t>7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29" w:rsidRPr="000B175B" w:rsidRDefault="004F7C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7C29" w:rsidRPr="00FC68B7" w:rsidRDefault="004F7C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7C29" w:rsidRDefault="004F7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C075F0" w:rsidRDefault="006D2EF2" w:rsidP="00366CA7">
    <w:pPr>
      <w:pStyle w:val="Header"/>
      <w:rPr>
        <w:lang w:val="fr-FR"/>
      </w:rPr>
    </w:pPr>
    <w:r>
      <w:rPr>
        <w:lang w:val="fr-FR"/>
      </w:rPr>
      <w:t>UN/SCETDG/48/INF.58</w:t>
    </w:r>
  </w:p>
  <w:p w:rsidR="004F7C29" w:rsidRPr="00C075F0" w:rsidRDefault="004F7C29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UN/SCEGHS/30/INF.</w:t>
    </w:r>
    <w:r w:rsidR="006D2EF2">
      <w:rPr>
        <w:lang w:val="fr-FR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9" w:rsidRPr="00C075F0" w:rsidRDefault="006D2EF2" w:rsidP="0099001C">
    <w:pPr>
      <w:pStyle w:val="Header"/>
      <w:jc w:val="right"/>
      <w:rPr>
        <w:lang w:val="fr-FR"/>
      </w:rPr>
    </w:pPr>
    <w:r>
      <w:rPr>
        <w:lang w:val="fr-FR"/>
      </w:rPr>
      <w:t>UN/SCETDG/48/INF.58</w:t>
    </w:r>
  </w:p>
  <w:p w:rsidR="004F7C29" w:rsidRPr="00C075F0" w:rsidRDefault="004F7C29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UN/SCEGHS/30/INF.</w:t>
    </w:r>
    <w:r w:rsidR="006D2EF2">
      <w:rPr>
        <w:lang w:val="fr-FR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F6933"/>
    <w:multiLevelType w:val="hybridMultilevel"/>
    <w:tmpl w:val="494C6F7A"/>
    <w:lvl w:ilvl="0" w:tplc="FBF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E68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43B8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C5EBA"/>
    <w:rsid w:val="002D59D3"/>
    <w:rsid w:val="002E08A3"/>
    <w:rsid w:val="002E227C"/>
    <w:rsid w:val="002E6380"/>
    <w:rsid w:val="002E7AF3"/>
    <w:rsid w:val="003107FA"/>
    <w:rsid w:val="003127A2"/>
    <w:rsid w:val="003170E3"/>
    <w:rsid w:val="003229D8"/>
    <w:rsid w:val="003269ED"/>
    <w:rsid w:val="0033675D"/>
    <w:rsid w:val="0033745A"/>
    <w:rsid w:val="00346A1A"/>
    <w:rsid w:val="003500B7"/>
    <w:rsid w:val="0035454C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4F7C29"/>
    <w:rsid w:val="00503228"/>
    <w:rsid w:val="00505384"/>
    <w:rsid w:val="005130F3"/>
    <w:rsid w:val="00532EF8"/>
    <w:rsid w:val="00535274"/>
    <w:rsid w:val="005371A0"/>
    <w:rsid w:val="005378DD"/>
    <w:rsid w:val="005420F2"/>
    <w:rsid w:val="00555C8C"/>
    <w:rsid w:val="00563A31"/>
    <w:rsid w:val="00565524"/>
    <w:rsid w:val="005B2C89"/>
    <w:rsid w:val="005B3DB3"/>
    <w:rsid w:val="005B5369"/>
    <w:rsid w:val="005C371C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5A56"/>
    <w:rsid w:val="00687B93"/>
    <w:rsid w:val="00691F20"/>
    <w:rsid w:val="00693543"/>
    <w:rsid w:val="006A7392"/>
    <w:rsid w:val="006A7757"/>
    <w:rsid w:val="006B035B"/>
    <w:rsid w:val="006D2EF2"/>
    <w:rsid w:val="006E564B"/>
    <w:rsid w:val="007024E9"/>
    <w:rsid w:val="0071349F"/>
    <w:rsid w:val="00720DEB"/>
    <w:rsid w:val="0072632A"/>
    <w:rsid w:val="00733AAE"/>
    <w:rsid w:val="007367DB"/>
    <w:rsid w:val="00752665"/>
    <w:rsid w:val="00756057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40B7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6E26"/>
    <w:rsid w:val="008C42E4"/>
    <w:rsid w:val="008D0C6A"/>
    <w:rsid w:val="008D1A24"/>
    <w:rsid w:val="008D6555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805EB"/>
    <w:rsid w:val="00A82502"/>
    <w:rsid w:val="00A879A4"/>
    <w:rsid w:val="00AA496B"/>
    <w:rsid w:val="00B30179"/>
    <w:rsid w:val="00B30E8F"/>
    <w:rsid w:val="00B33EC0"/>
    <w:rsid w:val="00B779AB"/>
    <w:rsid w:val="00B81E12"/>
    <w:rsid w:val="00BB6EB7"/>
    <w:rsid w:val="00BC4C75"/>
    <w:rsid w:val="00BC74E9"/>
    <w:rsid w:val="00BD2146"/>
    <w:rsid w:val="00BE2D07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C64"/>
    <w:rsid w:val="00E009BC"/>
    <w:rsid w:val="00E02C81"/>
    <w:rsid w:val="00E04468"/>
    <w:rsid w:val="00E04A82"/>
    <w:rsid w:val="00E06EAB"/>
    <w:rsid w:val="00E130AB"/>
    <w:rsid w:val="00E13CC3"/>
    <w:rsid w:val="00E20121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6BCD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8A33-AEE7-4168-AD34-48151035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8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UN/SCEGHS/19/INF</vt:lpstr>
    </vt:vector>
  </TitlesOfParts>
  <Company>CSD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2</cp:revision>
  <cp:lastPrinted>2015-12-03T11:42:00Z</cp:lastPrinted>
  <dcterms:created xsi:type="dcterms:W3CDTF">2015-12-03T11:43:00Z</dcterms:created>
  <dcterms:modified xsi:type="dcterms:W3CDTF">2015-12-03T11:43:00Z</dcterms:modified>
</cp:coreProperties>
</file>