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4636EB5" w14:textId="77777777" w:rsidTr="00A32D4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2B9C" w14:textId="77777777" w:rsidR="00446DE4" w:rsidRPr="006500BA" w:rsidRDefault="00446DE4" w:rsidP="00A32D41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DC5A8" w14:textId="77777777" w:rsidR="00446DE4" w:rsidRPr="00A32D41" w:rsidRDefault="00B3317B" w:rsidP="00A32D41">
            <w:pPr>
              <w:spacing w:after="80" w:line="340" w:lineRule="exact"/>
              <w:rPr>
                <w:sz w:val="28"/>
                <w:szCs w:val="28"/>
              </w:rPr>
            </w:pPr>
            <w:r w:rsidRPr="00A32D4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48A89" w14:textId="5DF62354" w:rsidR="00446DE4" w:rsidRPr="006500BA" w:rsidRDefault="009461DD" w:rsidP="006524E0">
            <w:pPr>
              <w:jc w:val="right"/>
            </w:pPr>
            <w:r w:rsidRPr="00A32D41">
              <w:rPr>
                <w:sz w:val="40"/>
              </w:rPr>
              <w:t>ST</w:t>
            </w:r>
            <w:r w:rsidR="003466AC">
              <w:t>/</w:t>
            </w:r>
            <w:r>
              <w:t>SG</w:t>
            </w:r>
            <w:r w:rsidR="003466AC">
              <w:t>/</w:t>
            </w:r>
            <w:r>
              <w:t>AC.10/C</w:t>
            </w:r>
            <w:r w:rsidR="003466AC">
              <w:t>.3/</w:t>
            </w:r>
            <w:r w:rsidR="00BD10E7">
              <w:t>201</w:t>
            </w:r>
            <w:r w:rsidR="00B757DF">
              <w:t>5</w:t>
            </w:r>
            <w:r w:rsidR="003466AC">
              <w:t>/</w:t>
            </w:r>
            <w:r w:rsidR="006524E0">
              <w:t>54-</w:t>
            </w:r>
            <w:r w:rsidR="006524E0" w:rsidRPr="00A32D41">
              <w:rPr>
                <w:sz w:val="40"/>
              </w:rPr>
              <w:t>ST</w:t>
            </w:r>
            <w:r w:rsidR="006524E0">
              <w:t>/SG/AC.10/C.4/2015/11</w:t>
            </w:r>
          </w:p>
        </w:tc>
      </w:tr>
      <w:tr w:rsidR="003107FA" w:rsidRPr="006500BA" w14:paraId="37A4879A" w14:textId="77777777" w:rsidTr="00A32D4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9ACD6D" w14:textId="77777777" w:rsidR="003107FA" w:rsidRPr="006500BA" w:rsidRDefault="005132B7" w:rsidP="00A32D4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1AB55C" wp14:editId="2AAC7E6A">
                  <wp:extent cx="711200" cy="58928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C7A6DD" w14:textId="77777777" w:rsidR="003107FA" w:rsidRPr="00A32D41" w:rsidRDefault="00D96CC5" w:rsidP="00A32D4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32D4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594514" w14:textId="77777777" w:rsidR="003466AC" w:rsidRDefault="003466AC" w:rsidP="00A32D41">
            <w:pPr>
              <w:spacing w:before="240" w:line="240" w:lineRule="exact"/>
            </w:pPr>
            <w:r>
              <w:t>Distr.: General</w:t>
            </w:r>
          </w:p>
          <w:p w14:paraId="77BBCD1B" w14:textId="04C970E4" w:rsidR="003466AC" w:rsidRDefault="00DB38A6" w:rsidP="00A32D41">
            <w:pPr>
              <w:spacing w:line="240" w:lineRule="exact"/>
            </w:pPr>
            <w:r>
              <w:t>8</w:t>
            </w:r>
            <w:r w:rsidR="00D35506">
              <w:t xml:space="preserve"> </w:t>
            </w:r>
            <w:r w:rsidR="00B757DF">
              <w:t xml:space="preserve">September </w:t>
            </w:r>
            <w:r w:rsidR="00230AFE">
              <w:t>201</w:t>
            </w:r>
            <w:r w:rsidR="00D35506">
              <w:t>5</w:t>
            </w:r>
          </w:p>
          <w:p w14:paraId="7AB87187" w14:textId="77777777" w:rsidR="003466AC" w:rsidRDefault="003466AC" w:rsidP="00A32D41">
            <w:pPr>
              <w:spacing w:line="240" w:lineRule="exact"/>
            </w:pPr>
          </w:p>
          <w:p w14:paraId="10E83777" w14:textId="77777777" w:rsidR="003107FA" w:rsidRPr="006500BA" w:rsidRDefault="003466AC" w:rsidP="00A32D41">
            <w:pPr>
              <w:spacing w:line="240" w:lineRule="exact"/>
            </w:pPr>
            <w:r>
              <w:t>Original: English</w:t>
            </w:r>
          </w:p>
        </w:tc>
      </w:tr>
    </w:tbl>
    <w:p w14:paraId="3DF301B4" w14:textId="77777777" w:rsidR="00D35506" w:rsidRDefault="009F0F06" w:rsidP="005176CD">
      <w:pPr>
        <w:spacing w:before="120"/>
        <w:rPr>
          <w:b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D35506" w14:paraId="602E66B4" w14:textId="77777777" w:rsidTr="00D35506">
        <w:tc>
          <w:tcPr>
            <w:tcW w:w="4820" w:type="dxa"/>
            <w:shd w:val="clear" w:color="auto" w:fill="auto"/>
          </w:tcPr>
          <w:p w14:paraId="2E95194E" w14:textId="77777777" w:rsidR="00D35506" w:rsidRDefault="00D35506" w:rsidP="00D35506">
            <w:pPr>
              <w:spacing w:before="120"/>
              <w:rPr>
                <w:b/>
              </w:rPr>
            </w:pPr>
            <w:r w:rsidRPr="000216CC">
              <w:rPr>
                <w:b/>
              </w:rPr>
              <w:t xml:space="preserve">Sub-Committee of Experts on the Transport </w:t>
            </w:r>
            <w:r w:rsidRPr="000216CC">
              <w:rPr>
                <w:b/>
              </w:rPr>
              <w:br/>
              <w:t xml:space="preserve">of Dangerous Goods </w:t>
            </w:r>
          </w:p>
          <w:p w14:paraId="28F880AE" w14:textId="77777777" w:rsidR="00EC18CA" w:rsidRPr="000216CC" w:rsidRDefault="00EC18CA" w:rsidP="00D35506">
            <w:pPr>
              <w:spacing w:before="120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06D67A7" w14:textId="77777777" w:rsidR="00D35506" w:rsidRPr="000216CC" w:rsidRDefault="00D35506" w:rsidP="00D35506">
            <w:pPr>
              <w:spacing w:before="120"/>
              <w:rPr>
                <w:b/>
              </w:rPr>
            </w:pPr>
            <w:r w:rsidRPr="000216CC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D35506" w14:paraId="636DFEBE" w14:textId="77777777" w:rsidTr="00D35506">
        <w:tc>
          <w:tcPr>
            <w:tcW w:w="4820" w:type="dxa"/>
            <w:shd w:val="clear" w:color="auto" w:fill="auto"/>
          </w:tcPr>
          <w:p w14:paraId="6F26FCF3" w14:textId="77777777" w:rsidR="00D35506" w:rsidRPr="000216CC" w:rsidRDefault="00EC18CA">
            <w:pPr>
              <w:rPr>
                <w:b/>
              </w:rPr>
            </w:pPr>
            <w:r>
              <w:rPr>
                <w:b/>
              </w:rPr>
              <w:t>Forty-</w:t>
            </w:r>
            <w:r w:rsidR="00B757DF">
              <w:rPr>
                <w:b/>
              </w:rPr>
              <w:t xml:space="preserve">eighth </w:t>
            </w:r>
            <w:r>
              <w:rPr>
                <w:b/>
              </w:rPr>
              <w:t>session</w:t>
            </w:r>
          </w:p>
        </w:tc>
        <w:tc>
          <w:tcPr>
            <w:tcW w:w="4819" w:type="dxa"/>
            <w:shd w:val="clear" w:color="auto" w:fill="auto"/>
          </w:tcPr>
          <w:p w14:paraId="45C2F641" w14:textId="77777777" w:rsidR="00D35506" w:rsidRPr="000216CC" w:rsidRDefault="00B757DF">
            <w:pPr>
              <w:rPr>
                <w:b/>
              </w:rPr>
            </w:pPr>
            <w:r>
              <w:rPr>
                <w:b/>
              </w:rPr>
              <w:t>Thirtieth</w:t>
            </w:r>
            <w:r w:rsidR="00D35506">
              <w:rPr>
                <w:b/>
              </w:rPr>
              <w:t xml:space="preserve"> session</w:t>
            </w:r>
          </w:p>
        </w:tc>
      </w:tr>
      <w:tr w:rsidR="00D35506" w14:paraId="59FF1944" w14:textId="77777777" w:rsidTr="00D35506">
        <w:tc>
          <w:tcPr>
            <w:tcW w:w="4820" w:type="dxa"/>
            <w:shd w:val="clear" w:color="auto" w:fill="auto"/>
          </w:tcPr>
          <w:p w14:paraId="0DD2A4C8" w14:textId="77777777" w:rsidR="00D35506" w:rsidRDefault="00D35506" w:rsidP="00D3550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Geneva, </w:t>
            </w:r>
            <w:r w:rsidR="00B757DF">
              <w:rPr>
                <w:sz w:val="19"/>
                <w:szCs w:val="19"/>
                <w:lang w:val="en-US"/>
              </w:rPr>
              <w:t xml:space="preserve">30 November </w:t>
            </w:r>
            <w:r>
              <w:rPr>
                <w:sz w:val="19"/>
                <w:szCs w:val="19"/>
                <w:lang w:val="en-US"/>
              </w:rPr>
              <w:t xml:space="preserve">– </w:t>
            </w:r>
            <w:r w:rsidR="00B757DF">
              <w:rPr>
                <w:sz w:val="19"/>
                <w:szCs w:val="19"/>
                <w:lang w:val="en-US"/>
              </w:rPr>
              <w:t xml:space="preserve">9 December </w:t>
            </w:r>
            <w:r w:rsidR="00EC18CA">
              <w:rPr>
                <w:sz w:val="19"/>
                <w:szCs w:val="19"/>
                <w:lang w:val="en-US"/>
              </w:rPr>
              <w:t>2015</w:t>
            </w:r>
          </w:p>
          <w:p w14:paraId="65083364" w14:textId="77777777" w:rsidR="00D35506" w:rsidRPr="006500BA" w:rsidRDefault="00D35506" w:rsidP="00D35506">
            <w:r w:rsidRPr="006500BA">
              <w:t xml:space="preserve">Item </w:t>
            </w:r>
            <w:r w:rsidR="00B757DF">
              <w:t>10 (h)</w:t>
            </w:r>
            <w:r w:rsidR="00B757DF" w:rsidRPr="006500BA">
              <w:t xml:space="preserve"> </w:t>
            </w:r>
            <w:r w:rsidRPr="006500BA">
              <w:t>of the provisional agenda</w:t>
            </w:r>
          </w:p>
          <w:p w14:paraId="0943B029" w14:textId="699013C4" w:rsidR="00663491" w:rsidRPr="003C655D" w:rsidRDefault="00663491" w:rsidP="006524E0">
            <w:r w:rsidRPr="00977E87">
              <w:rPr>
                <w:b/>
              </w:rPr>
              <w:t xml:space="preserve">Issues relating to the Globally Harmonized System of Classification and Labelling of Chemicals: </w:t>
            </w:r>
            <w:r w:rsidR="00B757DF">
              <w:rPr>
                <w:b/>
              </w:rPr>
              <w:t>Miscellaneous</w:t>
            </w:r>
          </w:p>
        </w:tc>
        <w:tc>
          <w:tcPr>
            <w:tcW w:w="4819" w:type="dxa"/>
            <w:shd w:val="clear" w:color="auto" w:fill="auto"/>
          </w:tcPr>
          <w:p w14:paraId="04C9C9CC" w14:textId="77777777" w:rsidR="00D35506" w:rsidRPr="003C655D" w:rsidRDefault="00D35506" w:rsidP="00D35506">
            <w:r w:rsidRPr="003C655D">
              <w:t xml:space="preserve">Geneva, </w:t>
            </w:r>
            <w:r w:rsidR="00FB57F7">
              <w:t xml:space="preserve">9 </w:t>
            </w:r>
            <w:r w:rsidR="004925FF">
              <w:t xml:space="preserve">- </w:t>
            </w:r>
            <w:r w:rsidR="00FB57F7">
              <w:t xml:space="preserve">11 December </w:t>
            </w:r>
            <w:r w:rsidR="004925FF">
              <w:t>2015</w:t>
            </w:r>
          </w:p>
          <w:p w14:paraId="1A4BDE64" w14:textId="7703D85B" w:rsidR="00D35506" w:rsidRPr="005176CD" w:rsidRDefault="00D35506" w:rsidP="006524E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3C655D">
              <w:t xml:space="preserve">Item </w:t>
            </w:r>
            <w:r w:rsidR="00F27C06">
              <w:t xml:space="preserve">2 </w:t>
            </w:r>
            <w:r w:rsidRPr="003C655D">
              <w:t>of the provisional agenda</w:t>
            </w:r>
            <w:r>
              <w:br/>
            </w:r>
            <w:r w:rsidR="00FB57F7" w:rsidRPr="00153FB7">
              <w:rPr>
                <w:b/>
              </w:rPr>
              <w:t>Joint work with the Sub-Committee of Experts on the Transport of Dangerous</w:t>
            </w:r>
            <w:r w:rsidR="006524E0">
              <w:rPr>
                <w:b/>
              </w:rPr>
              <w:t xml:space="preserve"> </w:t>
            </w:r>
            <w:r w:rsidR="00FB57F7" w:rsidRPr="00153FB7">
              <w:rPr>
                <w:b/>
              </w:rPr>
              <w:t>Goods (TDG Sub-Committee).</w:t>
            </w:r>
          </w:p>
          <w:p w14:paraId="6B9F514E" w14:textId="77777777" w:rsidR="00D35506" w:rsidRPr="007B2BA8" w:rsidRDefault="00D35506" w:rsidP="00D35506">
            <w:pPr>
              <w:rPr>
                <w:b/>
              </w:rPr>
            </w:pPr>
          </w:p>
        </w:tc>
      </w:tr>
    </w:tbl>
    <w:p w14:paraId="063FCC34" w14:textId="00A14AC0" w:rsidR="00845287" w:rsidRDefault="006524E0" w:rsidP="006524E0">
      <w:pPr>
        <w:pStyle w:val="HChG"/>
      </w:pPr>
      <w:r>
        <w:tab/>
      </w:r>
      <w:r w:rsidR="00845287">
        <w:tab/>
      </w:r>
      <w:r>
        <w:t>P</w:t>
      </w:r>
      <w:r w:rsidR="00C709F7" w:rsidRPr="00C709F7">
        <w:t xml:space="preserve">rohibition </w:t>
      </w:r>
      <w:r w:rsidR="00ED67B4" w:rsidRPr="00C709F7">
        <w:t xml:space="preserve">in transport </w:t>
      </w:r>
      <w:r w:rsidR="00C709F7" w:rsidRPr="00C709F7">
        <w:t xml:space="preserve">of </w:t>
      </w:r>
      <w:r w:rsidR="00ED67B4">
        <w:t xml:space="preserve">non-transport </w:t>
      </w:r>
      <w:r w:rsidR="00C709F7" w:rsidRPr="00C709F7">
        <w:t xml:space="preserve">GHS pictograms </w:t>
      </w:r>
      <w:r w:rsidR="00ED67B4">
        <w:t xml:space="preserve">when </w:t>
      </w:r>
      <w:r w:rsidR="00C709F7" w:rsidRPr="00C709F7">
        <w:t xml:space="preserve">not in </w:t>
      </w:r>
      <w:r w:rsidR="00ED67B4">
        <w:t xml:space="preserve">a complete </w:t>
      </w:r>
      <w:r w:rsidR="005644BC">
        <w:t xml:space="preserve">GHS </w:t>
      </w:r>
      <w:r w:rsidR="00C709F7" w:rsidRPr="00C709F7">
        <w:t>label</w:t>
      </w:r>
    </w:p>
    <w:p w14:paraId="58899785" w14:textId="77777777" w:rsidR="00845287" w:rsidRDefault="00845287" w:rsidP="00845287">
      <w:pPr>
        <w:pStyle w:val="H1G"/>
      </w:pPr>
      <w:r>
        <w:tab/>
      </w:r>
      <w:r>
        <w:tab/>
        <w:t xml:space="preserve">Transmitted by the </w:t>
      </w:r>
      <w:r w:rsidR="00663491">
        <w:t>Dangerous Goods Advisory Council</w:t>
      </w:r>
      <w:r>
        <w:t xml:space="preserve"> (</w:t>
      </w:r>
      <w:r w:rsidR="00663491">
        <w:t>DGAC</w:t>
      </w:r>
      <w:r>
        <w:t>)</w:t>
      </w:r>
      <w:r w:rsidRPr="00845287">
        <w:rPr>
          <w:rStyle w:val="FootnoteReference"/>
          <w:b w:val="0"/>
        </w:rPr>
        <w:footnoteReference w:id="2"/>
      </w:r>
    </w:p>
    <w:p w14:paraId="31869EBC" w14:textId="77777777" w:rsidR="00845287" w:rsidRDefault="00845287" w:rsidP="00845287">
      <w:pPr>
        <w:pStyle w:val="HChG"/>
      </w:pPr>
      <w:r>
        <w:tab/>
      </w:r>
      <w:r>
        <w:tab/>
        <w:t>Introduction</w:t>
      </w:r>
    </w:p>
    <w:p w14:paraId="14846ED6" w14:textId="10F32903" w:rsidR="00256D47" w:rsidRDefault="006524E0" w:rsidP="006524E0">
      <w:pPr>
        <w:pStyle w:val="SingleTxtG"/>
      </w:pPr>
      <w:r>
        <w:t>1.</w:t>
      </w:r>
      <w:r>
        <w:tab/>
      </w:r>
      <w:r w:rsidR="00256D47">
        <w:t xml:space="preserve">In the last biennium, DGAC </w:t>
      </w:r>
      <w:r w:rsidR="00256D47" w:rsidRPr="006524E0">
        <w:t>raised</w:t>
      </w:r>
      <w:r w:rsidR="00256D47">
        <w:t xml:space="preserve"> this issue within the GHS Sub-Committee</w:t>
      </w:r>
      <w:r w:rsidR="00652193">
        <w:t xml:space="preserve"> </w:t>
      </w:r>
      <w:r w:rsidR="00256D47">
        <w:t>and a new section in the GHS was agreed as follows:</w:t>
      </w:r>
    </w:p>
    <w:p w14:paraId="379CC7BB" w14:textId="5B792471" w:rsidR="00256D47" w:rsidRPr="00977E87" w:rsidRDefault="00256D47" w:rsidP="006524E0">
      <w:pPr>
        <w:pStyle w:val="SingleTxtG"/>
        <w:ind w:firstLine="567"/>
        <w:rPr>
          <w:lang w:val="en-US"/>
        </w:rPr>
      </w:pPr>
      <w:r w:rsidRPr="00977E87">
        <w:rPr>
          <w:lang w:val="en-US"/>
        </w:rPr>
        <w:t xml:space="preserve">"1.4.10.4.4 </w:t>
      </w:r>
      <w:r w:rsidR="006524E0">
        <w:rPr>
          <w:lang w:val="en-US"/>
        </w:rPr>
        <w:tab/>
      </w:r>
      <w:r w:rsidRPr="00977E87">
        <w:rPr>
          <w:lang w:val="en-US"/>
        </w:rPr>
        <w:t>Use of GHS pictograms in transport</w:t>
      </w:r>
    </w:p>
    <w:p w14:paraId="6CD2F795" w14:textId="0F49E185" w:rsidR="00256D47" w:rsidRPr="006524E0" w:rsidRDefault="00256D47" w:rsidP="006524E0">
      <w:pPr>
        <w:pStyle w:val="SingleTxtG"/>
        <w:ind w:left="1701"/>
        <w:rPr>
          <w:lang w:val="en-US"/>
        </w:rPr>
      </w:pPr>
      <w:r w:rsidRPr="00977E87">
        <w:rPr>
          <w:lang w:val="en-US"/>
        </w:rPr>
        <w:t>In transport a GHS pictogram not required by the UN Model Regulations on the Transport of Dangerous Goods should only appear as part of a complete GHS label (see 1.4.10.5.4.1) and not independently.”.</w:t>
      </w:r>
    </w:p>
    <w:p w14:paraId="7470F58E" w14:textId="5177E069" w:rsidR="00256D47" w:rsidRDefault="006524E0" w:rsidP="006524E0">
      <w:pPr>
        <w:pStyle w:val="SingleTxtG"/>
      </w:pPr>
      <w:r>
        <w:t>2.</w:t>
      </w:r>
      <w:r>
        <w:tab/>
      </w:r>
      <w:r w:rsidR="009F66A7">
        <w:t xml:space="preserve">At </w:t>
      </w:r>
      <w:r w:rsidR="009F66A7" w:rsidRPr="006524E0">
        <w:t>the</w:t>
      </w:r>
      <w:r w:rsidR="009F66A7">
        <w:t xml:space="preserve"> </w:t>
      </w:r>
      <w:r w:rsidR="00652193">
        <w:t>forty-seventh</w:t>
      </w:r>
      <w:r w:rsidR="009F66A7">
        <w:t xml:space="preserve"> session of the TDG Sub-Committee, DGAC proposed to </w:t>
      </w:r>
      <w:r w:rsidR="00645121">
        <w:t xml:space="preserve">create a corresponding </w:t>
      </w:r>
      <w:r w:rsidR="009F66A7">
        <w:t>p</w:t>
      </w:r>
      <w:r w:rsidR="009F66A7" w:rsidRPr="009F66A7">
        <w:t>rohibition in</w:t>
      </w:r>
      <w:r w:rsidR="00645121">
        <w:t xml:space="preserve"> the Model Regulations </w:t>
      </w:r>
      <w:r w:rsidR="009F66A7">
        <w:t xml:space="preserve">under proposal </w:t>
      </w:r>
      <w:r w:rsidR="009F66A7" w:rsidRPr="009F66A7">
        <w:t>ST/SG/AC.10/C.3/2015/23</w:t>
      </w:r>
      <w:r w:rsidR="00645121">
        <w:t xml:space="preserve"> </w:t>
      </w:r>
      <w:r w:rsidR="009F66A7" w:rsidRPr="009F66A7">
        <w:t>−</w:t>
      </w:r>
      <w:r w:rsidR="00645121">
        <w:t xml:space="preserve"> </w:t>
      </w:r>
      <w:r w:rsidR="009F66A7" w:rsidRPr="009F66A7">
        <w:t>ST/SG/AC.10/C.4/2015/3</w:t>
      </w:r>
      <w:r w:rsidR="00484E32">
        <w:t xml:space="preserve">. We attempted to </w:t>
      </w:r>
      <w:r w:rsidR="00645121" w:rsidRPr="00645121">
        <w:t xml:space="preserve">bridge the gap between the non-regulatory text of GHS and the Model Regulations for transport. </w:t>
      </w:r>
      <w:r w:rsidR="00645121" w:rsidRPr="00645121">
        <w:lastRenderedPageBreak/>
        <w:t xml:space="preserve">Difficulties were addressed, but in the </w:t>
      </w:r>
      <w:r w:rsidR="00645121">
        <w:t>resulting discussion</w:t>
      </w:r>
      <w:r w:rsidR="00645121" w:rsidRPr="00645121">
        <w:t xml:space="preserve">, a majority felt that a prohibition in transport of markings of other regulations could </w:t>
      </w:r>
      <w:r w:rsidR="00645121">
        <w:t>create</w:t>
      </w:r>
      <w:r w:rsidR="00645121" w:rsidRPr="00645121">
        <w:t xml:space="preserve"> leg</w:t>
      </w:r>
      <w:r w:rsidR="00645121">
        <w:t>al difficulties</w:t>
      </w:r>
      <w:r w:rsidR="00645121" w:rsidRPr="00645121">
        <w:t>.</w:t>
      </w:r>
    </w:p>
    <w:p w14:paraId="2C892E1E" w14:textId="54E7A765" w:rsidR="00256D47" w:rsidRPr="00FA1207" w:rsidRDefault="00FA1207" w:rsidP="00FA1207">
      <w:pPr>
        <w:pStyle w:val="SingleTxtG"/>
      </w:pPr>
      <w:r>
        <w:t>3.</w:t>
      </w:r>
      <w:r>
        <w:tab/>
      </w:r>
      <w:r w:rsidR="00256D47" w:rsidRPr="00FA1207">
        <w:t xml:space="preserve">Comments were received from the </w:t>
      </w:r>
      <w:r w:rsidR="000B5B37" w:rsidRPr="00FA1207">
        <w:t>S</w:t>
      </w:r>
      <w:r w:rsidR="00256D47" w:rsidRPr="00FA1207">
        <w:t>ub-</w:t>
      </w:r>
      <w:r w:rsidR="000B5B37" w:rsidRPr="00FA1207">
        <w:t>C</w:t>
      </w:r>
      <w:r w:rsidR="00256D47" w:rsidRPr="00FA1207">
        <w:t xml:space="preserve">ommittee supporting a modified </w:t>
      </w:r>
      <w:r w:rsidR="00645121" w:rsidRPr="00FA1207">
        <w:t>proposal</w:t>
      </w:r>
      <w:r w:rsidR="00256D47" w:rsidRPr="00FA1207">
        <w:t xml:space="preserve">, by introducing the GHS text as a note. DGAC now </w:t>
      </w:r>
      <w:r w:rsidR="00645121" w:rsidRPr="00FA1207">
        <w:t>proposes</w:t>
      </w:r>
      <w:r w:rsidR="00256D47" w:rsidRPr="00FA1207">
        <w:t xml:space="preserve"> </w:t>
      </w:r>
      <w:r w:rsidR="00645121" w:rsidRPr="00FA1207">
        <w:t>to implement these suggestions</w:t>
      </w:r>
      <w:r w:rsidR="00256D47" w:rsidRPr="00FA1207">
        <w:t>.</w:t>
      </w:r>
    </w:p>
    <w:p w14:paraId="25BAED2C" w14:textId="560DB7CA" w:rsidR="00A24F0D" w:rsidRPr="00FA1207" w:rsidRDefault="00FA1207" w:rsidP="00FA1207">
      <w:pPr>
        <w:pStyle w:val="SingleTxtG"/>
      </w:pPr>
      <w:r>
        <w:t>4.</w:t>
      </w:r>
      <w:r>
        <w:tab/>
      </w:r>
      <w:r w:rsidR="00A24F0D" w:rsidRPr="00FA1207">
        <w:t xml:space="preserve">An additional suggestion was to also create an additional example in the GHS for portable tanks and multi-element gas containers. This would be similar to the example found in GHS Annex 7, Example 7, Paragraph (e). DGAC intends to return with an informal paper for a new example to begin consideration within the GHS Sub-Committee at </w:t>
      </w:r>
      <w:r w:rsidR="000B5B37" w:rsidRPr="00FA1207">
        <w:t>its</w:t>
      </w:r>
      <w:r w:rsidR="00484E32" w:rsidRPr="00FA1207">
        <w:t xml:space="preserve"> </w:t>
      </w:r>
      <w:r w:rsidR="00A24F0D" w:rsidRPr="00FA1207">
        <w:t>thirtieth session.</w:t>
      </w:r>
    </w:p>
    <w:p w14:paraId="0F297446" w14:textId="77777777" w:rsidR="00941F06" w:rsidRDefault="00DB37C7" w:rsidP="00B56239">
      <w:pPr>
        <w:pStyle w:val="HChG"/>
      </w:pPr>
      <w:r>
        <w:tab/>
      </w:r>
      <w:r>
        <w:tab/>
        <w:t>Discussion</w:t>
      </w:r>
    </w:p>
    <w:p w14:paraId="445E5940" w14:textId="6750A203" w:rsidR="00256D47" w:rsidRDefault="00FA1207" w:rsidP="00FA1207">
      <w:pPr>
        <w:pStyle w:val="SingleTxtG"/>
      </w:pPr>
      <w:r>
        <w:t>5.</w:t>
      </w:r>
      <w:r>
        <w:tab/>
      </w:r>
      <w:r w:rsidR="00256D47">
        <w:t>For convenience, pictures from previous proposals are replicated to demonstrate the issue under discussion.</w:t>
      </w:r>
    </w:p>
    <w:p w14:paraId="7292D273" w14:textId="1B6440EE" w:rsidR="003671E7" w:rsidRPr="00FA1207" w:rsidRDefault="00FA1207" w:rsidP="00FA1207">
      <w:pPr>
        <w:pStyle w:val="SingleTxtG"/>
      </w:pPr>
      <w:r>
        <w:t>6.</w:t>
      </w:r>
      <w:r>
        <w:tab/>
      </w:r>
      <w:r w:rsidR="003671E7" w:rsidRPr="00FA1207">
        <w:t>DGAC feels that the suggestion to use a note has two main advantages. First, it eliminates the jurisdic</w:t>
      </w:r>
      <w:r w:rsidR="00645121" w:rsidRPr="00FA1207">
        <w:t>tional</w:t>
      </w:r>
      <w:r w:rsidR="003671E7" w:rsidRPr="00FA1207">
        <w:t xml:space="preserve"> difficu</w:t>
      </w:r>
      <w:r w:rsidR="00645121" w:rsidRPr="00FA1207">
        <w:t xml:space="preserve">lties. Secondly, it provides a </w:t>
      </w:r>
      <w:r w:rsidR="003671E7" w:rsidRPr="00FA1207">
        <w:t xml:space="preserve">solution for transposing the exact GHS text into the Model regulations. Although this is a non-mandatory implementation, it should prove helpful as guidance to transport enforcement authorities. </w:t>
      </w:r>
    </w:p>
    <w:p w14:paraId="05A07CB1" w14:textId="29F80956" w:rsidR="00BC1657" w:rsidRPr="00FA1207" w:rsidRDefault="00FA1207" w:rsidP="00FA1207">
      <w:pPr>
        <w:pStyle w:val="SingleTxtG"/>
      </w:pPr>
      <w:r>
        <w:t>7.</w:t>
      </w:r>
      <w:r>
        <w:tab/>
      </w:r>
      <w:r w:rsidR="00A24F0D" w:rsidRPr="00FA1207">
        <w:t xml:space="preserve">It remains to choose an optimal location within the UN Model Regulations for a note. The GHS </w:t>
      </w:r>
      <w:r w:rsidR="002168A8" w:rsidRPr="00FA1207">
        <w:t>use of labels spans the broad</w:t>
      </w:r>
      <w:r w:rsidR="00A24F0D" w:rsidRPr="00FA1207">
        <w:t xml:space="preserve"> range of hazard communication </w:t>
      </w:r>
      <w:r w:rsidR="002168A8" w:rsidRPr="00FA1207">
        <w:t>covered under TDG marks, labels and placards</w:t>
      </w:r>
      <w:r w:rsidR="00A24F0D" w:rsidRPr="00FA1207">
        <w:t xml:space="preserve">. </w:t>
      </w:r>
      <w:r w:rsidR="002168A8" w:rsidRPr="00FA1207">
        <w:t xml:space="preserve">Therefore DGAC proposes a new note at the end of Chapter 5.1, General Provisions within the </w:t>
      </w:r>
      <w:r w:rsidR="002229B5">
        <w:t>Model Regulations</w:t>
      </w:r>
      <w:r w:rsidR="002168A8" w:rsidRPr="00FA1207">
        <w:t>.</w:t>
      </w:r>
    </w:p>
    <w:p w14:paraId="78DC4FF7" w14:textId="77777777" w:rsidR="001F3705" w:rsidRDefault="001F3705" w:rsidP="001F3705">
      <w:pPr>
        <w:pStyle w:val="HChG"/>
        <w:ind w:firstLine="0"/>
      </w:pPr>
      <w:r>
        <w:t>Proposal</w:t>
      </w:r>
    </w:p>
    <w:p w14:paraId="36F4A361" w14:textId="75B26FA3" w:rsidR="00097227" w:rsidRDefault="00FA1207" w:rsidP="00FA1207">
      <w:pPr>
        <w:pStyle w:val="SingleTxtG"/>
      </w:pPr>
      <w:r>
        <w:t>8.</w:t>
      </w:r>
      <w:r>
        <w:tab/>
      </w:r>
      <w:r w:rsidR="00DF1E95" w:rsidRPr="00FA1207">
        <w:t>Create</w:t>
      </w:r>
      <w:r w:rsidR="00DF1E95">
        <w:t xml:space="preserve"> a new </w:t>
      </w:r>
      <w:r w:rsidR="002168A8">
        <w:t xml:space="preserve">note </w:t>
      </w:r>
      <w:r w:rsidR="002229B5">
        <w:t>in the</w:t>
      </w:r>
      <w:r w:rsidR="00DF1E95">
        <w:t xml:space="preserve"> Model Regulations </w:t>
      </w:r>
      <w:r w:rsidR="002168A8">
        <w:t xml:space="preserve">at the end of Chapter 5.1, </w:t>
      </w:r>
      <w:r w:rsidR="00DF1E95">
        <w:t>as follows</w:t>
      </w:r>
      <w:r w:rsidR="003C1755">
        <w:t>:</w:t>
      </w:r>
    </w:p>
    <w:p w14:paraId="622C8266" w14:textId="5D4914F9" w:rsidR="002168A8" w:rsidRPr="00153FB7" w:rsidRDefault="00FA1207" w:rsidP="00FA1207">
      <w:pPr>
        <w:pStyle w:val="SingleTxtG"/>
        <w:tabs>
          <w:tab w:val="left" w:pos="2410"/>
        </w:tabs>
        <w:ind w:left="1701"/>
        <w:rPr>
          <w:lang w:val="en-US"/>
        </w:rPr>
      </w:pPr>
      <w:r w:rsidRPr="00FA1207">
        <w:rPr>
          <w:b/>
          <w:i/>
          <w:lang w:val="en-US"/>
        </w:rPr>
        <w:t>NOTE</w:t>
      </w:r>
      <w:r>
        <w:rPr>
          <w:lang w:val="en-US"/>
        </w:rPr>
        <w:t>:</w:t>
      </w:r>
      <w:r>
        <w:rPr>
          <w:lang w:val="en-US"/>
        </w:rPr>
        <w:tab/>
      </w:r>
      <w:r w:rsidR="002168A8" w:rsidRPr="00153FB7">
        <w:rPr>
          <w:lang w:val="en-US"/>
        </w:rPr>
        <w:t xml:space="preserve">In </w:t>
      </w:r>
      <w:r w:rsidR="002168A8" w:rsidRPr="00FA1207">
        <w:t>accordance</w:t>
      </w:r>
      <w:r w:rsidR="002168A8" w:rsidRPr="00153FB7">
        <w:rPr>
          <w:lang w:val="en-US"/>
        </w:rPr>
        <w:t xml:space="preserve"> with the Globally Harmonized System of Classification and Labeling of Chemicals</w:t>
      </w:r>
      <w:r w:rsidR="002168A8">
        <w:rPr>
          <w:lang w:val="en-US"/>
        </w:rPr>
        <w:t xml:space="preserve"> (GHS)</w:t>
      </w:r>
      <w:r w:rsidR="002168A8" w:rsidRPr="00153FB7">
        <w:rPr>
          <w:lang w:val="en-US"/>
        </w:rPr>
        <w:t>, a GHS pictogram not required by the UN Model Regulations on the Transport of Dangerous Goods should only appear as part of a complete GHS label and not independently. See GHS 1.4.10.4.4.</w:t>
      </w:r>
    </w:p>
    <w:p w14:paraId="60936BCE" w14:textId="77777777" w:rsidR="00E877F7" w:rsidRDefault="00E877F7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63C97D65" w14:textId="77777777" w:rsidR="00FA1207" w:rsidRDefault="00AC7C65" w:rsidP="00FA1207">
      <w:pPr>
        <w:pStyle w:val="HChG"/>
      </w:pPr>
      <w:r w:rsidRPr="00FA1207">
        <w:lastRenderedPageBreak/>
        <w:t>Annex</w:t>
      </w:r>
      <w:r w:rsidR="00FA1207">
        <w:t xml:space="preserve"> </w:t>
      </w:r>
    </w:p>
    <w:p w14:paraId="129B9521" w14:textId="08873CF0" w:rsidR="00AC7C65" w:rsidRDefault="00FA1207" w:rsidP="00FA1207">
      <w:pPr>
        <w:pStyle w:val="HChG"/>
      </w:pPr>
      <w:r>
        <w:tab/>
      </w:r>
      <w:r>
        <w:tab/>
        <w:t>E</w:t>
      </w:r>
      <w:r w:rsidR="002229B5">
        <w:t>xamples of GHS pictograms appearing alone, not c</w:t>
      </w:r>
      <w:r w:rsidR="004B550A">
        <w:t xml:space="preserve">ompliant with GHS </w:t>
      </w:r>
      <w:r w:rsidR="004B550A" w:rsidRPr="00390028">
        <w:t xml:space="preserve">1.4.10.4.4 </w:t>
      </w:r>
      <w:r w:rsidR="004B550A">
        <w:t xml:space="preserve"> </w:t>
      </w:r>
    </w:p>
    <w:p w14:paraId="75B4DDEA" w14:textId="77777777" w:rsidR="00E86DFE" w:rsidRPr="00390028" w:rsidRDefault="00E86DFE" w:rsidP="00FA1207">
      <w:pPr>
        <w:pStyle w:val="SingleTxtG"/>
      </w:pPr>
      <w:r w:rsidRPr="00FA1207">
        <w:t>Example</w:t>
      </w:r>
      <w:r w:rsidRPr="00390028">
        <w:t xml:space="preserve"> 1</w:t>
      </w:r>
    </w:p>
    <w:p w14:paraId="36B24C6D" w14:textId="77777777" w:rsidR="00E64AEB" w:rsidRDefault="00E64AEB" w:rsidP="00FA1207">
      <w:pPr>
        <w:pStyle w:val="SingleTxtG"/>
        <w:jc w:val="center"/>
      </w:pPr>
      <w:r>
        <w:rPr>
          <w:noProof/>
          <w:lang w:eastAsia="en-GB"/>
        </w:rPr>
        <w:drawing>
          <wp:inline distT="0" distB="0" distL="0" distR="0" wp14:anchorId="367A62E1" wp14:editId="10301853">
            <wp:extent cx="4102100" cy="3187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0344" w14:textId="77777777" w:rsidR="00E86DFE" w:rsidRPr="00390028" w:rsidRDefault="00E86DFE" w:rsidP="00FA1207">
      <w:pPr>
        <w:pStyle w:val="SingleTxtG"/>
      </w:pPr>
      <w:r w:rsidRPr="00FA1207">
        <w:t>Example</w:t>
      </w:r>
      <w:r w:rsidRPr="00390028">
        <w:t xml:space="preserve"> 2</w:t>
      </w:r>
    </w:p>
    <w:p w14:paraId="3BB2F2D5" w14:textId="4CF42D0C" w:rsidR="00845287" w:rsidRPr="00845287" w:rsidRDefault="00CB6EE8" w:rsidP="00FA1207">
      <w:pPr>
        <w:pStyle w:val="SingleTxtG"/>
        <w:jc w:val="center"/>
        <w:rPr>
          <w:b/>
        </w:rPr>
      </w:pPr>
      <w:r w:rsidRPr="00CB6E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F6A8" wp14:editId="5695EB6E">
                <wp:simplePos x="0" y="0"/>
                <wp:positionH relativeFrom="column">
                  <wp:posOffset>2597381</wp:posOffset>
                </wp:positionH>
                <wp:positionV relativeFrom="paragraph">
                  <wp:posOffset>3523269</wp:posOffset>
                </wp:positionV>
                <wp:extent cx="1330037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ECBB" w14:textId="26CAF68C" w:rsidR="00CB6EE8" w:rsidRDefault="00CB6EE8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5pt;margin-top:277.4pt;width:10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" strokecolor="white [3212]">
                <v:textbox style="mso-fit-shape-to-text:t">
                  <w:txbxContent>
                    <w:p w14:paraId="5604ECBB" w14:textId="26CAF68C" w:rsidR="00CB6EE8" w:rsidRDefault="00CB6EE8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4AEB">
        <w:rPr>
          <w:noProof/>
          <w:lang w:eastAsia="en-GB"/>
        </w:rPr>
        <w:drawing>
          <wp:inline distT="0" distB="0" distL="0" distR="0" wp14:anchorId="2021DFAD" wp14:editId="4E8EBA2D">
            <wp:extent cx="4373229" cy="327300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617" cy="327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287" w:rsidRPr="00845287" w:rsidSect="003466A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35C3" w14:textId="77777777" w:rsidR="009B7D51" w:rsidRDefault="009B7D51"/>
  </w:endnote>
  <w:endnote w:type="continuationSeparator" w:id="0">
    <w:p w14:paraId="716CF933" w14:textId="77777777" w:rsidR="009B7D51" w:rsidRDefault="009B7D51"/>
  </w:endnote>
  <w:endnote w:type="continuationNotice" w:id="1">
    <w:p w14:paraId="4BB28943" w14:textId="77777777" w:rsidR="009B7D51" w:rsidRDefault="009B7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FEE3" w14:textId="77777777" w:rsidR="00A24F0D" w:rsidRPr="003466AC" w:rsidRDefault="00A24F0D" w:rsidP="003466AC">
    <w:pPr>
      <w:pStyle w:val="Footer"/>
      <w:tabs>
        <w:tab w:val="right" w:pos="9638"/>
      </w:tabs>
      <w:rPr>
        <w:sz w:val="18"/>
      </w:rPr>
    </w:pP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CD68B3">
      <w:rPr>
        <w:b/>
        <w:noProof/>
        <w:sz w:val="18"/>
      </w:rPr>
      <w:t>2</w:t>
    </w:r>
    <w:r w:rsidRPr="003466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F656" w14:textId="77777777" w:rsidR="00A24F0D" w:rsidRPr="003466AC" w:rsidRDefault="00A24F0D" w:rsidP="003466AC">
    <w:pPr>
      <w:pStyle w:val="Footer"/>
      <w:tabs>
        <w:tab w:val="right" w:pos="9638"/>
      </w:tabs>
      <w:rPr>
        <w:b/>
        <w:sz w:val="18"/>
      </w:rPr>
    </w:pPr>
    <w:r>
      <w:tab/>
    </w: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CD68B3">
      <w:rPr>
        <w:b/>
        <w:noProof/>
        <w:sz w:val="18"/>
      </w:rPr>
      <w:t>3</w:t>
    </w:r>
    <w:r w:rsidRPr="003466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EC7F" w14:textId="592A4A2A" w:rsidR="00A24F0D" w:rsidRPr="003466AC" w:rsidRDefault="00A24F0D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7C442EE" wp14:editId="7F487010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896">
      <w:rPr>
        <w:sz w:val="20"/>
      </w:rPr>
      <w:t>GE.15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3161" w14:textId="77777777" w:rsidR="009B7D51" w:rsidRPr="000B175B" w:rsidRDefault="009B7D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E3D211" w14:textId="77777777" w:rsidR="009B7D51" w:rsidRPr="00FC68B7" w:rsidRDefault="009B7D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99D34F" w14:textId="77777777" w:rsidR="009B7D51" w:rsidRDefault="009B7D51"/>
  </w:footnote>
  <w:footnote w:id="2">
    <w:p w14:paraId="19001139" w14:textId="4F0A084F" w:rsidR="00A24F0D" w:rsidRPr="00DC1C9C" w:rsidRDefault="00A24F0D" w:rsidP="00A46896">
      <w:pPr>
        <w:pStyle w:val="SingleTxtG"/>
        <w:tabs>
          <w:tab w:val="left" w:pos="1418"/>
        </w:tabs>
        <w:rPr>
          <w:sz w:val="16"/>
          <w:szCs w:val="16"/>
        </w:rPr>
      </w:pPr>
      <w:r w:rsidRPr="00DC1C9C">
        <w:rPr>
          <w:rStyle w:val="FootnoteReference"/>
          <w:sz w:val="16"/>
          <w:szCs w:val="16"/>
        </w:rPr>
        <w:footnoteRef/>
      </w:r>
      <w:r w:rsidRPr="00DC1C9C">
        <w:rPr>
          <w:sz w:val="16"/>
          <w:szCs w:val="16"/>
        </w:rPr>
        <w:tab/>
      </w:r>
      <w:r w:rsidR="006524E0" w:rsidRPr="006524E0">
        <w:rPr>
          <w:rStyle w:val="SingleTxtGCar"/>
          <w:sz w:val="18"/>
          <w:szCs w:val="18"/>
        </w:rPr>
        <w:t>In accordance with the programme of work of the Sub-Committee for 2015-2016 approved by the Committee at its seventh session (refer to ST/SG/AC.10/C.3/92, paragraph 95 and ST/SG/AC.10/42, para.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FD61" w14:textId="3D111F39" w:rsidR="00A24F0D" w:rsidRPr="003466AC" w:rsidRDefault="00FA1207">
    <w:pPr>
      <w:pStyle w:val="Header"/>
    </w:pPr>
    <w:r>
      <w:t>ST/SG/AC.10/C.3/2013/54</w:t>
    </w:r>
    <w:r>
      <w:br/>
      <w:t>ST/SG/AC.10/C.4/2015/11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288B" w14:textId="23102BC7" w:rsidR="00A24F0D" w:rsidRPr="004A7B6C" w:rsidRDefault="00CB6EE8" w:rsidP="004A7B6C">
    <w:pPr>
      <w:pStyle w:val="Header"/>
      <w:jc w:val="right"/>
    </w:pPr>
    <w:r>
      <w:t>ST/SG/AC.10/C.3/2013/54</w:t>
    </w:r>
    <w:r>
      <w:br/>
      <w:t>ST/SG/AC.10/C.4/2015/11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83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>
    <w:nsid w:val="05A07B90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0C8B70F0"/>
    <w:multiLevelType w:val="hybridMultilevel"/>
    <w:tmpl w:val="0A80230C"/>
    <w:lvl w:ilvl="0" w:tplc="0409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CC9072E"/>
    <w:multiLevelType w:val="hybridMultilevel"/>
    <w:tmpl w:val="4D146DCA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91DD6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4287945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43F68DB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471778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6501C9C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84400F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E7744C0"/>
    <w:multiLevelType w:val="hybridMultilevel"/>
    <w:tmpl w:val="6EB8E4BC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3D24C61"/>
    <w:multiLevelType w:val="hybridMultilevel"/>
    <w:tmpl w:val="F8E03DD2"/>
    <w:lvl w:ilvl="0" w:tplc="123A79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41E1D98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2A3D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E95084E"/>
    <w:multiLevelType w:val="hybridMultilevel"/>
    <w:tmpl w:val="80B2A538"/>
    <w:lvl w:ilvl="0" w:tplc="E9C0F21A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05E51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12"/>
  </w:num>
  <w:num w:numId="18">
    <w:abstractNumId w:val="15"/>
  </w:num>
  <w:num w:numId="19">
    <w:abstractNumId w:val="21"/>
  </w:num>
  <w:num w:numId="20">
    <w:abstractNumId w:val="30"/>
  </w:num>
  <w:num w:numId="21">
    <w:abstractNumId w:val="27"/>
  </w:num>
  <w:num w:numId="22">
    <w:abstractNumId w:val="25"/>
  </w:num>
  <w:num w:numId="23">
    <w:abstractNumId w:val="18"/>
  </w:num>
  <w:num w:numId="24">
    <w:abstractNumId w:val="20"/>
  </w:num>
  <w:num w:numId="25">
    <w:abstractNumId w:val="22"/>
  </w:num>
  <w:num w:numId="26">
    <w:abstractNumId w:val="0"/>
  </w:num>
  <w:num w:numId="27">
    <w:abstractNumId w:val="23"/>
  </w:num>
  <w:num w:numId="28">
    <w:abstractNumId w:val="19"/>
  </w:num>
  <w:num w:numId="29">
    <w:abstractNumId w:val="13"/>
  </w:num>
  <w:num w:numId="30">
    <w:abstractNumId w:val="33"/>
  </w:num>
  <w:num w:numId="31">
    <w:abstractNumId w:val="28"/>
  </w:num>
  <w:num w:numId="32">
    <w:abstractNumId w:val="24"/>
  </w:num>
  <w:num w:numId="33">
    <w:abstractNumId w:val="31"/>
  </w:num>
  <w:num w:numId="3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5930"/>
    <w:rsid w:val="000136A3"/>
    <w:rsid w:val="0001795F"/>
    <w:rsid w:val="000214D7"/>
    <w:rsid w:val="000226D5"/>
    <w:rsid w:val="00026E95"/>
    <w:rsid w:val="00034900"/>
    <w:rsid w:val="00041E8E"/>
    <w:rsid w:val="00043A96"/>
    <w:rsid w:val="00043CD1"/>
    <w:rsid w:val="00046C4F"/>
    <w:rsid w:val="00050F6B"/>
    <w:rsid w:val="0005114D"/>
    <w:rsid w:val="000551EC"/>
    <w:rsid w:val="000669BF"/>
    <w:rsid w:val="00072C8C"/>
    <w:rsid w:val="000765A2"/>
    <w:rsid w:val="00091419"/>
    <w:rsid w:val="000931C0"/>
    <w:rsid w:val="000933F0"/>
    <w:rsid w:val="00097227"/>
    <w:rsid w:val="000A626F"/>
    <w:rsid w:val="000B175B"/>
    <w:rsid w:val="000B2297"/>
    <w:rsid w:val="000B3A0F"/>
    <w:rsid w:val="000B5B37"/>
    <w:rsid w:val="000C2AF9"/>
    <w:rsid w:val="000C3CA0"/>
    <w:rsid w:val="000C6232"/>
    <w:rsid w:val="000D7AAB"/>
    <w:rsid w:val="000E0415"/>
    <w:rsid w:val="000E6BA2"/>
    <w:rsid w:val="000F38EF"/>
    <w:rsid w:val="000F55F3"/>
    <w:rsid w:val="000F6A97"/>
    <w:rsid w:val="001026FB"/>
    <w:rsid w:val="00113A17"/>
    <w:rsid w:val="0011420F"/>
    <w:rsid w:val="00115106"/>
    <w:rsid w:val="00117787"/>
    <w:rsid w:val="00123FB1"/>
    <w:rsid w:val="001311AD"/>
    <w:rsid w:val="00131D42"/>
    <w:rsid w:val="00133B0D"/>
    <w:rsid w:val="0013619A"/>
    <w:rsid w:val="00144D36"/>
    <w:rsid w:val="00150BD0"/>
    <w:rsid w:val="0015105B"/>
    <w:rsid w:val="0015303B"/>
    <w:rsid w:val="00153FB7"/>
    <w:rsid w:val="001551D6"/>
    <w:rsid w:val="00162B16"/>
    <w:rsid w:val="001633FB"/>
    <w:rsid w:val="00175631"/>
    <w:rsid w:val="001779D9"/>
    <w:rsid w:val="0018094B"/>
    <w:rsid w:val="00180C03"/>
    <w:rsid w:val="00184A9C"/>
    <w:rsid w:val="0019568D"/>
    <w:rsid w:val="001A425A"/>
    <w:rsid w:val="001B4B04"/>
    <w:rsid w:val="001B7130"/>
    <w:rsid w:val="001C6663"/>
    <w:rsid w:val="001C75BA"/>
    <w:rsid w:val="001C7895"/>
    <w:rsid w:val="001D174F"/>
    <w:rsid w:val="001D26DF"/>
    <w:rsid w:val="001D2FDC"/>
    <w:rsid w:val="001D4439"/>
    <w:rsid w:val="001E0287"/>
    <w:rsid w:val="001E2486"/>
    <w:rsid w:val="001E3506"/>
    <w:rsid w:val="001E3D5E"/>
    <w:rsid w:val="001F3705"/>
    <w:rsid w:val="001F592F"/>
    <w:rsid w:val="001F5FA3"/>
    <w:rsid w:val="0020326C"/>
    <w:rsid w:val="00211E0B"/>
    <w:rsid w:val="002141E2"/>
    <w:rsid w:val="002168A8"/>
    <w:rsid w:val="002229B5"/>
    <w:rsid w:val="00223481"/>
    <w:rsid w:val="002309A7"/>
    <w:rsid w:val="00230AFE"/>
    <w:rsid w:val="00237785"/>
    <w:rsid w:val="00241466"/>
    <w:rsid w:val="00244717"/>
    <w:rsid w:val="00244943"/>
    <w:rsid w:val="00244EF4"/>
    <w:rsid w:val="00256D47"/>
    <w:rsid w:val="00260303"/>
    <w:rsid w:val="00266C29"/>
    <w:rsid w:val="00266FF9"/>
    <w:rsid w:val="002725CA"/>
    <w:rsid w:val="00274CF5"/>
    <w:rsid w:val="00280EB7"/>
    <w:rsid w:val="00294F05"/>
    <w:rsid w:val="002965C6"/>
    <w:rsid w:val="002A04A5"/>
    <w:rsid w:val="002A1361"/>
    <w:rsid w:val="002A30C2"/>
    <w:rsid w:val="002B0D4A"/>
    <w:rsid w:val="002B1CDA"/>
    <w:rsid w:val="002B2DF4"/>
    <w:rsid w:val="002B4B44"/>
    <w:rsid w:val="002C4E7D"/>
    <w:rsid w:val="002C6766"/>
    <w:rsid w:val="002D22E5"/>
    <w:rsid w:val="002D503D"/>
    <w:rsid w:val="002D7539"/>
    <w:rsid w:val="002E0746"/>
    <w:rsid w:val="002E4861"/>
    <w:rsid w:val="002E75F6"/>
    <w:rsid w:val="003006DC"/>
    <w:rsid w:val="003107FA"/>
    <w:rsid w:val="0031424A"/>
    <w:rsid w:val="00320D32"/>
    <w:rsid w:val="003229D8"/>
    <w:rsid w:val="00323571"/>
    <w:rsid w:val="00326928"/>
    <w:rsid w:val="00326B64"/>
    <w:rsid w:val="003307EB"/>
    <w:rsid w:val="00330D2E"/>
    <w:rsid w:val="00334502"/>
    <w:rsid w:val="003346C5"/>
    <w:rsid w:val="00334988"/>
    <w:rsid w:val="00337F27"/>
    <w:rsid w:val="003466AC"/>
    <w:rsid w:val="003540F1"/>
    <w:rsid w:val="00354971"/>
    <w:rsid w:val="003671E7"/>
    <w:rsid w:val="00371D23"/>
    <w:rsid w:val="0037312F"/>
    <w:rsid w:val="00382BB1"/>
    <w:rsid w:val="00387614"/>
    <w:rsid w:val="00390028"/>
    <w:rsid w:val="0039277A"/>
    <w:rsid w:val="003972E0"/>
    <w:rsid w:val="003A077E"/>
    <w:rsid w:val="003A3F7F"/>
    <w:rsid w:val="003B1D06"/>
    <w:rsid w:val="003C1755"/>
    <w:rsid w:val="003C1832"/>
    <w:rsid w:val="003C2CC4"/>
    <w:rsid w:val="003C750C"/>
    <w:rsid w:val="003D1000"/>
    <w:rsid w:val="003D39F8"/>
    <w:rsid w:val="003D4B23"/>
    <w:rsid w:val="004043B5"/>
    <w:rsid w:val="00423D3D"/>
    <w:rsid w:val="00424EDD"/>
    <w:rsid w:val="004325CB"/>
    <w:rsid w:val="00437F3F"/>
    <w:rsid w:val="00444524"/>
    <w:rsid w:val="00446DE4"/>
    <w:rsid w:val="00454036"/>
    <w:rsid w:val="0045652B"/>
    <w:rsid w:val="0046419A"/>
    <w:rsid w:val="00473948"/>
    <w:rsid w:val="00484E32"/>
    <w:rsid w:val="0049147A"/>
    <w:rsid w:val="00491634"/>
    <w:rsid w:val="004925FF"/>
    <w:rsid w:val="00493BDC"/>
    <w:rsid w:val="0049434E"/>
    <w:rsid w:val="00496C2B"/>
    <w:rsid w:val="004A1AAA"/>
    <w:rsid w:val="004A7B6C"/>
    <w:rsid w:val="004B2C9D"/>
    <w:rsid w:val="004B550A"/>
    <w:rsid w:val="004C110B"/>
    <w:rsid w:val="004C48D9"/>
    <w:rsid w:val="004C4C63"/>
    <w:rsid w:val="004D0BAA"/>
    <w:rsid w:val="004D3BA2"/>
    <w:rsid w:val="004D4071"/>
    <w:rsid w:val="004D4993"/>
    <w:rsid w:val="004D5B50"/>
    <w:rsid w:val="004E4B59"/>
    <w:rsid w:val="004F511C"/>
    <w:rsid w:val="004F5ADD"/>
    <w:rsid w:val="00505080"/>
    <w:rsid w:val="005132B7"/>
    <w:rsid w:val="00513567"/>
    <w:rsid w:val="005176CD"/>
    <w:rsid w:val="00517A3F"/>
    <w:rsid w:val="0052254F"/>
    <w:rsid w:val="00523525"/>
    <w:rsid w:val="00527910"/>
    <w:rsid w:val="005279BF"/>
    <w:rsid w:val="00531781"/>
    <w:rsid w:val="005420F2"/>
    <w:rsid w:val="00542A15"/>
    <w:rsid w:val="0055467D"/>
    <w:rsid w:val="005644BC"/>
    <w:rsid w:val="005666F6"/>
    <w:rsid w:val="00573908"/>
    <w:rsid w:val="0057643F"/>
    <w:rsid w:val="0058227C"/>
    <w:rsid w:val="00590144"/>
    <w:rsid w:val="00591F7A"/>
    <w:rsid w:val="00593B86"/>
    <w:rsid w:val="005A4F15"/>
    <w:rsid w:val="005A5811"/>
    <w:rsid w:val="005A6C02"/>
    <w:rsid w:val="005B3DB3"/>
    <w:rsid w:val="005D04B3"/>
    <w:rsid w:val="005D0EBF"/>
    <w:rsid w:val="005D3656"/>
    <w:rsid w:val="005E178F"/>
    <w:rsid w:val="005E5115"/>
    <w:rsid w:val="00604C8E"/>
    <w:rsid w:val="00611FC4"/>
    <w:rsid w:val="006176FB"/>
    <w:rsid w:val="006246A3"/>
    <w:rsid w:val="00633B43"/>
    <w:rsid w:val="0063419C"/>
    <w:rsid w:val="00640B26"/>
    <w:rsid w:val="00642EDA"/>
    <w:rsid w:val="00645121"/>
    <w:rsid w:val="00645A1A"/>
    <w:rsid w:val="006500BA"/>
    <w:rsid w:val="00651DCB"/>
    <w:rsid w:val="00652193"/>
    <w:rsid w:val="006524E0"/>
    <w:rsid w:val="00653001"/>
    <w:rsid w:val="00663491"/>
    <w:rsid w:val="00672E30"/>
    <w:rsid w:val="00675A95"/>
    <w:rsid w:val="0067677C"/>
    <w:rsid w:val="006837D8"/>
    <w:rsid w:val="006927B6"/>
    <w:rsid w:val="006A24C7"/>
    <w:rsid w:val="006A3B7F"/>
    <w:rsid w:val="006A4E98"/>
    <w:rsid w:val="006A66FA"/>
    <w:rsid w:val="006A6E59"/>
    <w:rsid w:val="006A7392"/>
    <w:rsid w:val="006B18DD"/>
    <w:rsid w:val="006C0D34"/>
    <w:rsid w:val="006C2985"/>
    <w:rsid w:val="006C7C4D"/>
    <w:rsid w:val="006C7E11"/>
    <w:rsid w:val="006D0270"/>
    <w:rsid w:val="006D10CC"/>
    <w:rsid w:val="006D3D21"/>
    <w:rsid w:val="006D6FB3"/>
    <w:rsid w:val="006E4A58"/>
    <w:rsid w:val="006E564B"/>
    <w:rsid w:val="006E603B"/>
    <w:rsid w:val="006E7ABF"/>
    <w:rsid w:val="006F585C"/>
    <w:rsid w:val="0071032E"/>
    <w:rsid w:val="00716EAD"/>
    <w:rsid w:val="0072632A"/>
    <w:rsid w:val="0073035D"/>
    <w:rsid w:val="007321DB"/>
    <w:rsid w:val="00736305"/>
    <w:rsid w:val="00736D0A"/>
    <w:rsid w:val="00736E1D"/>
    <w:rsid w:val="00744EC0"/>
    <w:rsid w:val="007478B0"/>
    <w:rsid w:val="00750CB8"/>
    <w:rsid w:val="00753561"/>
    <w:rsid w:val="00753641"/>
    <w:rsid w:val="00755DDF"/>
    <w:rsid w:val="0076317E"/>
    <w:rsid w:val="00767DC6"/>
    <w:rsid w:val="007832B8"/>
    <w:rsid w:val="00790791"/>
    <w:rsid w:val="00795FD2"/>
    <w:rsid w:val="007B33F4"/>
    <w:rsid w:val="007B345B"/>
    <w:rsid w:val="007B4CF7"/>
    <w:rsid w:val="007B5CA0"/>
    <w:rsid w:val="007B6BA5"/>
    <w:rsid w:val="007C3390"/>
    <w:rsid w:val="007C4F4B"/>
    <w:rsid w:val="007D087E"/>
    <w:rsid w:val="007E110F"/>
    <w:rsid w:val="007F52DF"/>
    <w:rsid w:val="007F6611"/>
    <w:rsid w:val="00802ED5"/>
    <w:rsid w:val="008037E8"/>
    <w:rsid w:val="0080388F"/>
    <w:rsid w:val="0080400A"/>
    <w:rsid w:val="00805746"/>
    <w:rsid w:val="00805C8D"/>
    <w:rsid w:val="00811AE2"/>
    <w:rsid w:val="00814F39"/>
    <w:rsid w:val="008175E9"/>
    <w:rsid w:val="008242D7"/>
    <w:rsid w:val="008417F8"/>
    <w:rsid w:val="00845287"/>
    <w:rsid w:val="008454E6"/>
    <w:rsid w:val="00847959"/>
    <w:rsid w:val="00850488"/>
    <w:rsid w:val="00851253"/>
    <w:rsid w:val="0085445A"/>
    <w:rsid w:val="00860261"/>
    <w:rsid w:val="00860F29"/>
    <w:rsid w:val="008639E6"/>
    <w:rsid w:val="00871FD5"/>
    <w:rsid w:val="00874585"/>
    <w:rsid w:val="00887592"/>
    <w:rsid w:val="008979B1"/>
    <w:rsid w:val="008A04A8"/>
    <w:rsid w:val="008A12EC"/>
    <w:rsid w:val="008A289B"/>
    <w:rsid w:val="008A2B22"/>
    <w:rsid w:val="008A4052"/>
    <w:rsid w:val="008A5A71"/>
    <w:rsid w:val="008A6B25"/>
    <w:rsid w:val="008A6C4F"/>
    <w:rsid w:val="008C22A0"/>
    <w:rsid w:val="008C542B"/>
    <w:rsid w:val="008D1274"/>
    <w:rsid w:val="008E01C8"/>
    <w:rsid w:val="008E0613"/>
    <w:rsid w:val="008E0E46"/>
    <w:rsid w:val="008F5E8D"/>
    <w:rsid w:val="009043BF"/>
    <w:rsid w:val="0091608D"/>
    <w:rsid w:val="00916D07"/>
    <w:rsid w:val="0092475B"/>
    <w:rsid w:val="009341E2"/>
    <w:rsid w:val="00941F06"/>
    <w:rsid w:val="00942C4F"/>
    <w:rsid w:val="00945A5D"/>
    <w:rsid w:val="009461DD"/>
    <w:rsid w:val="00960C04"/>
    <w:rsid w:val="00963CBA"/>
    <w:rsid w:val="00965120"/>
    <w:rsid w:val="009674E4"/>
    <w:rsid w:val="00976767"/>
    <w:rsid w:val="00977E87"/>
    <w:rsid w:val="00982D5E"/>
    <w:rsid w:val="00987BC5"/>
    <w:rsid w:val="0099124E"/>
    <w:rsid w:val="00991261"/>
    <w:rsid w:val="009951EC"/>
    <w:rsid w:val="00995726"/>
    <w:rsid w:val="009A5A0D"/>
    <w:rsid w:val="009A6899"/>
    <w:rsid w:val="009B1A1B"/>
    <w:rsid w:val="009B4D27"/>
    <w:rsid w:val="009B6E3B"/>
    <w:rsid w:val="009B7D51"/>
    <w:rsid w:val="009C0CE1"/>
    <w:rsid w:val="009C2400"/>
    <w:rsid w:val="009C3671"/>
    <w:rsid w:val="009D3C39"/>
    <w:rsid w:val="009D3D51"/>
    <w:rsid w:val="009D4BA2"/>
    <w:rsid w:val="009E190F"/>
    <w:rsid w:val="009E67D4"/>
    <w:rsid w:val="009F0F06"/>
    <w:rsid w:val="009F2FAA"/>
    <w:rsid w:val="009F66A7"/>
    <w:rsid w:val="00A02F78"/>
    <w:rsid w:val="00A1341E"/>
    <w:rsid w:val="00A1427D"/>
    <w:rsid w:val="00A1568F"/>
    <w:rsid w:val="00A24F0D"/>
    <w:rsid w:val="00A32D41"/>
    <w:rsid w:val="00A40A95"/>
    <w:rsid w:val="00A46896"/>
    <w:rsid w:val="00A60A6D"/>
    <w:rsid w:val="00A64846"/>
    <w:rsid w:val="00A70548"/>
    <w:rsid w:val="00A70D0E"/>
    <w:rsid w:val="00A72F22"/>
    <w:rsid w:val="00A748A6"/>
    <w:rsid w:val="00A74C22"/>
    <w:rsid w:val="00A75EC9"/>
    <w:rsid w:val="00A7692C"/>
    <w:rsid w:val="00A879A4"/>
    <w:rsid w:val="00A901F7"/>
    <w:rsid w:val="00A91217"/>
    <w:rsid w:val="00A925A6"/>
    <w:rsid w:val="00A952EC"/>
    <w:rsid w:val="00A96774"/>
    <w:rsid w:val="00AB340F"/>
    <w:rsid w:val="00AC4748"/>
    <w:rsid w:val="00AC52CF"/>
    <w:rsid w:val="00AC7C65"/>
    <w:rsid w:val="00AD1098"/>
    <w:rsid w:val="00AD145B"/>
    <w:rsid w:val="00AE1A69"/>
    <w:rsid w:val="00AE1BDD"/>
    <w:rsid w:val="00AE5C8F"/>
    <w:rsid w:val="00AE7E01"/>
    <w:rsid w:val="00AF09CC"/>
    <w:rsid w:val="00AF6F99"/>
    <w:rsid w:val="00B138BE"/>
    <w:rsid w:val="00B16BD4"/>
    <w:rsid w:val="00B22191"/>
    <w:rsid w:val="00B3008F"/>
    <w:rsid w:val="00B30179"/>
    <w:rsid w:val="00B3317B"/>
    <w:rsid w:val="00B4216B"/>
    <w:rsid w:val="00B457A8"/>
    <w:rsid w:val="00B45B5C"/>
    <w:rsid w:val="00B50E21"/>
    <w:rsid w:val="00B54FC4"/>
    <w:rsid w:val="00B56239"/>
    <w:rsid w:val="00B56D93"/>
    <w:rsid w:val="00B57529"/>
    <w:rsid w:val="00B610FD"/>
    <w:rsid w:val="00B6216D"/>
    <w:rsid w:val="00B625CD"/>
    <w:rsid w:val="00B757DF"/>
    <w:rsid w:val="00B81E12"/>
    <w:rsid w:val="00B93068"/>
    <w:rsid w:val="00B96BB9"/>
    <w:rsid w:val="00BA0311"/>
    <w:rsid w:val="00BA1EA9"/>
    <w:rsid w:val="00BB4145"/>
    <w:rsid w:val="00BB66A8"/>
    <w:rsid w:val="00BC1657"/>
    <w:rsid w:val="00BC309B"/>
    <w:rsid w:val="00BC5E5C"/>
    <w:rsid w:val="00BC74E9"/>
    <w:rsid w:val="00BD10E7"/>
    <w:rsid w:val="00BD21C4"/>
    <w:rsid w:val="00BD60DD"/>
    <w:rsid w:val="00BE618E"/>
    <w:rsid w:val="00C179A3"/>
    <w:rsid w:val="00C414AF"/>
    <w:rsid w:val="00C41B4A"/>
    <w:rsid w:val="00C43318"/>
    <w:rsid w:val="00C44F0B"/>
    <w:rsid w:val="00C45CEB"/>
    <w:rsid w:val="00C463DD"/>
    <w:rsid w:val="00C4753A"/>
    <w:rsid w:val="00C5346F"/>
    <w:rsid w:val="00C5779A"/>
    <w:rsid w:val="00C620C6"/>
    <w:rsid w:val="00C62F76"/>
    <w:rsid w:val="00C63172"/>
    <w:rsid w:val="00C66B28"/>
    <w:rsid w:val="00C709F7"/>
    <w:rsid w:val="00C70FB3"/>
    <w:rsid w:val="00C73898"/>
    <w:rsid w:val="00C745C3"/>
    <w:rsid w:val="00C91393"/>
    <w:rsid w:val="00C97310"/>
    <w:rsid w:val="00CA123A"/>
    <w:rsid w:val="00CA12AA"/>
    <w:rsid w:val="00CA46AE"/>
    <w:rsid w:val="00CB4D07"/>
    <w:rsid w:val="00CB6EE8"/>
    <w:rsid w:val="00CC1247"/>
    <w:rsid w:val="00CC2AA5"/>
    <w:rsid w:val="00CC3494"/>
    <w:rsid w:val="00CC58CB"/>
    <w:rsid w:val="00CD1364"/>
    <w:rsid w:val="00CD3225"/>
    <w:rsid w:val="00CD3B29"/>
    <w:rsid w:val="00CD5CA5"/>
    <w:rsid w:val="00CD68B3"/>
    <w:rsid w:val="00CE2508"/>
    <w:rsid w:val="00CE4A8F"/>
    <w:rsid w:val="00CE5D72"/>
    <w:rsid w:val="00CE6891"/>
    <w:rsid w:val="00CF18E6"/>
    <w:rsid w:val="00CF520A"/>
    <w:rsid w:val="00D10D4D"/>
    <w:rsid w:val="00D1673B"/>
    <w:rsid w:val="00D2031B"/>
    <w:rsid w:val="00D21B90"/>
    <w:rsid w:val="00D22FAA"/>
    <w:rsid w:val="00D2426E"/>
    <w:rsid w:val="00D25FE2"/>
    <w:rsid w:val="00D317E0"/>
    <w:rsid w:val="00D3259D"/>
    <w:rsid w:val="00D341A4"/>
    <w:rsid w:val="00D35506"/>
    <w:rsid w:val="00D429FC"/>
    <w:rsid w:val="00D43252"/>
    <w:rsid w:val="00D47F6D"/>
    <w:rsid w:val="00D55608"/>
    <w:rsid w:val="00D62D60"/>
    <w:rsid w:val="00D65926"/>
    <w:rsid w:val="00D715EE"/>
    <w:rsid w:val="00D71928"/>
    <w:rsid w:val="00D753D8"/>
    <w:rsid w:val="00D803CC"/>
    <w:rsid w:val="00D87CDE"/>
    <w:rsid w:val="00D92A4E"/>
    <w:rsid w:val="00D94FCC"/>
    <w:rsid w:val="00D96CC5"/>
    <w:rsid w:val="00D978C6"/>
    <w:rsid w:val="00DA1AB9"/>
    <w:rsid w:val="00DA307A"/>
    <w:rsid w:val="00DA67AD"/>
    <w:rsid w:val="00DB021E"/>
    <w:rsid w:val="00DB2FD3"/>
    <w:rsid w:val="00DB37C7"/>
    <w:rsid w:val="00DB38A6"/>
    <w:rsid w:val="00DC14A6"/>
    <w:rsid w:val="00DC1C9C"/>
    <w:rsid w:val="00DC2CED"/>
    <w:rsid w:val="00DC62E4"/>
    <w:rsid w:val="00DD601F"/>
    <w:rsid w:val="00DE6659"/>
    <w:rsid w:val="00DF1E95"/>
    <w:rsid w:val="00DF40BC"/>
    <w:rsid w:val="00E030E1"/>
    <w:rsid w:val="00E12E23"/>
    <w:rsid w:val="00E130AB"/>
    <w:rsid w:val="00E2294B"/>
    <w:rsid w:val="00E25793"/>
    <w:rsid w:val="00E33A7D"/>
    <w:rsid w:val="00E36504"/>
    <w:rsid w:val="00E50BEB"/>
    <w:rsid w:val="00E5189E"/>
    <w:rsid w:val="00E549AA"/>
    <w:rsid w:val="00E5644E"/>
    <w:rsid w:val="00E57356"/>
    <w:rsid w:val="00E63FF3"/>
    <w:rsid w:val="00E64AEB"/>
    <w:rsid w:val="00E7260F"/>
    <w:rsid w:val="00E845AE"/>
    <w:rsid w:val="00E8535A"/>
    <w:rsid w:val="00E8656C"/>
    <w:rsid w:val="00E86DFE"/>
    <w:rsid w:val="00E877F7"/>
    <w:rsid w:val="00E96630"/>
    <w:rsid w:val="00EA772F"/>
    <w:rsid w:val="00EB0430"/>
    <w:rsid w:val="00EB226B"/>
    <w:rsid w:val="00EB6832"/>
    <w:rsid w:val="00EC1092"/>
    <w:rsid w:val="00EC18CA"/>
    <w:rsid w:val="00EC76A6"/>
    <w:rsid w:val="00ED67B4"/>
    <w:rsid w:val="00ED7A2A"/>
    <w:rsid w:val="00EE228C"/>
    <w:rsid w:val="00EF1D7F"/>
    <w:rsid w:val="00EF2C6C"/>
    <w:rsid w:val="00F00672"/>
    <w:rsid w:val="00F11769"/>
    <w:rsid w:val="00F13CAD"/>
    <w:rsid w:val="00F1540D"/>
    <w:rsid w:val="00F2273C"/>
    <w:rsid w:val="00F2538A"/>
    <w:rsid w:val="00F27C06"/>
    <w:rsid w:val="00F40DB9"/>
    <w:rsid w:val="00F40E75"/>
    <w:rsid w:val="00F51C2A"/>
    <w:rsid w:val="00F52F38"/>
    <w:rsid w:val="00F54674"/>
    <w:rsid w:val="00F5709A"/>
    <w:rsid w:val="00F60B87"/>
    <w:rsid w:val="00F731E5"/>
    <w:rsid w:val="00F7684E"/>
    <w:rsid w:val="00F862EF"/>
    <w:rsid w:val="00F871D5"/>
    <w:rsid w:val="00F90E19"/>
    <w:rsid w:val="00F91A6C"/>
    <w:rsid w:val="00F95FC2"/>
    <w:rsid w:val="00FA1207"/>
    <w:rsid w:val="00FA51F0"/>
    <w:rsid w:val="00FB01FC"/>
    <w:rsid w:val="00FB1972"/>
    <w:rsid w:val="00FB57F7"/>
    <w:rsid w:val="00FB6B59"/>
    <w:rsid w:val="00FC0F6F"/>
    <w:rsid w:val="00FC68B7"/>
    <w:rsid w:val="00FD6B2B"/>
    <w:rsid w:val="00FE1B9F"/>
    <w:rsid w:val="00FF03BB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DF2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D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D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3679</CharactersWithSpaces>
  <SharedDoc>false</SharedDoc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</cp:revision>
  <cp:lastPrinted>2014-12-28T18:39:00Z</cp:lastPrinted>
  <dcterms:created xsi:type="dcterms:W3CDTF">2015-09-08T09:03:00Z</dcterms:created>
  <dcterms:modified xsi:type="dcterms:W3CDTF">2015-09-08T09:03:00Z</dcterms:modified>
</cp:coreProperties>
</file>