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E16699">
            <w:pPr>
              <w:jc w:val="right"/>
            </w:pPr>
            <w:r w:rsidRPr="00B32E71">
              <w:rPr>
                <w:sz w:val="40"/>
              </w:rPr>
              <w:t>ST</w:t>
            </w:r>
            <w:r>
              <w:t>/SG/AC.10/C.3/2015/</w:t>
            </w:r>
            <w:r w:rsidR="00E16699">
              <w:t>50</w:t>
            </w:r>
            <w:r>
              <w:t>−</w:t>
            </w:r>
            <w:r w:rsidRPr="00B32E71">
              <w:rPr>
                <w:sz w:val="40"/>
              </w:rPr>
              <w:t>ST</w:t>
            </w:r>
            <w:r>
              <w:t>/SG/AC.10/C.4/2015/</w:t>
            </w:r>
            <w:r w:rsidR="00E16699">
              <w:t>10</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EC54BC" w:rsidP="00B32E71">
            <w:pPr>
              <w:spacing w:line="240" w:lineRule="exact"/>
            </w:pPr>
            <w:r>
              <w:t>8</w:t>
            </w:r>
            <w:r w:rsidR="00FA5827">
              <w:t xml:space="preserve"> September</w:t>
            </w:r>
            <w:r w:rsidR="00B32E71">
              <w:t xml:space="preserve"> 2015</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F108B0">
            <w:pPr>
              <w:spacing w:after="120"/>
              <w:rPr>
                <w:b/>
              </w:rPr>
            </w:pPr>
            <w:r>
              <w:rPr>
                <w:b/>
              </w:rPr>
              <w:t>Forty-eight</w:t>
            </w:r>
            <w:r w:rsidR="007D08FA">
              <w:rPr>
                <w:b/>
              </w:rPr>
              <w:t xml:space="preserve"> session</w:t>
            </w:r>
          </w:p>
        </w:tc>
        <w:tc>
          <w:tcPr>
            <w:tcW w:w="5103" w:type="dxa"/>
            <w:shd w:val="clear" w:color="auto" w:fill="auto"/>
          </w:tcPr>
          <w:p w:rsidR="00D46231" w:rsidRPr="00B32E71" w:rsidRDefault="00FA5827" w:rsidP="000504CE">
            <w:pPr>
              <w:rPr>
                <w:b/>
              </w:rPr>
            </w:pPr>
            <w:r w:rsidRPr="00FA5827">
              <w:rPr>
                <w:b/>
              </w:rPr>
              <w:t>Thirtieth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FA5827" w:rsidRPr="00FA5827">
              <w:rPr>
                <w:sz w:val="19"/>
                <w:szCs w:val="19"/>
                <w:lang w:val="en-US"/>
              </w:rPr>
              <w:t>30 November – 9 December 2015</w:t>
            </w:r>
          </w:p>
          <w:p w:rsidR="00D46231" w:rsidRPr="00E16699" w:rsidRDefault="007D08FA" w:rsidP="00E16699">
            <w:pPr>
              <w:spacing w:after="120"/>
              <w:rPr>
                <w:b/>
              </w:rPr>
            </w:pPr>
            <w:r w:rsidRPr="004C603B">
              <w:t xml:space="preserve">Item </w:t>
            </w:r>
            <w:r w:rsidR="00FA5827">
              <w:t>10</w:t>
            </w:r>
            <w:r w:rsidRPr="004C603B">
              <w:t xml:space="preserve"> (</w:t>
            </w:r>
            <w:r w:rsidR="00FA5827">
              <w:t>g</w:t>
            </w:r>
            <w:r w:rsidRPr="004C603B">
              <w:t>) of the provisional agenda</w:t>
            </w:r>
            <w:r w:rsidR="00E16699">
              <w:br/>
            </w:r>
            <w:r w:rsidR="00E16699" w:rsidRPr="00E16699">
              <w:rPr>
                <w:b/>
              </w:rPr>
              <w:t>Issues relating to the Globally Harmonized System of Classification and Labelling of Chemicals: u</w:t>
            </w:r>
            <w:r w:rsidR="00FA5827" w:rsidRPr="00E16699">
              <w:rPr>
                <w:b/>
              </w:rPr>
              <w:t>se of the Manual of Tests and Criteria in the</w:t>
            </w:r>
            <w:r w:rsidR="00FA5827" w:rsidRPr="00E16699">
              <w:rPr>
                <w:b/>
              </w:rPr>
              <w:br/>
              <w:t>context of the GHS</w:t>
            </w:r>
          </w:p>
        </w:tc>
        <w:tc>
          <w:tcPr>
            <w:tcW w:w="5103" w:type="dxa"/>
            <w:shd w:val="clear" w:color="auto" w:fill="auto"/>
          </w:tcPr>
          <w:p w:rsidR="007D08FA" w:rsidRPr="003C655D" w:rsidRDefault="007D08FA" w:rsidP="007D08FA">
            <w:r w:rsidRPr="003C655D">
              <w:t xml:space="preserve">Geneva, </w:t>
            </w:r>
            <w:r w:rsidR="00FA5827" w:rsidRPr="00FA5827">
              <w:t>9–11 December 2015</w:t>
            </w:r>
          </w:p>
          <w:p w:rsidR="00D46231" w:rsidRPr="00B32E71" w:rsidRDefault="007D08FA" w:rsidP="00FA5827">
            <w:pPr>
              <w:rPr>
                <w:b/>
              </w:rPr>
            </w:pPr>
            <w:r w:rsidRPr="003C655D">
              <w:t xml:space="preserve">Item </w:t>
            </w:r>
            <w:r>
              <w:t xml:space="preserve">2 (a) </w:t>
            </w:r>
            <w:r w:rsidRPr="003C655D">
              <w:t>of the provisional agenda</w:t>
            </w:r>
            <w:r>
              <w:br/>
            </w:r>
            <w:r w:rsidR="00FA5827" w:rsidRPr="00FA5827">
              <w:rPr>
                <w:b/>
              </w:rPr>
              <w:t>Joint work with the Sub-Committee of Experts on the Transport of Dangerous Goods</w:t>
            </w:r>
          </w:p>
        </w:tc>
      </w:tr>
    </w:tbl>
    <w:p w:rsidR="004C603B" w:rsidRPr="00C70CA4" w:rsidRDefault="004C603B" w:rsidP="00FA5827">
      <w:pPr>
        <w:pStyle w:val="HChG"/>
      </w:pPr>
      <w:r w:rsidRPr="00C70CA4">
        <w:tab/>
      </w:r>
      <w:r w:rsidRPr="00C70CA4">
        <w:tab/>
      </w:r>
      <w:r w:rsidR="00FA5827">
        <w:t>Use of the Manual of Tests and Criteria in the context of the GHS</w:t>
      </w:r>
    </w:p>
    <w:p w:rsidR="004C603B" w:rsidRPr="00C70CA4" w:rsidRDefault="004C603B" w:rsidP="00C70CA4">
      <w:pPr>
        <w:pStyle w:val="H1G"/>
      </w:pPr>
      <w:r w:rsidRPr="00C70CA4">
        <w:tab/>
      </w:r>
      <w:r w:rsidRPr="00C70CA4">
        <w:tab/>
        <w:t xml:space="preserve">Transmitted by the </w:t>
      </w:r>
      <w:r w:rsidR="00EB2643">
        <w:t>Chairman of the Working G</w:t>
      </w:r>
      <w:r w:rsidR="00EC54BC">
        <w:t>roup on E</w:t>
      </w:r>
      <w:r w:rsidR="00FA5827">
        <w:t>xplosives</w:t>
      </w:r>
      <w:r w:rsidRPr="00C70CA4">
        <w:rPr>
          <w:rStyle w:val="FootnoteReference"/>
        </w:rPr>
        <w:footnoteReference w:id="2"/>
      </w:r>
    </w:p>
    <w:p w:rsidR="004C603B" w:rsidRPr="00C70CA4" w:rsidRDefault="004C603B" w:rsidP="00C70CA4">
      <w:pPr>
        <w:pStyle w:val="HChG"/>
      </w:pPr>
      <w:r w:rsidRPr="00C70CA4">
        <w:tab/>
      </w:r>
      <w:r w:rsidRPr="00C70CA4">
        <w:tab/>
        <w:t>Introduction</w:t>
      </w:r>
    </w:p>
    <w:p w:rsidR="004C603B" w:rsidRPr="00C70CA4" w:rsidRDefault="00C70CA4" w:rsidP="00C70CA4">
      <w:pPr>
        <w:pStyle w:val="SingleTxtG"/>
      </w:pPr>
      <w:r>
        <w:t>1.</w:t>
      </w:r>
      <w:r>
        <w:tab/>
      </w:r>
      <w:r w:rsidR="00FA5827">
        <w:t xml:space="preserve">At the </w:t>
      </w:r>
      <w:r w:rsidR="00E16699">
        <w:t>forty-fifth</w:t>
      </w:r>
      <w:r w:rsidR="00FA5827">
        <w:t xml:space="preserve"> session the secretariat documents </w:t>
      </w:r>
      <w:r w:rsidR="00FA5827" w:rsidRPr="00FA5827">
        <w:t>ST/SG/AC.10/C.3/2014/61</w:t>
      </w:r>
      <w:r w:rsidR="00FA5827">
        <w:t xml:space="preserve"> and </w:t>
      </w:r>
      <w:r w:rsidR="000D4D3B">
        <w:t xml:space="preserve">informal document </w:t>
      </w:r>
      <w:r w:rsidR="00FA5827" w:rsidRPr="00FA5827">
        <w:t>INF.8 and Adds. 1–5</w:t>
      </w:r>
      <w:r w:rsidR="00FA5827">
        <w:t xml:space="preserve"> were discussed together with IMEs document INF.35. It was agreed at that session that: “…</w:t>
      </w:r>
      <w:r w:rsidR="00E16699">
        <w:t xml:space="preserve"> </w:t>
      </w:r>
      <w:r w:rsidR="00FA5827" w:rsidRPr="00FA5827">
        <w:t>a sixth revised edition of the Manual should be published in 2015</w:t>
      </w:r>
      <w:r w:rsidR="00FA5827">
        <w:t xml:space="preserve"> … </w:t>
      </w:r>
      <w:r w:rsidR="00FA5827" w:rsidRPr="00FA5827">
        <w:t>A seventh revised edition could be published in 2017, with the editorial changes deemed necessary to facilitate the use of the Manual in the context of the GHS</w:t>
      </w:r>
      <w:r w:rsidR="00EC54BC">
        <w:t>”</w:t>
      </w:r>
      <w:r w:rsidR="00FA5827">
        <w:t xml:space="preserve"> (see ST/SG/AC.10/C.3/90, paragraph 37)</w:t>
      </w:r>
      <w:r w:rsidR="00EC54BC">
        <w:t>.</w:t>
      </w:r>
    </w:p>
    <w:p w:rsidR="004C603B" w:rsidRPr="00C70CA4" w:rsidRDefault="00C70CA4" w:rsidP="00C70CA4">
      <w:pPr>
        <w:pStyle w:val="SingleTxtG"/>
      </w:pPr>
      <w:r>
        <w:t>2.</w:t>
      </w:r>
      <w:r>
        <w:tab/>
      </w:r>
      <w:r w:rsidR="00A90FBD">
        <w:t>A</w:t>
      </w:r>
      <w:r w:rsidR="00FA5827">
        <w:t xml:space="preserve">t the </w:t>
      </w:r>
      <w:r w:rsidR="00E16699">
        <w:t>forty-seventh</w:t>
      </w:r>
      <w:r w:rsidR="00FA5827">
        <w:t xml:space="preserve"> session </w:t>
      </w:r>
      <w:r w:rsidR="00FF4402">
        <w:t>t</w:t>
      </w:r>
      <w:r w:rsidR="00EC54BC">
        <w:t>he W</w:t>
      </w:r>
      <w:r w:rsidR="00A90FBD" w:rsidRPr="00A90FBD">
        <w:t xml:space="preserve">orking </w:t>
      </w:r>
      <w:r w:rsidR="00EC54BC">
        <w:t>G</w:t>
      </w:r>
      <w:r w:rsidR="00A90FBD" w:rsidRPr="00A90FBD">
        <w:t xml:space="preserve">roup </w:t>
      </w:r>
      <w:r w:rsidR="00EC54BC">
        <w:t>on E</w:t>
      </w:r>
      <w:r w:rsidR="00FF4402">
        <w:t xml:space="preserve">xplosives had a </w:t>
      </w:r>
      <w:r w:rsidR="00A90FBD" w:rsidRPr="00A90FBD">
        <w:t xml:space="preserve">look at </w:t>
      </w:r>
      <w:r w:rsidR="00E16699">
        <w:t xml:space="preserve">informal document </w:t>
      </w:r>
      <w:r w:rsidR="00A90FBD" w:rsidRPr="00A90FBD">
        <w:t>INF.8 (</w:t>
      </w:r>
      <w:r w:rsidR="00EC54BC">
        <w:t>and addenda</w:t>
      </w:r>
      <w:r w:rsidR="00A90FBD" w:rsidRPr="00A90FBD">
        <w:t>) to review the issue of substance/mixture and to return with suggestions for simplification and to identify when it would b</w:t>
      </w:r>
      <w:r w:rsidR="00E16699">
        <w:t xml:space="preserve">e necessary to </w:t>
      </w:r>
      <w:r w:rsidR="00B01BAA">
        <w:t>use both terms. The same applied</w:t>
      </w:r>
      <w:r w:rsidR="00E16699">
        <w:t xml:space="preserve"> to the</w:t>
      </w:r>
      <w:r w:rsidR="00FF4402" w:rsidRPr="00FF4402">
        <w:t xml:space="preserve"> reference to sectors</w:t>
      </w:r>
      <w:r w:rsidR="00FF4402">
        <w:t>;</w:t>
      </w:r>
      <w:r w:rsidR="00FF4402" w:rsidRPr="00FF4402">
        <w:t xml:space="preserve"> </w:t>
      </w:r>
      <w:r w:rsidR="00FF4402">
        <w:t xml:space="preserve">when </w:t>
      </w:r>
      <w:r w:rsidR="00FF4402" w:rsidRPr="00FF4402">
        <w:t xml:space="preserve">is </w:t>
      </w:r>
      <w:r w:rsidR="00FF4402">
        <w:t xml:space="preserve">it </w:t>
      </w:r>
      <w:r w:rsidR="00FF4402" w:rsidRPr="00FF4402">
        <w:t>appropriate and when such reference is inappropriate</w:t>
      </w:r>
      <w:r w:rsidR="00FF4402">
        <w:t>.</w:t>
      </w:r>
      <w:r w:rsidR="00FF4402" w:rsidRPr="00FF4402">
        <w:t xml:space="preserve"> </w:t>
      </w:r>
      <w:r w:rsidR="00A90FBD" w:rsidRPr="00A90FBD">
        <w:t xml:space="preserve">The </w:t>
      </w:r>
      <w:r w:rsidR="00EC54BC">
        <w:t>C</w:t>
      </w:r>
      <w:r w:rsidR="00A90FBD" w:rsidRPr="00A90FBD">
        <w:t xml:space="preserve">hairman </w:t>
      </w:r>
      <w:r w:rsidR="00EC54BC">
        <w:t xml:space="preserve">of the Working Group </w:t>
      </w:r>
      <w:r w:rsidR="00A90FBD" w:rsidRPr="00A90FBD">
        <w:t xml:space="preserve">and SAAMI </w:t>
      </w:r>
      <w:r w:rsidR="00EC54BC">
        <w:t>would</w:t>
      </w:r>
      <w:r w:rsidR="00A90FBD" w:rsidRPr="00A90FBD">
        <w:t xml:space="preserve"> </w:t>
      </w:r>
      <w:r w:rsidR="003A0A49">
        <w:lastRenderedPageBreak/>
        <w:t>work on</w:t>
      </w:r>
      <w:r w:rsidR="00EC54BC">
        <w:t xml:space="preserve"> the review for Part I and the I</w:t>
      </w:r>
      <w:r w:rsidR="00A90FBD" w:rsidRPr="00A90FBD">
        <w:t xml:space="preserve">ntroduction and Germany </w:t>
      </w:r>
      <w:r w:rsidR="000D4D3B">
        <w:t xml:space="preserve">and CEFIC </w:t>
      </w:r>
      <w:r w:rsidR="00EC54BC">
        <w:t>would</w:t>
      </w:r>
      <w:r w:rsidR="000D4D3B">
        <w:t xml:space="preserve"> review Part II. </w:t>
      </w:r>
      <w:r w:rsidR="00A90FBD" w:rsidRPr="00A90FBD">
        <w:t>This review should</w:t>
      </w:r>
      <w:r w:rsidR="00EC54BC">
        <w:t xml:space="preserve"> be completed within two months</w:t>
      </w:r>
      <w:r w:rsidR="00FF4402">
        <w:t xml:space="preserve"> (see </w:t>
      </w:r>
      <w:r w:rsidR="000D4D3B">
        <w:t xml:space="preserve">informal document </w:t>
      </w:r>
      <w:r w:rsidR="00FF4402">
        <w:t>INF.53</w:t>
      </w:r>
      <w:r w:rsidR="000D4D3B">
        <w:t xml:space="preserve"> (47</w:t>
      </w:r>
      <w:r w:rsidR="000D4D3B" w:rsidRPr="000D4D3B">
        <w:rPr>
          <w:vertAlign w:val="superscript"/>
        </w:rPr>
        <w:t>th</w:t>
      </w:r>
      <w:r w:rsidR="000D4D3B">
        <w:t xml:space="preserve"> session)</w:t>
      </w:r>
      <w:r w:rsidR="00FF4402">
        <w:t>, paragraph 21)</w:t>
      </w:r>
      <w:r w:rsidR="00EC54BC">
        <w:t>.</w:t>
      </w:r>
    </w:p>
    <w:p w:rsidR="004C603B" w:rsidRDefault="00C70CA4" w:rsidP="00C70CA4">
      <w:pPr>
        <w:pStyle w:val="SingleTxtG"/>
      </w:pPr>
      <w:r>
        <w:t>3.</w:t>
      </w:r>
      <w:r>
        <w:tab/>
      </w:r>
      <w:r w:rsidR="00D41A41">
        <w:t xml:space="preserve">SAAMI and the </w:t>
      </w:r>
      <w:r w:rsidR="00EC54BC">
        <w:t>C</w:t>
      </w:r>
      <w:r w:rsidR="00D41A41">
        <w:t xml:space="preserve">hairman </w:t>
      </w:r>
      <w:r w:rsidR="00EC54BC">
        <w:t xml:space="preserve">of the Working Group </w:t>
      </w:r>
      <w:r w:rsidR="00D41A41">
        <w:t>performe</w:t>
      </w:r>
      <w:r w:rsidR="00EC54BC">
        <w:t>d the review of Part I and the I</w:t>
      </w:r>
      <w:r w:rsidR="00D41A41">
        <w:t>ntroduction through ema</w:t>
      </w:r>
      <w:r w:rsidR="003A0A49">
        <w:t>il correspondence.</w:t>
      </w:r>
      <w:r w:rsidR="00EC54BC">
        <w:t xml:space="preserve"> Germany, CEFIC and the C</w:t>
      </w:r>
      <w:r w:rsidR="00D41A41">
        <w:t xml:space="preserve">hairman had a meeting in Berlin on </w:t>
      </w:r>
      <w:r w:rsidR="00EC54BC">
        <w:t>7</w:t>
      </w:r>
      <w:r w:rsidR="00D41A41">
        <w:t xml:space="preserve"> August </w:t>
      </w:r>
      <w:r w:rsidR="00EC54BC">
        <w:t xml:space="preserve">2015 </w:t>
      </w:r>
      <w:r w:rsidR="00D41A41">
        <w:t xml:space="preserve">to review Part II and, on a more general level, Part III. The result of the work will eventually be reflected in the new version of </w:t>
      </w:r>
      <w:r w:rsidR="000D4D3B">
        <w:t xml:space="preserve">informal document </w:t>
      </w:r>
      <w:r w:rsidR="00D41A41">
        <w:t xml:space="preserve">INF.8 and addenda, based on the </w:t>
      </w:r>
      <w:r w:rsidR="000D4D3B">
        <w:t>sixth</w:t>
      </w:r>
      <w:r w:rsidR="00D41A41">
        <w:t xml:space="preserve"> </w:t>
      </w:r>
      <w:r w:rsidR="00EC54BC">
        <w:t>revised e</w:t>
      </w:r>
      <w:r w:rsidR="002E0EA9">
        <w:t>dition of the Manual.</w:t>
      </w:r>
    </w:p>
    <w:p w:rsidR="002E0EA9" w:rsidRPr="00C70CA4" w:rsidRDefault="002E0EA9" w:rsidP="00C70CA4">
      <w:pPr>
        <w:pStyle w:val="SingleTxtG"/>
      </w:pPr>
      <w:r>
        <w:t>4.</w:t>
      </w:r>
      <w:r>
        <w:tab/>
      </w:r>
      <w:r w:rsidR="00A9473C">
        <w:t xml:space="preserve">It was agreed to submit a paper </w:t>
      </w:r>
      <w:r w:rsidR="00767A28">
        <w:t xml:space="preserve">in which general principles are proposed. Once these principles are </w:t>
      </w:r>
      <w:r w:rsidR="003A0A49">
        <w:t>discussed and decided upon</w:t>
      </w:r>
      <w:r w:rsidR="00767A28">
        <w:t>, the actual review of the Manual would be much more simple. The principles are gi</w:t>
      </w:r>
      <w:r w:rsidR="00275A85">
        <w:t>ven in the next pa</w:t>
      </w:r>
      <w:r w:rsidR="00767A28">
        <w:t>ragraphs.</w:t>
      </w:r>
    </w:p>
    <w:p w:rsidR="004C603B" w:rsidRPr="00C70CA4" w:rsidRDefault="00C70CA4" w:rsidP="00C70CA4">
      <w:pPr>
        <w:pStyle w:val="HChG"/>
      </w:pPr>
      <w:r w:rsidRPr="00C70CA4">
        <w:tab/>
      </w:r>
      <w:r w:rsidRPr="00C70CA4">
        <w:tab/>
      </w:r>
      <w:r w:rsidR="00767A28">
        <w:t>General principles</w:t>
      </w:r>
    </w:p>
    <w:p w:rsidR="00767A28" w:rsidRDefault="00767A28" w:rsidP="00275A85">
      <w:pPr>
        <w:pStyle w:val="SingleTxtG"/>
      </w:pPr>
      <w:r>
        <w:t>5</w:t>
      </w:r>
      <w:r w:rsidR="00C70CA4">
        <w:t>.</w:t>
      </w:r>
      <w:r w:rsidR="00C70CA4">
        <w:tab/>
      </w:r>
      <w:r w:rsidR="00EC54BC">
        <w:t>With regard</w:t>
      </w:r>
      <w:r w:rsidR="00B575C2">
        <w:t xml:space="preserve"> to adding the word “mixture”</w:t>
      </w:r>
      <w:r w:rsidR="00EC54BC">
        <w:t>,</w:t>
      </w:r>
      <w:r w:rsidR="00B575C2">
        <w:t xml:space="preserve"> the reviewers propose the following solution. Simply replacing the word “substance” by “substance and mixture” means more than</w:t>
      </w:r>
      <w:r w:rsidR="00B0557D">
        <w:t xml:space="preserve"> a</w:t>
      </w:r>
      <w:r w:rsidR="00B575C2">
        <w:t xml:space="preserve"> thousand replacements. This would certainly not improve the readability of the Manual. For the purposes of the Manual substances and mixtures would be dealt with in exactly the same way. The same tests, </w:t>
      </w:r>
      <w:r w:rsidR="003A0A49">
        <w:t>descriptions and criteria apply.</w:t>
      </w:r>
      <w:r w:rsidR="00B575C2">
        <w:t xml:space="preserve"> This implies that there is no reason to explicitly mention mixtures. Furthermore, a number of existing definitions currently state that mixtures are included in the definition, e.g. explosive substance and </w:t>
      </w:r>
      <w:r w:rsidR="00301B26">
        <w:t xml:space="preserve">flammable liquids </w:t>
      </w:r>
      <w:r w:rsidR="00B575C2">
        <w:t xml:space="preserve">(2.1.1.3 (a) and </w:t>
      </w:r>
      <w:r w:rsidR="00301B26">
        <w:t xml:space="preserve">2.3.1.2 </w:t>
      </w:r>
      <w:r w:rsidR="00B575C2">
        <w:t>of the Model regulations)</w:t>
      </w:r>
      <w:r w:rsidR="00301B26">
        <w:t xml:space="preserve">. It is proposed to insert a statement in paragraph 1.1.1 of the Manual (where the term ‘substance’ </w:t>
      </w:r>
      <w:r w:rsidR="003A0A49">
        <w:t>appears</w:t>
      </w:r>
      <w:r w:rsidR="00301B26">
        <w:t xml:space="preserve"> for the first time) reading: “</w:t>
      </w:r>
      <w:r w:rsidR="009428DE">
        <w:t>T</w:t>
      </w:r>
      <w:r w:rsidR="009428DE">
        <w:rPr>
          <w:i/>
        </w:rPr>
        <w:t>he term substanc</w:t>
      </w:r>
      <w:r w:rsidR="004753F4">
        <w:rPr>
          <w:i/>
        </w:rPr>
        <w:t xml:space="preserve">e in this Manual includes both </w:t>
      </w:r>
      <w:r w:rsidR="009428DE">
        <w:rPr>
          <w:i/>
        </w:rPr>
        <w:t>substances and mixtures</w:t>
      </w:r>
      <w:r w:rsidR="004968C9">
        <w:rPr>
          <w:i/>
        </w:rPr>
        <w:t>, unless otherwise stated</w:t>
      </w:r>
      <w:r w:rsidR="009428DE">
        <w:rPr>
          <w:i/>
        </w:rPr>
        <w:t>.”</w:t>
      </w:r>
    </w:p>
    <w:p w:rsidR="005D3F9E" w:rsidRDefault="0019759D" w:rsidP="005D3F9E">
      <w:pPr>
        <w:pStyle w:val="SingleTxtG"/>
      </w:pPr>
      <w:r>
        <w:t>Parallel to this solution</w:t>
      </w:r>
      <w:r w:rsidR="005D3F9E">
        <w:t xml:space="preserve"> the term “explosives” instead of “explosive substances[, mixtures] and articles”</w:t>
      </w:r>
      <w:r>
        <w:t xml:space="preserve"> can be used</w:t>
      </w:r>
      <w:r w:rsidR="005D3F9E">
        <w:t xml:space="preserve">. </w:t>
      </w:r>
      <w:r w:rsidR="003A0A49">
        <w:t>T</w:t>
      </w:r>
      <w:r w:rsidR="005D3F9E">
        <w:t>his is a generally know</w:t>
      </w:r>
      <w:r w:rsidR="00B0557D">
        <w:t>n</w:t>
      </w:r>
      <w:r w:rsidR="005D3F9E">
        <w:t xml:space="preserve"> term and is also used in GHS Chapter 2.1</w:t>
      </w:r>
    </w:p>
    <w:p w:rsidR="005D3F9E" w:rsidRPr="005D3F9E" w:rsidRDefault="005D3F9E" w:rsidP="005D3F9E">
      <w:pPr>
        <w:pStyle w:val="SingleTxtG"/>
      </w:pPr>
      <w:r>
        <w:t xml:space="preserve">Similarly the term “self-reactives” can be used in Part </w:t>
      </w:r>
      <w:r w:rsidR="0019759D">
        <w:t xml:space="preserve">II and “oxidisers” in Part III. If these descriptions are accepted this </w:t>
      </w:r>
      <w:r>
        <w:t xml:space="preserve">will </w:t>
      </w:r>
      <w:r w:rsidR="0019759D">
        <w:t xml:space="preserve">have </w:t>
      </w:r>
      <w:r>
        <w:t>consequential change</w:t>
      </w:r>
      <w:r w:rsidR="0019759D">
        <w:t>s</w:t>
      </w:r>
      <w:r>
        <w:t xml:space="preserve"> in the title</w:t>
      </w:r>
      <w:r w:rsidR="0019759D">
        <w:t>s</w:t>
      </w:r>
      <w:r>
        <w:t xml:space="preserve"> of Chapter</w:t>
      </w:r>
      <w:r w:rsidR="0019759D">
        <w:t>s 2.8</w:t>
      </w:r>
      <w:r w:rsidR="004968C9">
        <w:t xml:space="preserve"> (Self-reactives)</w:t>
      </w:r>
      <w:r w:rsidR="0019759D">
        <w:t xml:space="preserve">, 2.13 </w:t>
      </w:r>
      <w:r w:rsidR="004968C9">
        <w:t xml:space="preserve">(Liquid oxidisers) </w:t>
      </w:r>
      <w:r w:rsidR="0019759D">
        <w:t xml:space="preserve">and 2.14 </w:t>
      </w:r>
      <w:r w:rsidR="004968C9">
        <w:t xml:space="preserve">(Solid oxidisers) </w:t>
      </w:r>
      <w:r>
        <w:t xml:space="preserve">of </w:t>
      </w:r>
      <w:r w:rsidR="0019759D">
        <w:t xml:space="preserve">the </w:t>
      </w:r>
      <w:r>
        <w:t>GHS</w:t>
      </w:r>
      <w:r w:rsidR="0019759D">
        <w:t xml:space="preserve"> document</w:t>
      </w:r>
      <w:r>
        <w:t>.</w:t>
      </w:r>
    </w:p>
    <w:p w:rsidR="00EF760C" w:rsidRDefault="00EF760C" w:rsidP="00EF760C">
      <w:pPr>
        <w:pStyle w:val="SingleTxtG"/>
      </w:pPr>
      <w:r>
        <w:t>6.</w:t>
      </w:r>
      <w:r>
        <w:tab/>
        <w:t xml:space="preserve">It is obvious that the Manual was written in the context of transport. That appears in several forms at several places. For instance: </w:t>
      </w:r>
    </w:p>
    <w:p w:rsidR="00EF760C" w:rsidRPr="00EF760C" w:rsidRDefault="00EF760C" w:rsidP="004968C9">
      <w:pPr>
        <w:pStyle w:val="SingleTxtG"/>
        <w:numPr>
          <w:ilvl w:val="0"/>
          <w:numId w:val="20"/>
        </w:numPr>
        <w:rPr>
          <w:i/>
        </w:rPr>
      </w:pPr>
      <w:r w:rsidRPr="00EF760C">
        <w:rPr>
          <w:i/>
        </w:rPr>
        <w:t xml:space="preserve">“If a mixture can </w:t>
      </w:r>
      <w:r w:rsidR="003A0A49">
        <w:rPr>
          <w:i/>
        </w:rPr>
        <w:t>se</w:t>
      </w:r>
      <w:r w:rsidRPr="00EF760C">
        <w:rPr>
          <w:i/>
        </w:rPr>
        <w:t>pa</w:t>
      </w:r>
      <w:r w:rsidR="003A0A49">
        <w:rPr>
          <w:i/>
        </w:rPr>
        <w:t>ra</w:t>
      </w:r>
      <w:r w:rsidRPr="00EF760C">
        <w:rPr>
          <w:i/>
        </w:rPr>
        <w:t xml:space="preserve">te out during transport, the test…”; </w:t>
      </w:r>
    </w:p>
    <w:p w:rsidR="00EF760C" w:rsidRPr="00EF760C" w:rsidRDefault="00EF760C" w:rsidP="004968C9">
      <w:pPr>
        <w:pStyle w:val="SingleTxtG"/>
        <w:numPr>
          <w:ilvl w:val="0"/>
          <w:numId w:val="20"/>
        </w:numPr>
        <w:rPr>
          <w:i/>
        </w:rPr>
      </w:pPr>
      <w:r w:rsidRPr="00EF760C">
        <w:rPr>
          <w:i/>
        </w:rPr>
        <w:t xml:space="preserve">“The density should be as close as possible to the shipping density.” and </w:t>
      </w:r>
    </w:p>
    <w:p w:rsidR="00EF760C" w:rsidRPr="00EF760C" w:rsidRDefault="004753F4" w:rsidP="004968C9">
      <w:pPr>
        <w:pStyle w:val="SingleTxtG"/>
        <w:numPr>
          <w:ilvl w:val="0"/>
          <w:numId w:val="20"/>
        </w:numPr>
        <w:rPr>
          <w:i/>
        </w:rPr>
      </w:pPr>
      <w:r>
        <w:rPr>
          <w:i/>
        </w:rPr>
        <w:t>“… A</w:t>
      </w:r>
      <w:r w:rsidR="00EF760C">
        <w:rPr>
          <w:i/>
        </w:rPr>
        <w:t xml:space="preserve"> new product is </w:t>
      </w:r>
      <w:r w:rsidR="00EF760C" w:rsidRPr="00EF760C">
        <w:rPr>
          <w:i/>
        </w:rPr>
        <w:t>offered for transport”</w:t>
      </w:r>
    </w:p>
    <w:p w:rsidR="00EF760C" w:rsidRDefault="00EF760C" w:rsidP="00EF760C">
      <w:pPr>
        <w:pStyle w:val="SingleTxtG"/>
      </w:pPr>
      <w:r>
        <w:t xml:space="preserve">When the Manual was drafted, the only intended use was transport. It is recommended </w:t>
      </w:r>
      <w:r w:rsidRPr="00275A85">
        <w:t xml:space="preserve">not </w:t>
      </w:r>
      <w:r>
        <w:t xml:space="preserve">to </w:t>
      </w:r>
      <w:r w:rsidRPr="00275A85">
        <w:t xml:space="preserve">refer </w:t>
      </w:r>
      <w:r w:rsidR="003A0A49">
        <w:t xml:space="preserve">to </w:t>
      </w:r>
      <w:r w:rsidRPr="00275A85">
        <w:t xml:space="preserve">the </w:t>
      </w:r>
      <w:r w:rsidR="003A0A49">
        <w:t xml:space="preserve">sector </w:t>
      </w:r>
      <w:r w:rsidRPr="00275A85">
        <w:t xml:space="preserve">for which the classification is done; so use the </w:t>
      </w:r>
      <w:r w:rsidR="004968C9">
        <w:t>phrase</w:t>
      </w:r>
      <w:r w:rsidRPr="00275A85">
        <w:t>: “… to arrive at a proper classification.” instead of: “… to arrive at a proper classification for transport, storage</w:t>
      </w:r>
      <w:r w:rsidR="003A0A49">
        <w:t>,</w:t>
      </w:r>
      <w:r w:rsidRPr="00275A85">
        <w:t xml:space="preserve"> supply and use.” </w:t>
      </w:r>
    </w:p>
    <w:p w:rsidR="00EF760C" w:rsidRDefault="003A0A49" w:rsidP="00EF760C">
      <w:pPr>
        <w:pStyle w:val="SingleTxtG"/>
      </w:pPr>
      <w:r>
        <w:t>T</w:t>
      </w:r>
      <w:r w:rsidR="00EF760C" w:rsidRPr="00275A85">
        <w:t xml:space="preserve">he classification procedure itself is independent </w:t>
      </w:r>
      <w:r w:rsidR="00EF760C">
        <w:t>of</w:t>
      </w:r>
      <w:r w:rsidR="00EF760C" w:rsidRPr="00275A85">
        <w:t xml:space="preserve"> the eventual </w:t>
      </w:r>
      <w:r>
        <w:t>sector</w:t>
      </w:r>
      <w:r w:rsidR="00EF760C" w:rsidRPr="00275A85">
        <w:t>. At this moment there are no ind</w:t>
      </w:r>
      <w:r w:rsidR="00B0557D">
        <w:t>ications that the criteria need</w:t>
      </w:r>
      <w:r w:rsidR="00EF760C" w:rsidRPr="00275A85">
        <w:t xml:space="preserve"> to be different for different </w:t>
      </w:r>
      <w:r>
        <w:t>sectors</w:t>
      </w:r>
      <w:r w:rsidR="00EF760C" w:rsidRPr="00275A85">
        <w:t>. Currently this is not part of the mandate.</w:t>
      </w:r>
    </w:p>
    <w:p w:rsidR="00EF760C" w:rsidRDefault="00EF760C" w:rsidP="00EF760C">
      <w:pPr>
        <w:pStyle w:val="SingleTxtG"/>
      </w:pPr>
      <w:r>
        <w:t xml:space="preserve">Regarding </w:t>
      </w:r>
      <w:r w:rsidR="004968C9">
        <w:t>A.</w:t>
      </w:r>
      <w:r>
        <w:t xml:space="preserve">: this is easily solved by just taking out the words “during transport” without changing the intention of the statement. </w:t>
      </w:r>
    </w:p>
    <w:p w:rsidR="00EF760C" w:rsidRPr="00EF760C" w:rsidRDefault="00EF760C" w:rsidP="00EF760C">
      <w:pPr>
        <w:pStyle w:val="SingleTxtG"/>
      </w:pPr>
      <w:r>
        <w:lastRenderedPageBreak/>
        <w:t xml:space="preserve">The phrase reflected in </w:t>
      </w:r>
      <w:r w:rsidR="004968C9">
        <w:t>B.</w:t>
      </w:r>
      <w:r>
        <w:t xml:space="preserve"> can be left out of the test description </w:t>
      </w:r>
      <w:r w:rsidRPr="00EF760C">
        <w:t xml:space="preserve">as </w:t>
      </w:r>
      <w:r w:rsidR="004968C9">
        <w:t xml:space="preserve">earlier </w:t>
      </w:r>
      <w:r w:rsidRPr="00EF760C">
        <w:t xml:space="preserve">proposed in </w:t>
      </w:r>
      <w:r w:rsidR="003E3B22">
        <w:t xml:space="preserve">informal document </w:t>
      </w:r>
      <w:r w:rsidRPr="00EF760C">
        <w:t>INF.4</w:t>
      </w:r>
      <w:r w:rsidR="004968C9">
        <w:t xml:space="preserve"> </w:t>
      </w:r>
      <w:r w:rsidR="003E3B22">
        <w:t>(45</w:t>
      </w:r>
      <w:r w:rsidR="003E3B22" w:rsidRPr="003E3B22">
        <w:rPr>
          <w:vertAlign w:val="superscript"/>
        </w:rPr>
        <w:t>th</w:t>
      </w:r>
      <w:r w:rsidR="003E3B22">
        <w:t xml:space="preserve"> session) </w:t>
      </w:r>
      <w:r w:rsidR="004968C9">
        <w:t>and was</w:t>
      </w:r>
      <w:r w:rsidRPr="00EF760C">
        <w:t xml:space="preserve"> accepted</w:t>
      </w:r>
      <w:r>
        <w:t xml:space="preserve"> and included in the sixth </w:t>
      </w:r>
      <w:r w:rsidR="00EC54BC">
        <w:t xml:space="preserve">revised </w:t>
      </w:r>
      <w:r>
        <w:t>edition of the Manual.</w:t>
      </w:r>
    </w:p>
    <w:p w:rsidR="00EF760C" w:rsidRPr="00275A85" w:rsidRDefault="00EF760C" w:rsidP="00EF760C">
      <w:pPr>
        <w:pStyle w:val="SingleTxtG"/>
      </w:pPr>
      <w:r>
        <w:t xml:space="preserve">The difficulty is to find a correct description to address </w:t>
      </w:r>
      <w:r w:rsidR="004968C9">
        <w:t>C</w:t>
      </w:r>
      <w:r>
        <w:t>. A general discussion to find acceptable wording is proposed. It should be stressed that including that the test should be performed for all circumstance may lead to a disproportional increase in the number of tests.</w:t>
      </w:r>
    </w:p>
    <w:p w:rsidR="00EF760C" w:rsidRDefault="00EF760C" w:rsidP="00EF760C">
      <w:pPr>
        <w:pStyle w:val="SingleTxtG"/>
        <w:rPr>
          <w:lang w:val="en-US"/>
        </w:rPr>
      </w:pPr>
      <w:r>
        <w:t>7.</w:t>
      </w:r>
      <w:r>
        <w:tab/>
      </w:r>
      <w:r w:rsidRPr="00EF760C">
        <w:rPr>
          <w:lang w:val="en-US"/>
        </w:rPr>
        <w:t xml:space="preserve">In the </w:t>
      </w:r>
      <w:r>
        <w:rPr>
          <w:lang w:val="en-US"/>
        </w:rPr>
        <w:t>drafts</w:t>
      </w:r>
      <w:r w:rsidR="003E3B22">
        <w:rPr>
          <w:lang w:val="en-US"/>
        </w:rPr>
        <w:t xml:space="preserve"> from the secretariat informal documents </w:t>
      </w:r>
      <w:r w:rsidRPr="00EF760C">
        <w:rPr>
          <w:lang w:val="en-US"/>
        </w:rPr>
        <w:t>INF.8</w:t>
      </w:r>
      <w:r w:rsidR="003E3B22">
        <w:rPr>
          <w:lang w:val="en-US"/>
        </w:rPr>
        <w:t xml:space="preserve"> (45</w:t>
      </w:r>
      <w:r w:rsidR="003E3B22" w:rsidRPr="003E3B22">
        <w:rPr>
          <w:vertAlign w:val="superscript"/>
          <w:lang w:val="en-US"/>
        </w:rPr>
        <w:t>th</w:t>
      </w:r>
      <w:r w:rsidR="003E3B22">
        <w:rPr>
          <w:lang w:val="en-US"/>
        </w:rPr>
        <w:t xml:space="preserve"> session) and </w:t>
      </w:r>
      <w:r w:rsidRPr="00EF760C">
        <w:rPr>
          <w:lang w:val="en-US"/>
        </w:rPr>
        <w:t>INF.5</w:t>
      </w:r>
      <w:r w:rsidR="003E3B22">
        <w:rPr>
          <w:lang w:val="en-US"/>
        </w:rPr>
        <w:t xml:space="preserve"> (27</w:t>
      </w:r>
      <w:r w:rsidR="003E3B22" w:rsidRPr="003E3B22">
        <w:rPr>
          <w:vertAlign w:val="superscript"/>
          <w:lang w:val="en-US"/>
        </w:rPr>
        <w:t>th</w:t>
      </w:r>
      <w:r w:rsidR="003E3B22">
        <w:rPr>
          <w:lang w:val="en-US"/>
        </w:rPr>
        <w:t xml:space="preserve"> session)</w:t>
      </w:r>
      <w:r w:rsidRPr="00EF760C">
        <w:rPr>
          <w:lang w:val="en-US"/>
        </w:rPr>
        <w:t xml:space="preserve"> the terms “</w:t>
      </w:r>
      <w:r w:rsidRPr="00EF760C">
        <w:rPr>
          <w:i/>
          <w:lang w:val="en-US"/>
        </w:rPr>
        <w:t>Explosives of Class 1</w:t>
      </w:r>
      <w:r w:rsidRPr="00EF760C">
        <w:rPr>
          <w:lang w:val="en-US"/>
        </w:rPr>
        <w:t>” or “</w:t>
      </w:r>
      <w:r w:rsidRPr="00EF760C">
        <w:rPr>
          <w:i/>
          <w:lang w:val="en-US"/>
        </w:rPr>
        <w:t>Self-reactive substances of Division 4.</w:t>
      </w:r>
      <w:r w:rsidR="004968C9">
        <w:rPr>
          <w:i/>
          <w:lang w:val="en-US"/>
        </w:rPr>
        <w:t>1</w:t>
      </w:r>
      <w:r w:rsidRPr="00EF760C">
        <w:rPr>
          <w:lang w:val="en-US"/>
        </w:rPr>
        <w:t xml:space="preserve">” </w:t>
      </w:r>
      <w:r w:rsidR="005D3F9E">
        <w:rPr>
          <w:lang w:val="en-US"/>
        </w:rPr>
        <w:t>et</w:t>
      </w:r>
      <w:r w:rsidR="00EC54BC">
        <w:rPr>
          <w:lang w:val="en-US"/>
        </w:rPr>
        <w:t>c</w:t>
      </w:r>
      <w:r w:rsidR="005D3F9E">
        <w:rPr>
          <w:lang w:val="en-US"/>
        </w:rPr>
        <w:t xml:space="preserve"> </w:t>
      </w:r>
      <w:r w:rsidRPr="00EF760C">
        <w:rPr>
          <w:lang w:val="en-US"/>
        </w:rPr>
        <w:t>w</w:t>
      </w:r>
      <w:r w:rsidR="00B0557D">
        <w:rPr>
          <w:lang w:val="en-US"/>
        </w:rPr>
        <w:t>ere</w:t>
      </w:r>
      <w:r w:rsidRPr="00EF760C">
        <w:rPr>
          <w:lang w:val="en-US"/>
        </w:rPr>
        <w:t xml:space="preserve"> changed to “</w:t>
      </w:r>
      <w:r w:rsidR="003E3B22">
        <w:rPr>
          <w:i/>
          <w:lang w:val="en-US"/>
        </w:rPr>
        <w:t xml:space="preserve">Explosives (Transport </w:t>
      </w:r>
      <w:r w:rsidRPr="00EF760C">
        <w:rPr>
          <w:i/>
          <w:lang w:val="en-US"/>
        </w:rPr>
        <w:t>Class 1</w:t>
      </w:r>
      <w:r w:rsidR="003A0A49">
        <w:rPr>
          <w:i/>
          <w:lang w:val="en-US"/>
        </w:rPr>
        <w:t>)</w:t>
      </w:r>
      <w:r w:rsidRPr="00EF760C">
        <w:rPr>
          <w:i/>
          <w:lang w:val="en-US"/>
        </w:rPr>
        <w:t>” and “Self-reactive substances (Transport Division 4.</w:t>
      </w:r>
      <w:r w:rsidR="004968C9">
        <w:rPr>
          <w:i/>
          <w:lang w:val="en-US"/>
        </w:rPr>
        <w:t>1</w:t>
      </w:r>
      <w:r w:rsidRPr="00EF760C">
        <w:rPr>
          <w:i/>
          <w:lang w:val="en-US"/>
        </w:rPr>
        <w:t>)</w:t>
      </w:r>
      <w:r w:rsidRPr="00EF760C">
        <w:rPr>
          <w:lang w:val="en-US"/>
        </w:rPr>
        <w:t>”.</w:t>
      </w:r>
      <w:r>
        <w:rPr>
          <w:lang w:val="en-US"/>
        </w:rPr>
        <w:t xml:space="preserve"> The reviewer</w:t>
      </w:r>
      <w:r w:rsidR="005D3F9E">
        <w:rPr>
          <w:lang w:val="en-US"/>
        </w:rPr>
        <w:t>s collectively</w:t>
      </w:r>
      <w:r>
        <w:rPr>
          <w:lang w:val="en-US"/>
        </w:rPr>
        <w:t xml:space="preserve"> felt that it is not necessary to </w:t>
      </w:r>
      <w:r w:rsidR="005D3F9E">
        <w:rPr>
          <w:lang w:val="en-US"/>
        </w:rPr>
        <w:t>refer to the transport classe</w:t>
      </w:r>
      <w:r w:rsidR="003E3B22">
        <w:rPr>
          <w:lang w:val="en-US"/>
        </w:rPr>
        <w:t>s and divisions</w:t>
      </w:r>
      <w:r w:rsidR="004968C9">
        <w:rPr>
          <w:lang w:val="en-US"/>
        </w:rPr>
        <w:t xml:space="preserve"> since the user</w:t>
      </w:r>
      <w:r w:rsidR="003E3B22">
        <w:rPr>
          <w:lang w:val="en-US"/>
        </w:rPr>
        <w:t>s of the Manual</w:t>
      </w:r>
      <w:r>
        <w:rPr>
          <w:lang w:val="en-US"/>
        </w:rPr>
        <w:t xml:space="preserve"> </w:t>
      </w:r>
      <w:r w:rsidR="005D3F9E">
        <w:rPr>
          <w:lang w:val="en-US"/>
        </w:rPr>
        <w:t>know the transport classes</w:t>
      </w:r>
      <w:r w:rsidR="00B0557D">
        <w:rPr>
          <w:lang w:val="en-US"/>
        </w:rPr>
        <w:t xml:space="preserve">. This change would also </w:t>
      </w:r>
      <w:r w:rsidR="005D3F9E">
        <w:rPr>
          <w:lang w:val="en-US"/>
        </w:rPr>
        <w:t>increase readability o</w:t>
      </w:r>
      <w:r w:rsidR="00B0557D">
        <w:rPr>
          <w:lang w:val="en-US"/>
        </w:rPr>
        <w:t>f</w:t>
      </w:r>
      <w:r w:rsidR="005D3F9E">
        <w:rPr>
          <w:lang w:val="en-US"/>
        </w:rPr>
        <w:t xml:space="preserve"> the Manual.</w:t>
      </w:r>
    </w:p>
    <w:p w:rsidR="005D3F9E" w:rsidRDefault="005D3F9E" w:rsidP="00EF760C">
      <w:pPr>
        <w:pStyle w:val="SingleTxtG"/>
        <w:rPr>
          <w:lang w:val="en-US"/>
        </w:rPr>
      </w:pPr>
      <w:r>
        <w:rPr>
          <w:lang w:val="en-US"/>
        </w:rPr>
        <w:t>8.</w:t>
      </w:r>
      <w:r>
        <w:rPr>
          <w:lang w:val="en-US"/>
        </w:rPr>
        <w:tab/>
      </w:r>
      <w:r w:rsidR="00B0557D">
        <w:rPr>
          <w:lang w:val="en-US"/>
        </w:rPr>
        <w:t>I</w:t>
      </w:r>
      <w:r>
        <w:rPr>
          <w:lang w:val="en-US"/>
        </w:rPr>
        <w:t xml:space="preserve">t is proposed to </w:t>
      </w:r>
      <w:r w:rsidR="00B0557D">
        <w:rPr>
          <w:lang w:val="en-US"/>
        </w:rPr>
        <w:t xml:space="preserve">replace the flow charts that are currently included in the Manual by those included </w:t>
      </w:r>
      <w:r>
        <w:rPr>
          <w:lang w:val="en-US"/>
        </w:rPr>
        <w:t xml:space="preserve">in the GHS document. </w:t>
      </w:r>
      <w:r w:rsidR="003A0A49">
        <w:rPr>
          <w:lang w:val="en-US"/>
        </w:rPr>
        <w:t>T</w:t>
      </w:r>
      <w:r>
        <w:rPr>
          <w:lang w:val="en-US"/>
        </w:rPr>
        <w:t>he</w:t>
      </w:r>
      <w:r w:rsidR="00B0557D">
        <w:rPr>
          <w:lang w:val="en-US"/>
        </w:rPr>
        <w:t xml:space="preserve"> GHS versions have</w:t>
      </w:r>
      <w:r>
        <w:rPr>
          <w:lang w:val="en-US"/>
        </w:rPr>
        <w:t xml:space="preserve"> the more general descriptions and </w:t>
      </w:r>
      <w:r w:rsidR="003A0A49">
        <w:rPr>
          <w:lang w:val="en-US"/>
        </w:rPr>
        <w:t>exit</w:t>
      </w:r>
      <w:r>
        <w:rPr>
          <w:lang w:val="en-US"/>
        </w:rPr>
        <w:t xml:space="preserve"> boxes so they are applicable to all regulatory purposes. </w:t>
      </w:r>
    </w:p>
    <w:p w:rsidR="005D3F9E" w:rsidRPr="00EF760C" w:rsidRDefault="005D3F9E" w:rsidP="00EF760C">
      <w:pPr>
        <w:pStyle w:val="SingleTxtG"/>
        <w:rPr>
          <w:lang w:val="en-US"/>
        </w:rPr>
      </w:pPr>
      <w:r>
        <w:rPr>
          <w:lang w:val="en-US"/>
        </w:rPr>
        <w:t>Transport specific remarks, as included in the</w:t>
      </w:r>
      <w:r w:rsidR="003A0A49">
        <w:rPr>
          <w:lang w:val="en-US"/>
        </w:rPr>
        <w:t xml:space="preserve"> exit boxes of the</w:t>
      </w:r>
      <w:r>
        <w:rPr>
          <w:lang w:val="en-US"/>
        </w:rPr>
        <w:t xml:space="preserve"> flow charts for organic peroxides and self-reactives, could be added as a separate paragraph or notes.</w:t>
      </w:r>
    </w:p>
    <w:p w:rsidR="0019759D" w:rsidRDefault="0019759D" w:rsidP="0019759D">
      <w:pPr>
        <w:pStyle w:val="SingleTxtG"/>
      </w:pPr>
      <w:r>
        <w:t>9.</w:t>
      </w:r>
      <w:r>
        <w:tab/>
        <w:t xml:space="preserve">In </w:t>
      </w:r>
      <w:r w:rsidR="004753F4">
        <w:t>informal document</w:t>
      </w:r>
      <w:r w:rsidR="003E3B22">
        <w:t>s</w:t>
      </w:r>
      <w:r w:rsidR="004753F4">
        <w:t xml:space="preserve"> </w:t>
      </w:r>
      <w:r>
        <w:t xml:space="preserve">INF.8 </w:t>
      </w:r>
      <w:r w:rsidR="004753F4">
        <w:t>(45</w:t>
      </w:r>
      <w:r w:rsidR="004753F4" w:rsidRPr="004753F4">
        <w:rPr>
          <w:vertAlign w:val="superscript"/>
        </w:rPr>
        <w:t>th</w:t>
      </w:r>
      <w:r w:rsidR="004753F4">
        <w:t xml:space="preserve"> session), </w:t>
      </w:r>
      <w:r>
        <w:t xml:space="preserve">INF.5 </w:t>
      </w:r>
      <w:r w:rsidR="004753F4">
        <w:t>(27</w:t>
      </w:r>
      <w:r w:rsidR="004753F4" w:rsidRPr="004753F4">
        <w:rPr>
          <w:vertAlign w:val="superscript"/>
        </w:rPr>
        <w:t>th</w:t>
      </w:r>
      <w:r w:rsidR="004753F4">
        <w:t xml:space="preserve"> session) </w:t>
      </w:r>
      <w:r>
        <w:t>the secretariat proposed text to be added to paragraph 10.4.1.1 addressing how to deal with different physical states and when additional testing is required.</w:t>
      </w:r>
    </w:p>
    <w:p w:rsidR="00767A28" w:rsidRPr="00275A85" w:rsidRDefault="0019759D" w:rsidP="0019759D">
      <w:pPr>
        <w:pStyle w:val="SingleTxtG"/>
      </w:pPr>
      <w:r>
        <w:t>This is an excellent phrase, but can perhaps be transferred to the more general part of the Manual as a new 1.5.3 (and renumber the existing 1.5.3and 1.5.4). This would read: “</w:t>
      </w:r>
      <w:r w:rsidRPr="0019759D">
        <w:rPr>
          <w:i/>
        </w:rPr>
        <w:t>If, for example</w:t>
      </w:r>
      <w:r w:rsidR="00B0557D">
        <w:rPr>
          <w:i/>
        </w:rPr>
        <w:t>,</w:t>
      </w:r>
      <w:r w:rsidRPr="0019759D">
        <w:rPr>
          <w:i/>
        </w:rPr>
        <w:t xml:space="preserve"> for the purposes of supply or transport, the same substance or mixture is to be presented in a physical form different from that which was tested and which is considered likely to materially alter its performance in a classification test, the substance or mixture must also be tested in the new form</w:t>
      </w:r>
      <w:r>
        <w:t>.”</w:t>
      </w:r>
    </w:p>
    <w:p w:rsidR="00767A28" w:rsidRDefault="0019759D" w:rsidP="00DF7957">
      <w:pPr>
        <w:pStyle w:val="SingleTxtG"/>
      </w:pPr>
      <w:r>
        <w:t>10</w:t>
      </w:r>
      <w:r w:rsidR="00EC54BC">
        <w:t>.</w:t>
      </w:r>
      <w:r w:rsidR="00EC54BC">
        <w:tab/>
        <w:t>In Part III the criteria and e</w:t>
      </w:r>
      <w:r>
        <w:t xml:space="preserve">xamples of results of several </w:t>
      </w:r>
      <w:r w:rsidR="003A0A49">
        <w:t>Cha</w:t>
      </w:r>
      <w:r w:rsidR="00210437">
        <w:t>p</w:t>
      </w:r>
      <w:r w:rsidR="003A0A49">
        <w:t>ters</w:t>
      </w:r>
      <w:r>
        <w:t xml:space="preserve"> currently include the term Packing Group. This is of course only applicable to transport, GHS uses the term Category. Again for the purposes of readability the better solution might be to make clear</w:t>
      </w:r>
      <w:r w:rsidR="00210437">
        <w:t>, in a general statement,</w:t>
      </w:r>
      <w:r>
        <w:t xml:space="preserve"> that the term “Category’ refers to GHS and the term </w:t>
      </w:r>
      <w:r w:rsidR="00210437">
        <w:t>‘</w:t>
      </w:r>
      <w:r>
        <w:t>Packing Group</w:t>
      </w:r>
      <w:r w:rsidR="00210437">
        <w:t>’</w:t>
      </w:r>
      <w:r>
        <w:t xml:space="preserve"> (or </w:t>
      </w:r>
      <w:r w:rsidR="00210437">
        <w:t>‘</w:t>
      </w:r>
      <w:r>
        <w:t>PG</w:t>
      </w:r>
      <w:r w:rsidR="00210437">
        <w:t>’</w:t>
      </w:r>
      <w:r>
        <w:t xml:space="preserve">) refers to transport. </w:t>
      </w:r>
      <w:r w:rsidR="00DF7957">
        <w:t xml:space="preserve">See for instance the proposed text in paragraph 33.3.1.5.4 and </w:t>
      </w:r>
      <w:r w:rsidR="00DF7957" w:rsidRPr="00DF7957">
        <w:t>33.3.1.5.5</w:t>
      </w:r>
      <w:r w:rsidR="00DF7957">
        <w:t xml:space="preserve"> in </w:t>
      </w:r>
      <w:r w:rsidR="00F74545">
        <w:t xml:space="preserve">informal documents </w:t>
      </w:r>
      <w:r w:rsidR="00DF7957" w:rsidRPr="00DF7957">
        <w:t>INF.8</w:t>
      </w:r>
      <w:r w:rsidR="00F74545">
        <w:t>/Add.4 (45</w:t>
      </w:r>
      <w:r w:rsidR="00F74545" w:rsidRPr="00F74545">
        <w:rPr>
          <w:vertAlign w:val="superscript"/>
        </w:rPr>
        <w:t>th</w:t>
      </w:r>
      <w:r w:rsidR="00F74545">
        <w:t xml:space="preserve"> session) and </w:t>
      </w:r>
      <w:r w:rsidR="00DF7957" w:rsidRPr="00DF7957">
        <w:t>INF.5</w:t>
      </w:r>
      <w:r w:rsidR="00DF7957">
        <w:t>/Add.4</w:t>
      </w:r>
      <w:r w:rsidR="00F74545">
        <w:t xml:space="preserve"> (27</w:t>
      </w:r>
      <w:r w:rsidR="00F74545" w:rsidRPr="00F74545">
        <w:rPr>
          <w:vertAlign w:val="superscript"/>
        </w:rPr>
        <w:t>th</w:t>
      </w:r>
      <w:r w:rsidR="00F74545">
        <w:t xml:space="preserve"> session)</w:t>
      </w:r>
      <w:r w:rsidR="00DF7957">
        <w:t>.</w:t>
      </w:r>
    </w:p>
    <w:p w:rsidR="00DF7957" w:rsidRDefault="00DF7957" w:rsidP="00DF7957">
      <w:pPr>
        <w:pStyle w:val="SingleTxtG"/>
      </w:pPr>
      <w:r>
        <w:t>That text would then read: “</w:t>
      </w:r>
      <w:r w:rsidRPr="00DF7957">
        <w:rPr>
          <w:i/>
        </w:rPr>
        <w:t>…to be pyrophoric and should be classified in Category 1</w:t>
      </w:r>
      <w:r>
        <w:rPr>
          <w:i/>
        </w:rPr>
        <w:t xml:space="preserve"> </w:t>
      </w:r>
      <w:r w:rsidRPr="00DF7957">
        <w:rPr>
          <w:i/>
        </w:rPr>
        <w:t>/ PG</w:t>
      </w:r>
      <w:r>
        <w:rPr>
          <w:i/>
        </w:rPr>
        <w:t> </w:t>
      </w:r>
      <w:r w:rsidRPr="00DF7957">
        <w:rPr>
          <w:i/>
        </w:rPr>
        <w:t>I.</w:t>
      </w:r>
      <w:r>
        <w:t>”</w:t>
      </w:r>
    </w:p>
    <w:p w:rsidR="003A0A49" w:rsidRPr="003A0A49" w:rsidRDefault="003A0A49" w:rsidP="003A0A49">
      <w:pPr>
        <w:pStyle w:val="SingleTxtG"/>
        <w:rPr>
          <w:b/>
          <w:sz w:val="28"/>
          <w:szCs w:val="28"/>
        </w:rPr>
      </w:pPr>
      <w:r>
        <w:rPr>
          <w:b/>
          <w:sz w:val="28"/>
          <w:szCs w:val="28"/>
        </w:rPr>
        <w:t>Proposal</w:t>
      </w:r>
    </w:p>
    <w:p w:rsidR="003A0A49" w:rsidRDefault="003A0A49" w:rsidP="00DF7957">
      <w:pPr>
        <w:pStyle w:val="SingleTxtG"/>
      </w:pPr>
      <w:r>
        <w:t>11.</w:t>
      </w:r>
      <w:r>
        <w:tab/>
      </w:r>
      <w:r w:rsidR="00210437">
        <w:t>It is proposed to discuss this document and decide on the</w:t>
      </w:r>
      <w:r w:rsidR="00EC54BC">
        <w:t xml:space="preserve"> issues outlined above in both sub-committees and in the W</w:t>
      </w:r>
      <w:r w:rsidR="00210437">
        <w:t xml:space="preserve">orking </w:t>
      </w:r>
      <w:r w:rsidR="00EC54BC">
        <w:t>G</w:t>
      </w:r>
      <w:r w:rsidR="00210437">
        <w:t xml:space="preserve">roup on </w:t>
      </w:r>
      <w:r w:rsidR="00EC54BC">
        <w:t>E</w:t>
      </w:r>
      <w:r w:rsidR="00210437">
        <w:t>xplosives.</w:t>
      </w:r>
    </w:p>
    <w:p w:rsidR="004B41B3" w:rsidRDefault="004B41B3" w:rsidP="004B41B3">
      <w:pPr>
        <w:spacing w:before="240"/>
        <w:ind w:left="1134" w:right="1134"/>
        <w:jc w:val="center"/>
        <w:rPr>
          <w:u w:val="single"/>
        </w:rPr>
      </w:pPr>
      <w:r>
        <w:rPr>
          <w:u w:val="single"/>
        </w:rPr>
        <w:tab/>
      </w:r>
      <w:r>
        <w:rPr>
          <w:u w:val="single"/>
        </w:rPr>
        <w:tab/>
      </w:r>
      <w:r>
        <w:rPr>
          <w:u w:val="single"/>
        </w:rPr>
        <w:tab/>
      </w:r>
    </w:p>
    <w:sectPr w:rsidR="004B41B3" w:rsidSect="00B32E7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A965E0">
      <w:rPr>
        <w:b/>
        <w:noProof/>
        <w:sz w:val="18"/>
      </w:rPr>
      <w:t>2</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A965E0">
      <w:rPr>
        <w:b/>
        <w:noProof/>
        <w:sz w:val="18"/>
      </w:rPr>
      <w:t>3</w:t>
    </w:r>
    <w:r w:rsidRPr="00B32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C42903">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C9">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4968C9" w:rsidRPr="004C603B" w:rsidRDefault="004968C9">
      <w:pPr>
        <w:pStyle w:val="FootnoteText"/>
        <w:rPr>
          <w:lang w:val="fr-CH"/>
        </w:rPr>
      </w:pPr>
      <w:r>
        <w:tab/>
      </w:r>
      <w:r>
        <w:rPr>
          <w:rStyle w:val="FootnoteReference"/>
        </w:rPr>
        <w:footnoteRef/>
      </w:r>
      <w:r>
        <w:t xml:space="preserve"> </w:t>
      </w:r>
      <w:r>
        <w:tab/>
      </w:r>
      <w:r w:rsidRPr="00133543">
        <w:rPr>
          <w:rStyle w:val="FootnoteTextChar"/>
        </w:rPr>
        <w:t>In accordance with the programme of work of the Sub-Committee for 2015–2016 approved by the Committee at its seventh session (see ST/SG/AC.10/C.3/92, paragra</w:t>
      </w:r>
      <w:r>
        <w:rPr>
          <w:rStyle w:val="FootnoteTextChar"/>
        </w:rPr>
        <w:t>ph 95 and ST/SG/AC.10/42, para. </w:t>
      </w:r>
      <w:r w:rsidRPr="00133543">
        <w:rPr>
          <w:rStyle w:val="FootnoteTextChar"/>
        </w:rPr>
        <w:t>15</w:t>
      </w:r>
      <w:r>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pPr>
      <w:pStyle w:val="Header"/>
    </w:pPr>
    <w:r>
      <w:t>ST/SG/AC.10/C.3/2015/</w:t>
    </w:r>
    <w:r w:rsidR="000D4D3B">
      <w:t>50</w:t>
    </w:r>
    <w:r w:rsidR="000D4D3B">
      <w:br/>
      <w:t>ST/SG/AC.10/C.4/2015/10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Header"/>
      <w:jc w:val="right"/>
    </w:pPr>
    <w:r>
      <w:t>ST/SG/AC.10/C.3/2015/</w:t>
    </w:r>
    <w:r w:rsidR="004753F4">
      <w:t>50</w:t>
    </w:r>
    <w:r w:rsidR="004753F4">
      <w:br/>
      <w:t>ST/SG/AC.10/C.4/2015/10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8"/>
  </w:num>
  <w:num w:numId="15">
    <w:abstractNumId w:val="19"/>
  </w:num>
  <w:num w:numId="16">
    <w:abstractNumId w:val="11"/>
  </w:num>
  <w:num w:numId="17">
    <w:abstractNumId w:val="13"/>
  </w:num>
  <w:num w:numId="18">
    <w:abstractNumId w:val="16"/>
  </w:num>
  <w:num w:numId="19">
    <w:abstractNumId w:val="15"/>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504CE"/>
    <w:rsid w:val="00050F6B"/>
    <w:rsid w:val="00072C8C"/>
    <w:rsid w:val="00091419"/>
    <w:rsid w:val="000931C0"/>
    <w:rsid w:val="000B175B"/>
    <w:rsid w:val="000B3A0F"/>
    <w:rsid w:val="000D4D3B"/>
    <w:rsid w:val="000E0415"/>
    <w:rsid w:val="00117787"/>
    <w:rsid w:val="00131D42"/>
    <w:rsid w:val="001633FB"/>
    <w:rsid w:val="00164A94"/>
    <w:rsid w:val="00167786"/>
    <w:rsid w:val="0019759D"/>
    <w:rsid w:val="001B4B04"/>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E0EA9"/>
    <w:rsid w:val="002E491A"/>
    <w:rsid w:val="00301B26"/>
    <w:rsid w:val="003107FA"/>
    <w:rsid w:val="00313B12"/>
    <w:rsid w:val="003229D8"/>
    <w:rsid w:val="0037055C"/>
    <w:rsid w:val="0039277A"/>
    <w:rsid w:val="003972E0"/>
    <w:rsid w:val="003A0A49"/>
    <w:rsid w:val="003C2CC4"/>
    <w:rsid w:val="003D4B23"/>
    <w:rsid w:val="003E3B22"/>
    <w:rsid w:val="004325CB"/>
    <w:rsid w:val="00437F3F"/>
    <w:rsid w:val="00446DE4"/>
    <w:rsid w:val="00454036"/>
    <w:rsid w:val="00466784"/>
    <w:rsid w:val="004753F4"/>
    <w:rsid w:val="004968C9"/>
    <w:rsid w:val="004B2C9D"/>
    <w:rsid w:val="004B3ED4"/>
    <w:rsid w:val="004B41B3"/>
    <w:rsid w:val="004C603B"/>
    <w:rsid w:val="00527910"/>
    <w:rsid w:val="005420F2"/>
    <w:rsid w:val="00590144"/>
    <w:rsid w:val="005B3DB3"/>
    <w:rsid w:val="005C1CFB"/>
    <w:rsid w:val="005D3F9E"/>
    <w:rsid w:val="00611FC4"/>
    <w:rsid w:val="006176FB"/>
    <w:rsid w:val="0063419C"/>
    <w:rsid w:val="00640B26"/>
    <w:rsid w:val="006500BA"/>
    <w:rsid w:val="00684EED"/>
    <w:rsid w:val="006A7392"/>
    <w:rsid w:val="006C0D34"/>
    <w:rsid w:val="006E564B"/>
    <w:rsid w:val="0072632A"/>
    <w:rsid w:val="00767A28"/>
    <w:rsid w:val="00790791"/>
    <w:rsid w:val="007B1A7E"/>
    <w:rsid w:val="007B6BA5"/>
    <w:rsid w:val="007C3390"/>
    <w:rsid w:val="007C4F4B"/>
    <w:rsid w:val="007D08FA"/>
    <w:rsid w:val="007F6611"/>
    <w:rsid w:val="008175E9"/>
    <w:rsid w:val="008242D7"/>
    <w:rsid w:val="00871FD5"/>
    <w:rsid w:val="008979B1"/>
    <w:rsid w:val="008A6B25"/>
    <w:rsid w:val="008A6C4F"/>
    <w:rsid w:val="008E0E46"/>
    <w:rsid w:val="0091455B"/>
    <w:rsid w:val="009428DE"/>
    <w:rsid w:val="00945A5D"/>
    <w:rsid w:val="00963CBA"/>
    <w:rsid w:val="00987AC2"/>
    <w:rsid w:val="0099124E"/>
    <w:rsid w:val="00991261"/>
    <w:rsid w:val="009D1AAE"/>
    <w:rsid w:val="009F0F06"/>
    <w:rsid w:val="00A1427D"/>
    <w:rsid w:val="00A226AB"/>
    <w:rsid w:val="00A3312C"/>
    <w:rsid w:val="00A72F22"/>
    <w:rsid w:val="00A748A6"/>
    <w:rsid w:val="00A75EC9"/>
    <w:rsid w:val="00A8523D"/>
    <w:rsid w:val="00A879A4"/>
    <w:rsid w:val="00A90FBD"/>
    <w:rsid w:val="00A9473C"/>
    <w:rsid w:val="00A965E0"/>
    <w:rsid w:val="00AC3E21"/>
    <w:rsid w:val="00AD7635"/>
    <w:rsid w:val="00B01BAA"/>
    <w:rsid w:val="00B0557D"/>
    <w:rsid w:val="00B30179"/>
    <w:rsid w:val="00B32E71"/>
    <w:rsid w:val="00B3317B"/>
    <w:rsid w:val="00B575C2"/>
    <w:rsid w:val="00B81E12"/>
    <w:rsid w:val="00B86535"/>
    <w:rsid w:val="00B93068"/>
    <w:rsid w:val="00BC74E9"/>
    <w:rsid w:val="00BE618E"/>
    <w:rsid w:val="00C42903"/>
    <w:rsid w:val="00C463DD"/>
    <w:rsid w:val="00C62F76"/>
    <w:rsid w:val="00C70CA4"/>
    <w:rsid w:val="00C745C3"/>
    <w:rsid w:val="00CD3225"/>
    <w:rsid w:val="00CE46BA"/>
    <w:rsid w:val="00CE4A8F"/>
    <w:rsid w:val="00D2031B"/>
    <w:rsid w:val="00D25FE2"/>
    <w:rsid w:val="00D41A41"/>
    <w:rsid w:val="00D43252"/>
    <w:rsid w:val="00D46231"/>
    <w:rsid w:val="00D753D8"/>
    <w:rsid w:val="00D96CC5"/>
    <w:rsid w:val="00D978C6"/>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34"/>
    <w:qFormat/>
    <w:rsid w:val="00767A28"/>
    <w:pPr>
      <w:suppressAutoHyphens w:val="0"/>
      <w:ind w:left="720"/>
      <w:contextualSpacing/>
    </w:pPr>
    <w:rPr>
      <w:rFonts w:ascii="Arial" w:eastAsia="Calibri" w:hAnsi="Arial" w:cs="Ari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46C2-968D-4D0E-90F5-47CDD987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1210</Words>
  <Characters>6901</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2015-09-08T08:28:00Z</cp:lastPrinted>
  <dcterms:created xsi:type="dcterms:W3CDTF">2015-09-08T08:30:00Z</dcterms:created>
  <dcterms:modified xsi:type="dcterms:W3CDTF">2015-09-08T08:30:00Z</dcterms:modified>
</cp:coreProperties>
</file>