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580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:rsidTr="00D0494A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B71EE4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834A74">
              <w:rPr>
                <w:b/>
                <w:sz w:val="18"/>
                <w:szCs w:val="24"/>
              </w:rPr>
              <w:t>20</w:t>
            </w:r>
            <w:r w:rsidR="00EF3923">
              <w:rPr>
                <w:b/>
                <w:sz w:val="18"/>
                <w:szCs w:val="24"/>
              </w:rPr>
              <w:t xml:space="preserve"> </w:t>
            </w:r>
            <w:r w:rsidR="00D32A92">
              <w:rPr>
                <w:b/>
                <w:sz w:val="18"/>
                <w:szCs w:val="24"/>
              </w:rPr>
              <w:t>November</w:t>
            </w:r>
            <w:r w:rsidR="00EF3923">
              <w:rPr>
                <w:b/>
                <w:sz w:val="18"/>
                <w:szCs w:val="24"/>
              </w:rPr>
              <w:t xml:space="preserve"> </w:t>
            </w:r>
            <w:r w:rsidR="00450B3A">
              <w:rPr>
                <w:b/>
                <w:sz w:val="18"/>
                <w:szCs w:val="24"/>
              </w:rPr>
              <w:t>2015</w:t>
            </w:r>
          </w:p>
        </w:tc>
      </w:tr>
      <w:tr w:rsidR="00280D2B" w:rsidRPr="0045083B" w:rsidTr="00D0494A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D0494A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450B3A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 w:rsidR="00450B3A">
              <w:rPr>
                <w:b/>
              </w:rPr>
              <w:t>eight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D0494A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F54DDA" w:rsidRDefault="00280D2B" w:rsidP="00F54DDA">
            <w:pPr>
              <w:spacing w:before="120"/>
              <w:ind w:left="34" w:hanging="34"/>
            </w:pPr>
            <w:r w:rsidRPr="00F54DDA">
              <w:t xml:space="preserve">Geneva, </w:t>
            </w:r>
            <w:r w:rsidR="00450B3A">
              <w:t>30 November</w:t>
            </w:r>
            <w:r w:rsidRPr="00F54DDA">
              <w:t xml:space="preserve"> – </w:t>
            </w:r>
            <w:r w:rsidR="00450B3A">
              <w:t>9 December</w:t>
            </w:r>
            <w:r w:rsidRPr="00F54DDA">
              <w:t xml:space="preserve"> 2015</w:t>
            </w:r>
          </w:p>
          <w:p w:rsidR="00D32A92" w:rsidRPr="00D32A92" w:rsidRDefault="00D32A92" w:rsidP="00D32A92">
            <w:pPr>
              <w:pStyle w:val="Default"/>
              <w:rPr>
                <w:sz w:val="20"/>
                <w:szCs w:val="20"/>
                <w:lang w:val="en-US"/>
              </w:rPr>
            </w:pPr>
            <w:r w:rsidRPr="00D32A92">
              <w:rPr>
                <w:sz w:val="20"/>
                <w:szCs w:val="20"/>
                <w:lang w:val="en-US"/>
              </w:rPr>
              <w:t xml:space="preserve">Item 2 (i) of the provisional agenda </w:t>
            </w:r>
          </w:p>
          <w:p w:rsidR="005149A9" w:rsidRPr="00280D2B" w:rsidRDefault="00D32A92" w:rsidP="00D32A92">
            <w:pPr>
              <w:ind w:left="34" w:hanging="34"/>
              <w:rPr>
                <w:b/>
              </w:rPr>
            </w:pPr>
            <w:r>
              <w:rPr>
                <w:b/>
                <w:bCs/>
              </w:rPr>
              <w:t>Explosives and related matters: miscellaneous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tbl>
      <w:tblPr>
        <w:tblpPr w:leftFromText="142" w:rightFromText="142" w:vertAnchor="page" w:horzAnchor="margin" w:tblpXSpec="center" w:tblpY="796"/>
        <w:tblOverlap w:val="never"/>
        <w:tblW w:w="9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1"/>
      </w:tblGrid>
      <w:tr w:rsidR="00D0494A" w:rsidRPr="005A1F2E" w:rsidTr="00D6361A">
        <w:trPr>
          <w:cantSplit/>
          <w:trHeight w:hRule="exact" w:val="851"/>
        </w:trPr>
        <w:tc>
          <w:tcPr>
            <w:tcW w:w="97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0494A" w:rsidRPr="005A1F2E" w:rsidRDefault="00D0494A" w:rsidP="00834A74">
            <w:pPr>
              <w:spacing w:after="240"/>
              <w:ind w:left="-426"/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UN/SCETDG/48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834A74">
              <w:rPr>
                <w:b/>
                <w:sz w:val="40"/>
                <w:szCs w:val="40"/>
              </w:rPr>
              <w:t>25</w:t>
            </w:r>
          </w:p>
        </w:tc>
      </w:tr>
    </w:tbl>
    <w:p w:rsidR="00D32A92" w:rsidRDefault="00D32A92" w:rsidP="00D32A92">
      <w:pPr>
        <w:pStyle w:val="HChG"/>
        <w:ind w:left="0" w:firstLine="0"/>
        <w:rPr>
          <w:b w:val="0"/>
          <w:szCs w:val="28"/>
          <w:lang w:val="en-US"/>
        </w:rPr>
      </w:pPr>
      <w:r>
        <w:tab/>
      </w:r>
      <w:r w:rsidRPr="00D32A92">
        <w:t>Comments</w:t>
      </w:r>
      <w:r w:rsidRPr="00F13FC4">
        <w:rPr>
          <w:szCs w:val="28"/>
          <w:lang w:val="en-US"/>
        </w:rPr>
        <w:t xml:space="preserve"> on document ST/SG/AC.10/C.3/2015/47</w:t>
      </w:r>
      <w:r>
        <w:rPr>
          <w:szCs w:val="28"/>
          <w:lang w:val="en-US"/>
        </w:rPr>
        <w:t xml:space="preserve"> </w:t>
      </w:r>
      <w:r w:rsidRPr="00F13FC4">
        <w:rPr>
          <w:szCs w:val="28"/>
          <w:lang w:val="en-US"/>
        </w:rPr>
        <w:t xml:space="preserve">Explosives excluded from the high consequence dangerous goods list in Chapter 1.4 </w:t>
      </w:r>
    </w:p>
    <w:p w:rsidR="00D32A92" w:rsidRPr="00D32A92" w:rsidRDefault="00D32A92" w:rsidP="00D32A92">
      <w:pPr>
        <w:pStyle w:val="H1G"/>
      </w:pPr>
      <w:r>
        <w:tab/>
      </w:r>
      <w:r w:rsidRPr="002003B7">
        <w:t>Transmitted</w:t>
      </w:r>
      <w:r>
        <w:t xml:space="preserve"> </w:t>
      </w:r>
      <w:r w:rsidRPr="00D32A92">
        <w:t>by the expert from Sweden</w:t>
      </w:r>
    </w:p>
    <w:p w:rsidR="00D32A92" w:rsidRPr="00D32A92" w:rsidRDefault="00D32A92" w:rsidP="00D32A92">
      <w:pPr>
        <w:pStyle w:val="HChG"/>
      </w:pPr>
      <w:r w:rsidRPr="00D32A92">
        <w:t xml:space="preserve">Introduction </w:t>
      </w:r>
    </w:p>
    <w:p w:rsidR="00C82B06" w:rsidRDefault="007A6CFA" w:rsidP="00D6100D">
      <w:pPr>
        <w:pStyle w:val="SingleTxtG"/>
        <w:ind w:left="0"/>
      </w:pPr>
      <w:r>
        <w:t>1.</w:t>
      </w:r>
      <w:r>
        <w:tab/>
      </w:r>
      <w:r w:rsidR="00D32A92" w:rsidRPr="00D32A92">
        <w:t xml:space="preserve">At the </w:t>
      </w:r>
      <w:r w:rsidR="00D6100D">
        <w:t>forty-seventh</w:t>
      </w:r>
      <w:r w:rsidR="00D32A92">
        <w:t xml:space="preserve"> </w:t>
      </w:r>
      <w:r w:rsidR="00D32A92" w:rsidRPr="00F13FC4">
        <w:t>session</w:t>
      </w:r>
      <w:r w:rsidR="00D32A92">
        <w:t>,</w:t>
      </w:r>
      <w:r w:rsidR="00D32A92" w:rsidRPr="00F13FC4">
        <w:t xml:space="preserve"> Sweden proposed in </w:t>
      </w:r>
      <w:r w:rsidR="00D6100D">
        <w:t xml:space="preserve">informal document </w:t>
      </w:r>
      <w:r w:rsidR="00D0494A" w:rsidRPr="00D0494A">
        <w:t xml:space="preserve">INF.38 </w:t>
      </w:r>
      <w:r w:rsidR="00D6100D">
        <w:t>(47</w:t>
      </w:r>
      <w:r w:rsidR="00D6100D" w:rsidRPr="00D6100D">
        <w:rPr>
          <w:vertAlign w:val="superscript"/>
        </w:rPr>
        <w:t>th</w:t>
      </w:r>
      <w:r w:rsidR="00D6100D">
        <w:t xml:space="preserve"> session) </w:t>
      </w:r>
      <w:r w:rsidR="00D32A92" w:rsidRPr="00F13FC4">
        <w:t xml:space="preserve">to </w:t>
      </w:r>
      <w:r w:rsidR="00D32A92" w:rsidRPr="00A464BD">
        <w:t>include</w:t>
      </w:r>
      <w:r w:rsidR="00D32A92" w:rsidRPr="00F13FC4">
        <w:t xml:space="preserve"> further explosives in the indicative list of high consequence dangerous goods in Chapter 1.4 of the UN Recommendations. The reason</w:t>
      </w:r>
      <w:r w:rsidR="00D0494A">
        <w:t>ing behind the proposal</w:t>
      </w:r>
      <w:r w:rsidR="00D32A92" w:rsidRPr="00F13FC4">
        <w:t xml:space="preserve"> was that </w:t>
      </w:r>
      <w:r w:rsidR="00D32A92">
        <w:t xml:space="preserve">some explosives in the list may be </w:t>
      </w:r>
      <w:r w:rsidR="00D32A92" w:rsidRPr="00A464BD">
        <w:t>excluded</w:t>
      </w:r>
      <w:r w:rsidR="00D32A92">
        <w:t xml:space="preserve"> from the </w:t>
      </w:r>
      <w:r w:rsidR="00A464BD">
        <w:t xml:space="preserve">current </w:t>
      </w:r>
      <w:r w:rsidR="00D0494A">
        <w:t>security provisions</w:t>
      </w:r>
      <w:r w:rsidR="00D32A92">
        <w:t xml:space="preserve"> </w:t>
      </w:r>
      <w:r w:rsidR="00D0494A">
        <w:t>when packaged differently,</w:t>
      </w:r>
      <w:r w:rsidR="00D32A92">
        <w:t xml:space="preserve"> </w:t>
      </w:r>
      <w:r w:rsidR="005C7C53">
        <w:t xml:space="preserve">since </w:t>
      </w:r>
      <w:r w:rsidR="00D0494A">
        <w:t xml:space="preserve">packing measures </w:t>
      </w:r>
      <w:r w:rsidR="008F56E4">
        <w:t>might</w:t>
      </w:r>
      <w:r w:rsidR="00A464BD">
        <w:t xml:space="preserve"> </w:t>
      </w:r>
      <w:r w:rsidR="00D0494A">
        <w:t>result in a</w:t>
      </w:r>
      <w:r w:rsidR="00D32A92">
        <w:t xml:space="preserve"> </w:t>
      </w:r>
      <w:r w:rsidR="00D32A92" w:rsidRPr="00F13FC4">
        <w:t xml:space="preserve">less stringent classification </w:t>
      </w:r>
      <w:r w:rsidR="00D32A92">
        <w:t xml:space="preserve">for the concerned explosives. </w:t>
      </w:r>
    </w:p>
    <w:p w:rsidR="00CA27C0" w:rsidRDefault="00D6100D" w:rsidP="00D6100D">
      <w:pPr>
        <w:pStyle w:val="SingleTxtG"/>
        <w:ind w:left="0"/>
      </w:pPr>
      <w:r>
        <w:t>2.</w:t>
      </w:r>
      <w:r>
        <w:tab/>
      </w:r>
      <w:r w:rsidR="00D32A92" w:rsidRPr="00F13FC4">
        <w:t>Italy raised a similar issue at the 45</w:t>
      </w:r>
      <w:r w:rsidR="00D32A92" w:rsidRPr="0044761C">
        <w:rPr>
          <w:vertAlign w:val="superscript"/>
        </w:rPr>
        <w:t>th</w:t>
      </w:r>
      <w:r w:rsidR="00D32A92" w:rsidRPr="00F13FC4">
        <w:t xml:space="preserve"> and 47</w:t>
      </w:r>
      <w:r w:rsidR="00D32A92" w:rsidRPr="0044761C">
        <w:rPr>
          <w:vertAlign w:val="superscript"/>
        </w:rPr>
        <w:t xml:space="preserve">th </w:t>
      </w:r>
      <w:r w:rsidR="00D32A92" w:rsidRPr="00F13FC4">
        <w:t>session</w:t>
      </w:r>
      <w:r w:rsidR="005C7C53">
        <w:t>s</w:t>
      </w:r>
      <w:r w:rsidR="00D32A92" w:rsidRPr="00F13FC4">
        <w:t xml:space="preserve"> in documents </w:t>
      </w:r>
      <w:r w:rsidR="00CA27C0" w:rsidRPr="00CA27C0">
        <w:t>ST/SG/AC.10/C.3/</w:t>
      </w:r>
      <w:r w:rsidR="00D32A92" w:rsidRPr="00F13FC4">
        <w:t xml:space="preserve">2014/86 and </w:t>
      </w:r>
      <w:r>
        <w:t xml:space="preserve">informal document </w:t>
      </w:r>
      <w:r w:rsidR="00D32A92" w:rsidRPr="00F13FC4">
        <w:t>INF.47</w:t>
      </w:r>
      <w:r>
        <w:t xml:space="preserve"> (47</w:t>
      </w:r>
      <w:r w:rsidRPr="00D6100D">
        <w:rPr>
          <w:vertAlign w:val="superscript"/>
        </w:rPr>
        <w:t>th</w:t>
      </w:r>
      <w:r>
        <w:t xml:space="preserve"> session)</w:t>
      </w:r>
      <w:r w:rsidR="00D32A92" w:rsidRPr="00F13FC4">
        <w:t xml:space="preserve">. </w:t>
      </w:r>
      <w:r w:rsidR="00CA27C0">
        <w:t>The same</w:t>
      </w:r>
      <w:r w:rsidR="00D0494A">
        <w:t xml:space="preserve"> problem has also been high-lighted </w:t>
      </w:r>
      <w:r w:rsidR="00CA27C0">
        <w:t xml:space="preserve">earlier by the United Kingdom in document </w:t>
      </w:r>
      <w:r w:rsidR="00CA27C0" w:rsidRPr="00CA27C0">
        <w:t>ST/SG/AC.10/C.3/</w:t>
      </w:r>
      <w:r w:rsidR="00CA27C0">
        <w:t xml:space="preserve">2005/39, where a number of explosives </w:t>
      </w:r>
      <w:r w:rsidR="00630F0E">
        <w:t xml:space="preserve">classified </w:t>
      </w:r>
      <w:r w:rsidR="00CA27C0">
        <w:t xml:space="preserve">in Division 1.4 </w:t>
      </w:r>
      <w:r w:rsidR="00C82B06">
        <w:t>were</w:t>
      </w:r>
      <w:r w:rsidR="00CA27C0">
        <w:t xml:space="preserve"> added to the list in Chapter 1.4.</w:t>
      </w:r>
    </w:p>
    <w:p w:rsidR="00D32A92" w:rsidRPr="00D32A92" w:rsidRDefault="00D32A92" w:rsidP="00CA27C0">
      <w:pPr>
        <w:pStyle w:val="HChG"/>
      </w:pPr>
      <w:r w:rsidRPr="00D32A92">
        <w:t>Discussion</w:t>
      </w:r>
    </w:p>
    <w:p w:rsidR="00C82B06" w:rsidRDefault="00D6100D" w:rsidP="00D6100D">
      <w:pPr>
        <w:pStyle w:val="SingleTxtG"/>
        <w:ind w:left="0"/>
      </w:pPr>
      <w:r>
        <w:t>3.</w:t>
      </w:r>
      <w:r>
        <w:tab/>
      </w:r>
      <w:r w:rsidR="00C82B06">
        <w:t xml:space="preserve">For </w:t>
      </w:r>
      <w:r>
        <w:t>the forty-eighth</w:t>
      </w:r>
      <w:r w:rsidR="00411A16">
        <w:t xml:space="preserve"> </w:t>
      </w:r>
      <w:r w:rsidR="00C82B06" w:rsidRPr="00F13FC4">
        <w:t>session</w:t>
      </w:r>
      <w:r w:rsidR="00C82B06">
        <w:t>,</w:t>
      </w:r>
      <w:r w:rsidR="00C82B06" w:rsidRPr="00F13FC4">
        <w:t xml:space="preserve"> the </w:t>
      </w:r>
      <w:r w:rsidR="00C82B06">
        <w:t xml:space="preserve">expert from the </w:t>
      </w:r>
      <w:r w:rsidR="00C82B06" w:rsidRPr="00F13FC4">
        <w:t xml:space="preserve">United Kingdom has submitted </w:t>
      </w:r>
      <w:r w:rsidR="00C82B06">
        <w:t xml:space="preserve">document </w:t>
      </w:r>
      <w:r w:rsidR="00C82B06" w:rsidRPr="00CA27C0">
        <w:t>ST/SG/AC.10/C.3/</w:t>
      </w:r>
      <w:r w:rsidR="00C82B06">
        <w:t xml:space="preserve">2015/47 </w:t>
      </w:r>
      <w:r w:rsidR="00411A16">
        <w:t>concerning all</w:t>
      </w:r>
      <w:r w:rsidR="00C82B06">
        <w:t xml:space="preserve"> </w:t>
      </w:r>
      <w:proofErr w:type="spellStart"/>
      <w:r w:rsidR="00C82B06" w:rsidRPr="00F13FC4">
        <w:t>n.o.s</w:t>
      </w:r>
      <w:proofErr w:type="spellEnd"/>
      <w:r w:rsidR="00C82B06" w:rsidRPr="00F13FC4">
        <w:t xml:space="preserve">. entries </w:t>
      </w:r>
      <w:r w:rsidR="00C82B06">
        <w:t>in Division 1.4</w:t>
      </w:r>
      <w:r w:rsidR="00411A16" w:rsidRPr="00D66E38">
        <w:t>. Based on the same concerns regarding re-classification</w:t>
      </w:r>
      <w:r w:rsidR="00630F0E" w:rsidRPr="00D66E38">
        <w:t xml:space="preserve"> due to different pac</w:t>
      </w:r>
      <w:r w:rsidR="00A873A4" w:rsidRPr="00D66E38">
        <w:t>k</w:t>
      </w:r>
      <w:r w:rsidR="00630F0E" w:rsidRPr="00D66E38">
        <w:t>ing measures</w:t>
      </w:r>
      <w:r w:rsidR="00411A16" w:rsidRPr="00D66E38">
        <w:t>, the United Kingdom</w:t>
      </w:r>
      <w:r w:rsidR="00411A16">
        <w:t xml:space="preserve"> is </w:t>
      </w:r>
      <w:r w:rsidR="00C82B06">
        <w:t>proposing</w:t>
      </w:r>
      <w:r w:rsidR="00C82B06" w:rsidRPr="00F13FC4">
        <w:t xml:space="preserve"> that the competent authority </w:t>
      </w:r>
      <w:r w:rsidR="00630F0E">
        <w:t>must</w:t>
      </w:r>
      <w:r w:rsidR="00630F0E" w:rsidRPr="00F13FC4">
        <w:t xml:space="preserve"> </w:t>
      </w:r>
      <w:r w:rsidR="00C82B06" w:rsidRPr="00F13FC4">
        <w:t>specify whether security provisions should be applied for these explosives</w:t>
      </w:r>
      <w:r w:rsidR="00C82B06">
        <w:t xml:space="preserve"> or not.</w:t>
      </w:r>
    </w:p>
    <w:p w:rsidR="00E67EC8" w:rsidRDefault="00D6100D" w:rsidP="00D6100D">
      <w:pPr>
        <w:pStyle w:val="SingleTxtG"/>
        <w:ind w:left="0"/>
      </w:pPr>
      <w:r>
        <w:t>4.</w:t>
      </w:r>
      <w:r>
        <w:tab/>
      </w:r>
      <w:r w:rsidR="00CA27C0">
        <w:t>The expert from Sweden believes that the proposal from the United Kingdom is a step in the right direction</w:t>
      </w:r>
      <w:r w:rsidR="00411A16">
        <w:t xml:space="preserve"> and supports the initiative</w:t>
      </w:r>
      <w:r w:rsidR="00D32A92" w:rsidRPr="00F13FC4">
        <w:t xml:space="preserve">. </w:t>
      </w:r>
      <w:r w:rsidR="00411A16" w:rsidRPr="00F13FC4">
        <w:t>Nevertheless</w:t>
      </w:r>
      <w:r w:rsidR="00D32A92" w:rsidRPr="00F13FC4">
        <w:t xml:space="preserve">, </w:t>
      </w:r>
      <w:r w:rsidR="00E67EC8" w:rsidRPr="00C253A4">
        <w:t xml:space="preserve">Sweden </w:t>
      </w:r>
      <w:r w:rsidR="00E67EC8">
        <w:t xml:space="preserve">still </w:t>
      </w:r>
      <w:r w:rsidR="00E67EC8" w:rsidRPr="00C253A4">
        <w:t xml:space="preserve">has concerns that security measures </w:t>
      </w:r>
      <w:r w:rsidR="00E67EC8">
        <w:t>could be avoided</w:t>
      </w:r>
      <w:r w:rsidR="00E67EC8" w:rsidRPr="00C253A4">
        <w:t xml:space="preserve"> for </w:t>
      </w:r>
      <w:r w:rsidR="00E67EC8">
        <w:t xml:space="preserve">several other </w:t>
      </w:r>
      <w:r w:rsidR="00E67EC8" w:rsidRPr="00C253A4">
        <w:t xml:space="preserve">highly attractive explosives, </w:t>
      </w:r>
      <w:r w:rsidR="00E67EC8">
        <w:t>when different</w:t>
      </w:r>
      <w:r w:rsidR="00E67EC8" w:rsidRPr="0044761C">
        <w:t xml:space="preserve"> packing measures</w:t>
      </w:r>
      <w:r w:rsidR="00E67EC8">
        <w:t xml:space="preserve"> are being used that result in a milder classification.</w:t>
      </w:r>
      <w:r w:rsidR="00E67EC8" w:rsidRPr="00F13FC4">
        <w:t xml:space="preserve"> </w:t>
      </w:r>
    </w:p>
    <w:p w:rsidR="00D6100D" w:rsidRDefault="00D6100D">
      <w:pPr>
        <w:suppressAutoHyphens w:val="0"/>
        <w:spacing w:line="240" w:lineRule="auto"/>
      </w:pPr>
      <w:r>
        <w:br w:type="page"/>
      </w:r>
    </w:p>
    <w:p w:rsidR="00D32A92" w:rsidRDefault="00D6100D" w:rsidP="00D6100D">
      <w:pPr>
        <w:pStyle w:val="SingleTxtG"/>
        <w:ind w:left="0"/>
      </w:pPr>
      <w:r>
        <w:lastRenderedPageBreak/>
        <w:t>5.</w:t>
      </w:r>
      <w:r>
        <w:tab/>
      </w:r>
      <w:r w:rsidR="00E67EC8">
        <w:t>W</w:t>
      </w:r>
      <w:r w:rsidR="00E67EC8" w:rsidRPr="00F13FC4">
        <w:t xml:space="preserve">ith </w:t>
      </w:r>
      <w:r w:rsidR="00D32A92" w:rsidRPr="00F13FC4">
        <w:t xml:space="preserve">reference to </w:t>
      </w:r>
      <w:r w:rsidR="00E67EC8">
        <w:t>these arguments</w:t>
      </w:r>
      <w:r w:rsidR="004B539E">
        <w:t xml:space="preserve"> and to </w:t>
      </w:r>
      <w:r w:rsidR="00D32A92" w:rsidRPr="00F13FC4">
        <w:t>paragraph</w:t>
      </w:r>
      <w:r w:rsidR="00D32A92">
        <w:t>s</w:t>
      </w:r>
      <w:r w:rsidR="004B539E">
        <w:t xml:space="preserve"> 18 </w:t>
      </w:r>
      <w:r w:rsidR="001836A3">
        <w:t xml:space="preserve">- </w:t>
      </w:r>
      <w:r w:rsidR="00D32A92" w:rsidRPr="00F13FC4">
        <w:t xml:space="preserve">20 in the report from the </w:t>
      </w:r>
      <w:r w:rsidR="004B539E">
        <w:t>47</w:t>
      </w:r>
      <w:r w:rsidR="004B539E" w:rsidRPr="004B539E">
        <w:rPr>
          <w:vertAlign w:val="superscript"/>
        </w:rPr>
        <w:t>th</w:t>
      </w:r>
      <w:r w:rsidR="004B539E">
        <w:t xml:space="preserve"> </w:t>
      </w:r>
      <w:r w:rsidR="00D32A92" w:rsidRPr="00F13FC4">
        <w:t>session</w:t>
      </w:r>
      <w:r w:rsidR="004B539E">
        <w:t xml:space="preserve"> (</w:t>
      </w:r>
      <w:r w:rsidR="004B539E" w:rsidRPr="004B539E">
        <w:t>ST/SG/AC.10/C.3/94</w:t>
      </w:r>
      <w:r w:rsidR="004B539E">
        <w:t>)</w:t>
      </w:r>
      <w:r w:rsidR="00D32A92" w:rsidRPr="00F13FC4">
        <w:t xml:space="preserve">, </w:t>
      </w:r>
      <w:r w:rsidR="00D32A92">
        <w:t>Sweden</w:t>
      </w:r>
      <w:r w:rsidR="00D32A92" w:rsidRPr="00F13FC4">
        <w:t xml:space="preserve"> would like to discuss </w:t>
      </w:r>
      <w:r w:rsidR="00D32A92">
        <w:t>the possibilit</w:t>
      </w:r>
      <w:r w:rsidR="004B539E">
        <w:t xml:space="preserve">y </w:t>
      </w:r>
      <w:r w:rsidR="00D32A92">
        <w:t xml:space="preserve">to include </w:t>
      </w:r>
      <w:r w:rsidR="00D32A92" w:rsidRPr="00F13FC4">
        <w:t>additional explosive</w:t>
      </w:r>
      <w:r w:rsidR="004B539E">
        <w:t xml:space="preserve"> articles under specific UN numbers in Division 1.4 in the list</w:t>
      </w:r>
      <w:r w:rsidR="004B539E" w:rsidRPr="004B539E">
        <w:t xml:space="preserve"> </w:t>
      </w:r>
      <w:r w:rsidR="004B539E" w:rsidRPr="00F13FC4">
        <w:t>of high consequence dangerous goods in Chapter 1.4</w:t>
      </w:r>
      <w:r w:rsidR="00D32A92" w:rsidRPr="00F13FC4">
        <w:t xml:space="preserve">. </w:t>
      </w:r>
    </w:p>
    <w:p w:rsidR="00535066" w:rsidRDefault="00D6100D" w:rsidP="00D6100D">
      <w:pPr>
        <w:pStyle w:val="SingleTxtG"/>
        <w:spacing w:after="240"/>
        <w:ind w:left="0"/>
      </w:pPr>
      <w:r>
        <w:t>6.</w:t>
      </w:r>
      <w:r>
        <w:tab/>
      </w:r>
      <w:r w:rsidR="004B539E">
        <w:t xml:space="preserve">The table below indicates the articles that, in our view, </w:t>
      </w:r>
      <w:r w:rsidR="00D32A92" w:rsidRPr="00F13FC4">
        <w:t>contain explosives identified as potential candidates for misuse</w:t>
      </w:r>
      <w:r w:rsidR="004B539E">
        <w:t xml:space="preserve"> and </w:t>
      </w:r>
      <w:r w:rsidR="00411A16">
        <w:t>the possibility to</w:t>
      </w:r>
      <w:r w:rsidR="004B539E" w:rsidRPr="004B539E">
        <w:t xml:space="preserve"> create mass destruction or casualties</w:t>
      </w:r>
      <w:r w:rsidR="00D32A92">
        <w:t>,</w:t>
      </w:r>
      <w:r w:rsidR="00D32A92" w:rsidRPr="00F13FC4">
        <w:t xml:space="preserve"> but due </w:t>
      </w:r>
      <w:r w:rsidR="00D32A92" w:rsidRPr="00022713">
        <w:t xml:space="preserve">to </w:t>
      </w:r>
      <w:r w:rsidR="00411A16" w:rsidRPr="0044761C">
        <w:t>packing</w:t>
      </w:r>
      <w:r w:rsidR="00D32A92" w:rsidRPr="00F13FC4">
        <w:t xml:space="preserve"> </w:t>
      </w:r>
      <w:r w:rsidR="00411A16" w:rsidRPr="00F13FC4">
        <w:t>procedures</w:t>
      </w:r>
      <w:r w:rsidR="00535066">
        <w:t xml:space="preserve"> are not covered by </w:t>
      </w:r>
      <w:r w:rsidR="000D1A86">
        <w:t xml:space="preserve">the </w:t>
      </w:r>
      <w:r w:rsidR="000D1A86" w:rsidRPr="00F13FC4">
        <w:t xml:space="preserve">high consequence </w:t>
      </w:r>
      <w:r w:rsidR="000D1A86">
        <w:t xml:space="preserve">list and the </w:t>
      </w:r>
      <w:r w:rsidR="00411A16">
        <w:t xml:space="preserve">security measures in </w:t>
      </w:r>
      <w:r w:rsidR="00535066">
        <w:t>Chapter 1.4</w:t>
      </w:r>
      <w:r w:rsidR="00D32A92">
        <w:t>.</w:t>
      </w:r>
    </w:p>
    <w:tbl>
      <w:tblPr>
        <w:tblW w:w="8227" w:type="dxa"/>
        <w:tblInd w:w="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4"/>
        <w:gridCol w:w="1701"/>
        <w:gridCol w:w="1276"/>
        <w:gridCol w:w="850"/>
        <w:gridCol w:w="1276"/>
      </w:tblGrid>
      <w:tr w:rsidR="00535066" w:rsidRPr="00D6100D" w:rsidTr="00D6100D">
        <w:trPr>
          <w:cantSplit/>
          <w:trHeight w:val="185"/>
        </w:trPr>
        <w:tc>
          <w:tcPr>
            <w:tcW w:w="3124" w:type="dxa"/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High Consequence</w:t>
            </w:r>
          </w:p>
        </w:tc>
        <w:tc>
          <w:tcPr>
            <w:tcW w:w="2126" w:type="dxa"/>
            <w:gridSpan w:val="2"/>
            <w:tcBorders>
              <w:lef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Non-High Consequence</w:t>
            </w:r>
          </w:p>
          <w:p w:rsidR="00022713" w:rsidRPr="00D6100D" w:rsidRDefault="00022713" w:rsidP="000D1A8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due to </w:t>
            </w:r>
            <w:r w:rsidR="000D1A86" w:rsidRPr="00D6100D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packing</w:t>
            </w:r>
          </w:p>
        </w:tc>
      </w:tr>
      <w:tr w:rsidR="00535066" w:rsidRPr="00D6100D" w:rsidTr="00D6100D">
        <w:trPr>
          <w:trHeight w:val="185"/>
        </w:trPr>
        <w:tc>
          <w:tcPr>
            <w:tcW w:w="3124" w:type="dxa"/>
            <w:tcBorders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Proper Shipping 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UN No</w:t>
            </w: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Hazard Code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UN 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Hazard Code</w:t>
            </w:r>
          </w:p>
        </w:tc>
      </w:tr>
      <w:tr w:rsidR="00535066" w:rsidRPr="00D6100D" w:rsidTr="00D6100D">
        <w:trPr>
          <w:trHeight w:val="185"/>
        </w:trPr>
        <w:tc>
          <w:tcPr>
            <w:tcW w:w="3124" w:type="dxa"/>
            <w:tcBorders>
              <w:top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35066" w:rsidRPr="00D6100D" w:rsidTr="00D6100D">
        <w:trPr>
          <w:trHeight w:val="185"/>
        </w:trPr>
        <w:tc>
          <w:tcPr>
            <w:tcW w:w="3124" w:type="dxa"/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sz w:val="18"/>
                <w:szCs w:val="18"/>
              </w:rPr>
              <w:t>CARTRIDGES, POWER DEVICE</w:t>
            </w:r>
          </w:p>
        </w:tc>
        <w:tc>
          <w:tcPr>
            <w:tcW w:w="1701" w:type="dxa"/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0381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535066" w:rsidRPr="00D6100D" w:rsidRDefault="00535066" w:rsidP="0053506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1.2C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0276</w:t>
            </w:r>
          </w:p>
        </w:tc>
        <w:tc>
          <w:tcPr>
            <w:tcW w:w="1276" w:type="dxa"/>
          </w:tcPr>
          <w:p w:rsidR="00535066" w:rsidRPr="00D6100D" w:rsidRDefault="00535066" w:rsidP="0053506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1.4C</w:t>
            </w:r>
          </w:p>
        </w:tc>
      </w:tr>
      <w:tr w:rsidR="00535066" w:rsidRPr="00D6100D" w:rsidTr="00D6100D">
        <w:trPr>
          <w:trHeight w:val="185"/>
        </w:trPr>
        <w:tc>
          <w:tcPr>
            <w:tcW w:w="3124" w:type="dxa"/>
            <w:tcBorders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ind w:left="-3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:rsidR="00535066" w:rsidRPr="00D6100D" w:rsidRDefault="00535066" w:rsidP="0053506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0323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1.4S</w:t>
            </w: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sz w:val="18"/>
                <w:szCs w:val="18"/>
              </w:rPr>
              <w:t>CARTRIDGES, POWER DEVICE</w:t>
            </w:r>
          </w:p>
        </w:tc>
        <w:tc>
          <w:tcPr>
            <w:tcW w:w="1701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0275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1.3C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0276</w:t>
            </w:r>
          </w:p>
        </w:tc>
        <w:tc>
          <w:tcPr>
            <w:tcW w:w="1276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1.4C</w:t>
            </w: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  <w:tcBorders>
              <w:bottom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ind w:left="-3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0323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1.4S</w:t>
            </w:r>
          </w:p>
        </w:tc>
      </w:tr>
      <w:tr w:rsidR="00535066" w:rsidRPr="00D6100D" w:rsidTr="00D6100D">
        <w:trPr>
          <w:trHeight w:val="185"/>
        </w:trPr>
        <w:tc>
          <w:tcPr>
            <w:tcW w:w="3124" w:type="dxa"/>
            <w:tcBorders>
              <w:top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35066" w:rsidRPr="00D6100D" w:rsidTr="00D6100D">
        <w:trPr>
          <w:trHeight w:val="185"/>
        </w:trPr>
        <w:tc>
          <w:tcPr>
            <w:tcW w:w="3124" w:type="dxa"/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sz w:val="18"/>
                <w:szCs w:val="18"/>
              </w:rPr>
              <w:t>CARTRIDGES, OIL WELL</w:t>
            </w:r>
          </w:p>
        </w:tc>
        <w:tc>
          <w:tcPr>
            <w:tcW w:w="1701" w:type="dxa"/>
          </w:tcPr>
          <w:p w:rsidR="00535066" w:rsidRPr="00D6100D" w:rsidRDefault="00535066" w:rsidP="0053506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0277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535066" w:rsidRPr="00D6100D" w:rsidRDefault="00535066" w:rsidP="0053506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1.3C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535066" w:rsidRPr="00D6100D" w:rsidRDefault="00535066" w:rsidP="0053506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0278</w:t>
            </w:r>
          </w:p>
        </w:tc>
        <w:tc>
          <w:tcPr>
            <w:tcW w:w="1276" w:type="dxa"/>
          </w:tcPr>
          <w:p w:rsidR="00535066" w:rsidRPr="00D6100D" w:rsidRDefault="00535066" w:rsidP="0053506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1.4S</w:t>
            </w:r>
          </w:p>
        </w:tc>
      </w:tr>
      <w:tr w:rsidR="00D66E38" w:rsidRPr="00D6100D" w:rsidTr="00D6100D">
        <w:trPr>
          <w:trHeight w:val="185"/>
        </w:trPr>
        <w:tc>
          <w:tcPr>
            <w:tcW w:w="3124" w:type="dxa"/>
            <w:tcBorders>
              <w:bottom w:val="single" w:sz="4" w:space="0" w:color="auto"/>
            </w:tcBorders>
          </w:tcPr>
          <w:p w:rsidR="00D66E38" w:rsidRPr="00D6100D" w:rsidRDefault="00D66E38" w:rsidP="00455F8B">
            <w:pPr>
              <w:autoSpaceDE w:val="0"/>
              <w:autoSpaceDN w:val="0"/>
              <w:adjustRightInd w:val="0"/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E38" w:rsidRPr="00D6100D" w:rsidRDefault="00D66E38" w:rsidP="0053506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:rsidR="00D66E38" w:rsidRPr="00D6100D" w:rsidRDefault="00D66E38" w:rsidP="0053506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</w:tcPr>
          <w:p w:rsidR="00D66E38" w:rsidRPr="00D6100D" w:rsidRDefault="00D66E38" w:rsidP="0053506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E38" w:rsidRPr="00D6100D" w:rsidRDefault="00D66E38" w:rsidP="0053506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</w:tcPr>
          <w:p w:rsidR="00022713" w:rsidRPr="00D6100D" w:rsidRDefault="00022713" w:rsidP="00920AE2">
            <w:pPr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22713" w:rsidRPr="00D6100D" w:rsidRDefault="00022713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022713" w:rsidRPr="00D6100D" w:rsidRDefault="00022713" w:rsidP="0053506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22713" w:rsidRPr="00D6100D" w:rsidRDefault="00022713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22713" w:rsidRPr="00D6100D" w:rsidRDefault="00022713" w:rsidP="00920AE2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35066" w:rsidRPr="00D6100D" w:rsidTr="00D6100D">
        <w:trPr>
          <w:trHeight w:val="185"/>
        </w:trPr>
        <w:tc>
          <w:tcPr>
            <w:tcW w:w="3124" w:type="dxa"/>
          </w:tcPr>
          <w:p w:rsidR="00535066" w:rsidRPr="00D6100D" w:rsidRDefault="00535066" w:rsidP="00920AE2">
            <w:pPr>
              <w:autoSpaceDE w:val="0"/>
              <w:autoSpaceDN w:val="0"/>
              <w:adjustRightInd w:val="0"/>
              <w:spacing w:before="2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sz w:val="18"/>
                <w:szCs w:val="18"/>
              </w:rPr>
              <w:t xml:space="preserve">CHARGES, EXPLOSIVE, COMMERCIAL </w:t>
            </w:r>
          </w:p>
        </w:tc>
        <w:tc>
          <w:tcPr>
            <w:tcW w:w="1701" w:type="dxa"/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0442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535066" w:rsidRPr="00D6100D" w:rsidRDefault="00535066" w:rsidP="00535066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1.1D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535066" w:rsidRPr="00D6100D" w:rsidRDefault="00920AE2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0444</w:t>
            </w:r>
          </w:p>
        </w:tc>
        <w:tc>
          <w:tcPr>
            <w:tcW w:w="1276" w:type="dxa"/>
          </w:tcPr>
          <w:p w:rsidR="00535066" w:rsidRPr="00D6100D" w:rsidRDefault="00535066" w:rsidP="00920AE2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</w:t>
            </w:r>
            <w:r w:rsidR="00920AE2"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D</w:t>
            </w:r>
          </w:p>
        </w:tc>
      </w:tr>
      <w:tr w:rsidR="00535066" w:rsidRPr="00D6100D" w:rsidTr="00D6100D">
        <w:trPr>
          <w:trHeight w:val="185"/>
        </w:trPr>
        <w:tc>
          <w:tcPr>
            <w:tcW w:w="3124" w:type="dxa"/>
            <w:tcBorders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</w:tcPr>
          <w:p w:rsidR="00535066" w:rsidRPr="00D6100D" w:rsidRDefault="00535066" w:rsidP="00920AE2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</w:t>
            </w:r>
            <w:r w:rsidR="00920AE2"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4</w:t>
            </w: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1.4S</w:t>
            </w: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sz w:val="18"/>
                <w:szCs w:val="18"/>
              </w:rPr>
              <w:t xml:space="preserve">CHARGES, EXPLOSIVE, COMMERCIAL </w:t>
            </w:r>
          </w:p>
        </w:tc>
        <w:tc>
          <w:tcPr>
            <w:tcW w:w="1701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0443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1.2D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0444</w:t>
            </w:r>
          </w:p>
        </w:tc>
        <w:tc>
          <w:tcPr>
            <w:tcW w:w="1276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1.4D</w:t>
            </w: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  <w:tcBorders>
              <w:bottom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1.4S</w:t>
            </w:r>
          </w:p>
        </w:tc>
      </w:tr>
      <w:tr w:rsidR="00535066" w:rsidRPr="00D6100D" w:rsidTr="00D6100D">
        <w:trPr>
          <w:trHeight w:val="185"/>
        </w:trPr>
        <w:tc>
          <w:tcPr>
            <w:tcW w:w="3124" w:type="dxa"/>
            <w:tcBorders>
              <w:top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35066" w:rsidRPr="00D6100D" w:rsidTr="00D6100D">
        <w:trPr>
          <w:trHeight w:val="185"/>
        </w:trPr>
        <w:tc>
          <w:tcPr>
            <w:tcW w:w="3124" w:type="dxa"/>
          </w:tcPr>
          <w:p w:rsidR="00535066" w:rsidRPr="00D6100D" w:rsidRDefault="00920AE2" w:rsidP="00D6100D">
            <w:pPr>
              <w:autoSpaceDE w:val="0"/>
              <w:autoSpaceDN w:val="0"/>
              <w:adjustRightInd w:val="0"/>
              <w:spacing w:before="2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sz w:val="18"/>
                <w:szCs w:val="18"/>
              </w:rPr>
              <w:t>CHARGES, BURSTING, PLASTICS BONDED</w:t>
            </w:r>
          </w:p>
        </w:tc>
        <w:tc>
          <w:tcPr>
            <w:tcW w:w="1701" w:type="dxa"/>
          </w:tcPr>
          <w:p w:rsidR="00535066" w:rsidRPr="00D6100D" w:rsidRDefault="00920AE2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0457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535066" w:rsidRPr="00D6100D" w:rsidRDefault="00535066" w:rsidP="00920AE2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1.1</w:t>
            </w:r>
            <w:r w:rsidR="00920AE2"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535066" w:rsidRPr="00D6100D" w:rsidRDefault="00920AE2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0459</w:t>
            </w:r>
          </w:p>
        </w:tc>
        <w:tc>
          <w:tcPr>
            <w:tcW w:w="1276" w:type="dxa"/>
          </w:tcPr>
          <w:p w:rsidR="00535066" w:rsidRPr="00D6100D" w:rsidRDefault="00535066" w:rsidP="00920AE2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</w:t>
            </w:r>
            <w:r w:rsidR="00920AE2"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D</w:t>
            </w:r>
          </w:p>
        </w:tc>
      </w:tr>
      <w:tr w:rsidR="00535066" w:rsidRPr="00D6100D" w:rsidTr="00D6100D">
        <w:trPr>
          <w:trHeight w:val="185"/>
        </w:trPr>
        <w:tc>
          <w:tcPr>
            <w:tcW w:w="3124" w:type="dxa"/>
            <w:tcBorders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</w:tcPr>
          <w:p w:rsidR="00535066" w:rsidRPr="00D6100D" w:rsidRDefault="00920AE2" w:rsidP="00920AE2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1.4S</w:t>
            </w: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</w:tcPr>
          <w:p w:rsidR="00022713" w:rsidRPr="00D6100D" w:rsidRDefault="00022713" w:rsidP="00D6100D">
            <w:pPr>
              <w:autoSpaceDE w:val="0"/>
              <w:autoSpaceDN w:val="0"/>
              <w:adjustRightInd w:val="0"/>
              <w:spacing w:before="2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sz w:val="18"/>
                <w:szCs w:val="18"/>
              </w:rPr>
              <w:t>CHARGES, BURSTING, PLASTICS BONDED</w:t>
            </w:r>
          </w:p>
        </w:tc>
        <w:tc>
          <w:tcPr>
            <w:tcW w:w="1701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0458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1.2D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0459</w:t>
            </w:r>
          </w:p>
        </w:tc>
        <w:tc>
          <w:tcPr>
            <w:tcW w:w="1276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1.4D</w:t>
            </w: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  <w:tcBorders>
              <w:bottom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1.4S</w:t>
            </w:r>
          </w:p>
        </w:tc>
      </w:tr>
      <w:tr w:rsidR="00535066" w:rsidRPr="00D6100D" w:rsidTr="00D6100D">
        <w:trPr>
          <w:trHeight w:val="185"/>
        </w:trPr>
        <w:tc>
          <w:tcPr>
            <w:tcW w:w="3124" w:type="dxa"/>
            <w:tcBorders>
              <w:top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5066" w:rsidRPr="00D6100D" w:rsidRDefault="00535066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35066" w:rsidRPr="00D6100D" w:rsidTr="00D6100D">
        <w:trPr>
          <w:trHeight w:val="185"/>
        </w:trPr>
        <w:tc>
          <w:tcPr>
            <w:tcW w:w="3124" w:type="dxa"/>
          </w:tcPr>
          <w:p w:rsidR="00535066" w:rsidRPr="00D6100D" w:rsidRDefault="00920AE2" w:rsidP="00455F8B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sz w:val="18"/>
                <w:szCs w:val="18"/>
              </w:rPr>
              <w:t>CHARGES, PROPELLING</w:t>
            </w:r>
          </w:p>
        </w:tc>
        <w:tc>
          <w:tcPr>
            <w:tcW w:w="1701" w:type="dxa"/>
          </w:tcPr>
          <w:p w:rsidR="00535066" w:rsidRPr="00D6100D" w:rsidRDefault="00920AE2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0271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535066" w:rsidRPr="00D6100D" w:rsidRDefault="00535066" w:rsidP="00920AE2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1.1</w:t>
            </w:r>
            <w:r w:rsidR="00920AE2"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535066" w:rsidRPr="00D6100D" w:rsidRDefault="00920AE2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0491</w:t>
            </w:r>
          </w:p>
        </w:tc>
        <w:tc>
          <w:tcPr>
            <w:tcW w:w="1276" w:type="dxa"/>
          </w:tcPr>
          <w:p w:rsidR="00535066" w:rsidRPr="00D6100D" w:rsidRDefault="00535066" w:rsidP="00920AE2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</w:t>
            </w:r>
            <w:r w:rsidR="00920AE2"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C</w:t>
            </w:r>
          </w:p>
        </w:tc>
      </w:tr>
      <w:tr w:rsidR="00D66E38" w:rsidRPr="00D6100D" w:rsidTr="00D6100D">
        <w:trPr>
          <w:trHeight w:val="185"/>
        </w:trPr>
        <w:tc>
          <w:tcPr>
            <w:tcW w:w="3124" w:type="dxa"/>
            <w:tcBorders>
              <w:bottom w:val="single" w:sz="4" w:space="0" w:color="auto"/>
            </w:tcBorders>
          </w:tcPr>
          <w:p w:rsidR="00D66E38" w:rsidRPr="00D6100D" w:rsidRDefault="00D66E38" w:rsidP="00455F8B">
            <w:pPr>
              <w:autoSpaceDE w:val="0"/>
              <w:autoSpaceDN w:val="0"/>
              <w:adjustRightInd w:val="0"/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E38" w:rsidRPr="00D6100D" w:rsidRDefault="00D66E38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:rsidR="00D66E38" w:rsidRPr="00D6100D" w:rsidRDefault="00D66E38" w:rsidP="00920AE2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</w:tcPr>
          <w:p w:rsidR="00D66E38" w:rsidRPr="00D6100D" w:rsidRDefault="00D66E38" w:rsidP="00455F8B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E38" w:rsidRPr="00D6100D" w:rsidRDefault="00D66E38" w:rsidP="00920AE2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  <w:tcBorders>
              <w:top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sz w:val="18"/>
                <w:szCs w:val="18"/>
              </w:rPr>
              <w:t>CHARGES, PROPELLING</w:t>
            </w:r>
          </w:p>
        </w:tc>
        <w:tc>
          <w:tcPr>
            <w:tcW w:w="1701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0415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1.2C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0491</w:t>
            </w:r>
          </w:p>
        </w:tc>
        <w:tc>
          <w:tcPr>
            <w:tcW w:w="1276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1.4C</w:t>
            </w:r>
          </w:p>
        </w:tc>
      </w:tr>
      <w:tr w:rsidR="00D66E38" w:rsidRPr="00D6100D" w:rsidTr="00D6100D">
        <w:trPr>
          <w:trHeight w:val="185"/>
        </w:trPr>
        <w:tc>
          <w:tcPr>
            <w:tcW w:w="3124" w:type="dxa"/>
            <w:tcBorders>
              <w:bottom w:val="single" w:sz="4" w:space="0" w:color="auto"/>
            </w:tcBorders>
          </w:tcPr>
          <w:p w:rsidR="00D66E38" w:rsidRPr="00D6100D" w:rsidRDefault="00D66E38" w:rsidP="00DA476A">
            <w:pPr>
              <w:autoSpaceDE w:val="0"/>
              <w:autoSpaceDN w:val="0"/>
              <w:adjustRightInd w:val="0"/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E38" w:rsidRPr="00D6100D" w:rsidRDefault="00D66E38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:rsidR="00D66E38" w:rsidRPr="00D6100D" w:rsidRDefault="00D66E38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</w:tcPr>
          <w:p w:rsidR="00D66E38" w:rsidRPr="00D6100D" w:rsidRDefault="00D66E38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E38" w:rsidRPr="00D6100D" w:rsidRDefault="00D66E38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  <w:tcBorders>
              <w:top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22713" w:rsidRPr="00D6100D" w:rsidTr="00D6100D">
        <w:trPr>
          <w:trHeight w:val="185"/>
        </w:trPr>
        <w:tc>
          <w:tcPr>
            <w:tcW w:w="3124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sz w:val="18"/>
                <w:szCs w:val="18"/>
              </w:rPr>
              <w:t>CHARGES, PROPELLING</w:t>
            </w:r>
          </w:p>
        </w:tc>
        <w:tc>
          <w:tcPr>
            <w:tcW w:w="1701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0272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1.3C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0491</w:t>
            </w:r>
          </w:p>
        </w:tc>
        <w:tc>
          <w:tcPr>
            <w:tcW w:w="1276" w:type="dxa"/>
          </w:tcPr>
          <w:p w:rsidR="00022713" w:rsidRPr="00D6100D" w:rsidRDefault="00022713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6100D">
              <w:rPr>
                <w:rFonts w:cs="Arial"/>
                <w:color w:val="000000"/>
                <w:sz w:val="18"/>
                <w:szCs w:val="18"/>
                <w:lang w:val="en-US"/>
              </w:rPr>
              <w:t>1.4C</w:t>
            </w:r>
          </w:p>
        </w:tc>
      </w:tr>
      <w:tr w:rsidR="00D66E38" w:rsidRPr="00D6100D" w:rsidTr="00D6100D">
        <w:trPr>
          <w:trHeight w:val="185"/>
        </w:trPr>
        <w:tc>
          <w:tcPr>
            <w:tcW w:w="3124" w:type="dxa"/>
            <w:tcBorders>
              <w:bottom w:val="single" w:sz="4" w:space="0" w:color="auto"/>
            </w:tcBorders>
          </w:tcPr>
          <w:p w:rsidR="00D66E38" w:rsidRPr="00D6100D" w:rsidRDefault="00D66E38" w:rsidP="00DA476A">
            <w:pPr>
              <w:autoSpaceDE w:val="0"/>
              <w:autoSpaceDN w:val="0"/>
              <w:adjustRightInd w:val="0"/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E38" w:rsidRPr="00D6100D" w:rsidRDefault="00D66E38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ashed" w:sz="4" w:space="0" w:color="auto"/>
            </w:tcBorders>
          </w:tcPr>
          <w:p w:rsidR="00D66E38" w:rsidRPr="00D6100D" w:rsidRDefault="00D66E38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</w:tcPr>
          <w:p w:rsidR="00D66E38" w:rsidRPr="00D6100D" w:rsidRDefault="00D66E38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E38" w:rsidRPr="00D6100D" w:rsidRDefault="00D66E38" w:rsidP="00DA476A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9B1829" w:rsidRDefault="00D6100D" w:rsidP="00D6100D">
      <w:pPr>
        <w:pStyle w:val="SingleTxtG"/>
        <w:spacing w:before="240"/>
        <w:ind w:left="0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D66E38">
        <w:rPr>
          <w:lang w:val="en-US"/>
        </w:rPr>
        <w:t>I</w:t>
      </w:r>
      <w:r w:rsidR="00D32A92">
        <w:rPr>
          <w:lang w:val="en-US"/>
        </w:rPr>
        <w:t xml:space="preserve">n summary, </w:t>
      </w:r>
      <w:r w:rsidR="00D32A92" w:rsidRPr="00A37031">
        <w:rPr>
          <w:lang w:val="en-US"/>
        </w:rPr>
        <w:t xml:space="preserve">it is the </w:t>
      </w:r>
      <w:r w:rsidR="00411A16">
        <w:rPr>
          <w:lang w:val="en-US"/>
        </w:rPr>
        <w:t xml:space="preserve">explosive </w:t>
      </w:r>
      <w:r w:rsidR="00D32A92" w:rsidRPr="00A37031">
        <w:rPr>
          <w:lang w:val="en-US"/>
        </w:rPr>
        <w:t xml:space="preserve">content, not the packing </w:t>
      </w:r>
      <w:r w:rsidR="000D1A86">
        <w:rPr>
          <w:lang w:val="en-US"/>
        </w:rPr>
        <w:t xml:space="preserve">measures </w:t>
      </w:r>
      <w:r w:rsidR="00D32A92" w:rsidRPr="00A37031">
        <w:rPr>
          <w:lang w:val="en-US"/>
        </w:rPr>
        <w:t xml:space="preserve">that </w:t>
      </w:r>
      <w:r w:rsidR="000D1A86">
        <w:rPr>
          <w:lang w:val="en-US"/>
        </w:rPr>
        <w:t>are</w:t>
      </w:r>
      <w:r w:rsidR="00D32A92" w:rsidRPr="00A37031">
        <w:rPr>
          <w:lang w:val="en-US"/>
        </w:rPr>
        <w:t xml:space="preserve"> </w:t>
      </w:r>
      <w:r w:rsidR="00411A16">
        <w:rPr>
          <w:lang w:val="en-US"/>
        </w:rPr>
        <w:t>crucial</w:t>
      </w:r>
      <w:r w:rsidR="00D32A92" w:rsidRPr="00A37031">
        <w:rPr>
          <w:lang w:val="en-US"/>
        </w:rPr>
        <w:t xml:space="preserve"> for the potential of misuse in a terrorist </w:t>
      </w:r>
      <w:r w:rsidR="00A464BD">
        <w:rPr>
          <w:lang w:val="en-US"/>
        </w:rPr>
        <w:t>action</w:t>
      </w:r>
      <w:r w:rsidR="00A464BD" w:rsidRPr="003C0C75">
        <w:rPr>
          <w:lang w:val="en-US"/>
        </w:rPr>
        <w:t xml:space="preserve"> </w:t>
      </w:r>
      <w:r w:rsidR="007217E0" w:rsidRPr="003C0C75">
        <w:rPr>
          <w:lang w:val="en-US"/>
        </w:rPr>
        <w:t>or other criminal activities</w:t>
      </w:r>
      <w:r w:rsidR="00C82B06" w:rsidRPr="003C0C75">
        <w:rPr>
          <w:lang w:val="en-US"/>
        </w:rPr>
        <w:t>.</w:t>
      </w:r>
    </w:p>
    <w:p w:rsidR="00C82B06" w:rsidRPr="00C82B06" w:rsidRDefault="00C82B06" w:rsidP="00D6100D">
      <w:pPr>
        <w:pStyle w:val="HChG"/>
        <w:rPr>
          <w:lang w:val="en-US"/>
        </w:rPr>
      </w:pPr>
      <w:r w:rsidRPr="00C82B06">
        <w:rPr>
          <w:lang w:val="en-US"/>
        </w:rPr>
        <w:lastRenderedPageBreak/>
        <w:t>Proposal for discussion</w:t>
      </w:r>
    </w:p>
    <w:p w:rsidR="00D32A92" w:rsidRDefault="00D6100D" w:rsidP="00D6100D">
      <w:pPr>
        <w:pStyle w:val="SingleTxtG"/>
        <w:ind w:left="0"/>
      </w:pPr>
      <w:r>
        <w:t>8.</w:t>
      </w:r>
      <w:r>
        <w:tab/>
      </w:r>
      <w:r w:rsidR="00A464BD">
        <w:t>A</w:t>
      </w:r>
      <w:r w:rsidR="00C82B06">
        <w:t>dd the following UN Numbers to the indicative list of high consequence dangerous goods in Table 1.4.1 of the UN Model Regulations</w:t>
      </w:r>
      <w:r w:rsidR="00A464BD">
        <w:t>:</w:t>
      </w:r>
      <w:r w:rsidR="00E67EC8">
        <w:t xml:space="preserve"> </w:t>
      </w:r>
      <w:r w:rsidR="00A464BD">
        <w:t>UN 0276, 0278, 0323, 0444, 0445, 0459, 0460 and 0491</w:t>
      </w:r>
      <w:r w:rsidR="00C82B06">
        <w:t>.</w:t>
      </w:r>
    </w:p>
    <w:p w:rsidR="005149A9" w:rsidRPr="009B1829" w:rsidRDefault="009B1829" w:rsidP="009B18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49A9" w:rsidRPr="009B1829" w:rsidSect="00D32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2268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91" w:rsidRDefault="003F5991"/>
  </w:endnote>
  <w:endnote w:type="continuationSeparator" w:id="0">
    <w:p w:rsidR="003F5991" w:rsidRDefault="003F5991"/>
  </w:endnote>
  <w:endnote w:type="continuationNotice" w:id="1">
    <w:p w:rsidR="003F5991" w:rsidRDefault="003F5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D" w:rsidRPr="00796B95" w:rsidRDefault="00EF051D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D6361A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D" w:rsidRPr="0005570C" w:rsidRDefault="00EF051D" w:rsidP="00D6100D">
    <w:pPr>
      <w:pStyle w:val="Footer"/>
      <w:rPr>
        <w:b/>
        <w:sz w:val="18"/>
      </w:rPr>
    </w:pPr>
    <w:r>
      <w:tab/>
    </w:r>
    <w:r w:rsidR="00D6100D">
      <w:tab/>
    </w:r>
    <w:r w:rsidR="00D6100D">
      <w:tab/>
    </w:r>
    <w:r w:rsidR="00D6100D">
      <w:tab/>
    </w:r>
    <w:r w:rsidR="00D6100D">
      <w:tab/>
    </w:r>
    <w:r w:rsidR="00D6100D">
      <w:tab/>
    </w:r>
    <w:r w:rsidR="00D6100D">
      <w:tab/>
    </w:r>
    <w:r w:rsidR="00D6100D">
      <w:tab/>
    </w:r>
    <w:r w:rsidR="00D6100D">
      <w:tab/>
    </w:r>
    <w:r w:rsidR="00D6100D">
      <w:tab/>
    </w:r>
    <w:r w:rsidR="00D6100D">
      <w:tab/>
    </w:r>
    <w:r w:rsidR="00D6100D">
      <w:tab/>
    </w:r>
    <w:r w:rsidR="00D6100D">
      <w:tab/>
    </w:r>
    <w:r w:rsidR="00D6100D"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D6361A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0D" w:rsidRDefault="00D61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91" w:rsidRPr="000B175B" w:rsidRDefault="003F599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5991" w:rsidRPr="00FC68B7" w:rsidRDefault="003F599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F5991" w:rsidRDefault="003F5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D" w:rsidRPr="00F54DDA" w:rsidRDefault="00EF051D" w:rsidP="00F54DDA">
    <w:pPr>
      <w:pStyle w:val="Header"/>
    </w:pPr>
    <w:r w:rsidRPr="00F54DDA">
      <w:rPr>
        <w:noProof/>
      </w:rPr>
      <w:t>UN/SCETDG/4</w:t>
    </w:r>
    <w:r w:rsidR="00D6100D">
      <w:rPr>
        <w:noProof/>
      </w:rPr>
      <w:t>8/INF.25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D" w:rsidRPr="0005570C" w:rsidRDefault="00EF051D" w:rsidP="0005570C">
    <w:pPr>
      <w:pStyle w:val="Header"/>
      <w:jc w:val="right"/>
    </w:pPr>
    <w:r w:rsidRPr="00F54DDA">
      <w:t>UN/SCETDG/4</w:t>
    </w:r>
    <w:r>
      <w:t>8</w:t>
    </w:r>
    <w:r w:rsidR="00D6100D">
      <w:t>/INF25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0D" w:rsidRDefault="00D61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21561EF"/>
    <w:multiLevelType w:val="hybridMultilevel"/>
    <w:tmpl w:val="912246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24"/>
  </w:num>
  <w:num w:numId="15">
    <w:abstractNumId w:val="14"/>
  </w:num>
  <w:num w:numId="16">
    <w:abstractNumId w:val="11"/>
  </w:num>
  <w:num w:numId="17">
    <w:abstractNumId w:val="26"/>
  </w:num>
  <w:num w:numId="18">
    <w:abstractNumId w:val="19"/>
  </w:num>
  <w:num w:numId="19">
    <w:abstractNumId w:val="12"/>
  </w:num>
  <w:num w:numId="20">
    <w:abstractNumId w:val="21"/>
  </w:num>
  <w:num w:numId="21">
    <w:abstractNumId w:val="16"/>
  </w:num>
  <w:num w:numId="22">
    <w:abstractNumId w:val="13"/>
  </w:num>
  <w:num w:numId="23">
    <w:abstractNumId w:val="15"/>
  </w:num>
  <w:num w:numId="24">
    <w:abstractNumId w:val="20"/>
  </w:num>
  <w:num w:numId="25">
    <w:abstractNumId w:val="22"/>
  </w:num>
  <w:num w:numId="26">
    <w:abstractNumId w:val="23"/>
  </w:num>
  <w:num w:numId="2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5A1E"/>
    <w:rsid w:val="00022713"/>
    <w:rsid w:val="00027F2A"/>
    <w:rsid w:val="0003260B"/>
    <w:rsid w:val="00044167"/>
    <w:rsid w:val="000458D9"/>
    <w:rsid w:val="00050F6B"/>
    <w:rsid w:val="0005111B"/>
    <w:rsid w:val="0005570C"/>
    <w:rsid w:val="00064F24"/>
    <w:rsid w:val="00067C1A"/>
    <w:rsid w:val="00071BC5"/>
    <w:rsid w:val="000726F2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1A86"/>
    <w:rsid w:val="000D43C8"/>
    <w:rsid w:val="000E0415"/>
    <w:rsid w:val="000E572A"/>
    <w:rsid w:val="000F143A"/>
    <w:rsid w:val="000F5CA9"/>
    <w:rsid w:val="000F5FF7"/>
    <w:rsid w:val="00103C0E"/>
    <w:rsid w:val="00114E72"/>
    <w:rsid w:val="00117787"/>
    <w:rsid w:val="00120F5D"/>
    <w:rsid w:val="00125758"/>
    <w:rsid w:val="00125775"/>
    <w:rsid w:val="001266BA"/>
    <w:rsid w:val="00131D42"/>
    <w:rsid w:val="00144FC4"/>
    <w:rsid w:val="0016063F"/>
    <w:rsid w:val="00160BC1"/>
    <w:rsid w:val="001633FB"/>
    <w:rsid w:val="00166B07"/>
    <w:rsid w:val="00173B3A"/>
    <w:rsid w:val="00177434"/>
    <w:rsid w:val="001836A3"/>
    <w:rsid w:val="00187869"/>
    <w:rsid w:val="00190361"/>
    <w:rsid w:val="00191BE2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082F"/>
    <w:rsid w:val="002B1CDA"/>
    <w:rsid w:val="002B2EA7"/>
    <w:rsid w:val="002B521D"/>
    <w:rsid w:val="002B79CF"/>
    <w:rsid w:val="002B7D6F"/>
    <w:rsid w:val="002C54A4"/>
    <w:rsid w:val="002C7649"/>
    <w:rsid w:val="002D7530"/>
    <w:rsid w:val="002E7C35"/>
    <w:rsid w:val="002F0918"/>
    <w:rsid w:val="002F1234"/>
    <w:rsid w:val="00302963"/>
    <w:rsid w:val="00303816"/>
    <w:rsid w:val="003107FA"/>
    <w:rsid w:val="00316C13"/>
    <w:rsid w:val="00320A76"/>
    <w:rsid w:val="003229D8"/>
    <w:rsid w:val="00322F52"/>
    <w:rsid w:val="00323BE7"/>
    <w:rsid w:val="003311AD"/>
    <w:rsid w:val="003323B3"/>
    <w:rsid w:val="00333732"/>
    <w:rsid w:val="0034522A"/>
    <w:rsid w:val="00347184"/>
    <w:rsid w:val="00372BDC"/>
    <w:rsid w:val="00373815"/>
    <w:rsid w:val="00374763"/>
    <w:rsid w:val="00381262"/>
    <w:rsid w:val="0039277A"/>
    <w:rsid w:val="00396C00"/>
    <w:rsid w:val="003972E0"/>
    <w:rsid w:val="003A358E"/>
    <w:rsid w:val="003B4359"/>
    <w:rsid w:val="003B47CC"/>
    <w:rsid w:val="003C0C75"/>
    <w:rsid w:val="003C2CC4"/>
    <w:rsid w:val="003D4B23"/>
    <w:rsid w:val="003E1C5A"/>
    <w:rsid w:val="003E4178"/>
    <w:rsid w:val="003E5413"/>
    <w:rsid w:val="003F0697"/>
    <w:rsid w:val="003F3F40"/>
    <w:rsid w:val="003F40C8"/>
    <w:rsid w:val="003F5991"/>
    <w:rsid w:val="0040291E"/>
    <w:rsid w:val="0040320D"/>
    <w:rsid w:val="00404FD4"/>
    <w:rsid w:val="00411A16"/>
    <w:rsid w:val="0041741B"/>
    <w:rsid w:val="004179D7"/>
    <w:rsid w:val="004325CB"/>
    <w:rsid w:val="00437F3F"/>
    <w:rsid w:val="0044017E"/>
    <w:rsid w:val="0044679E"/>
    <w:rsid w:val="00446C28"/>
    <w:rsid w:val="00446DE4"/>
    <w:rsid w:val="0044761C"/>
    <w:rsid w:val="004479B5"/>
    <w:rsid w:val="00450B3A"/>
    <w:rsid w:val="00451CCB"/>
    <w:rsid w:val="004522E0"/>
    <w:rsid w:val="00464C2B"/>
    <w:rsid w:val="0047319B"/>
    <w:rsid w:val="004735FB"/>
    <w:rsid w:val="00475444"/>
    <w:rsid w:val="0049309D"/>
    <w:rsid w:val="00494D24"/>
    <w:rsid w:val="004969ED"/>
    <w:rsid w:val="00497FF3"/>
    <w:rsid w:val="004A2BD1"/>
    <w:rsid w:val="004B163A"/>
    <w:rsid w:val="004B2C9D"/>
    <w:rsid w:val="004B49FD"/>
    <w:rsid w:val="004B539E"/>
    <w:rsid w:val="004B6475"/>
    <w:rsid w:val="004E4DCE"/>
    <w:rsid w:val="00500DCD"/>
    <w:rsid w:val="00512574"/>
    <w:rsid w:val="005149A9"/>
    <w:rsid w:val="00515763"/>
    <w:rsid w:val="0051609A"/>
    <w:rsid w:val="005206A2"/>
    <w:rsid w:val="005248FF"/>
    <w:rsid w:val="00527910"/>
    <w:rsid w:val="0053100F"/>
    <w:rsid w:val="00532A62"/>
    <w:rsid w:val="005335B1"/>
    <w:rsid w:val="00534938"/>
    <w:rsid w:val="00535066"/>
    <w:rsid w:val="0053786F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509F"/>
    <w:rsid w:val="00581B62"/>
    <w:rsid w:val="00581C11"/>
    <w:rsid w:val="00590144"/>
    <w:rsid w:val="005A1FEB"/>
    <w:rsid w:val="005A37A2"/>
    <w:rsid w:val="005B2C26"/>
    <w:rsid w:val="005B3614"/>
    <w:rsid w:val="005B3DB3"/>
    <w:rsid w:val="005B6EC0"/>
    <w:rsid w:val="005B6FA9"/>
    <w:rsid w:val="005C2339"/>
    <w:rsid w:val="005C7C53"/>
    <w:rsid w:val="005D1C0C"/>
    <w:rsid w:val="005D407C"/>
    <w:rsid w:val="005E29AE"/>
    <w:rsid w:val="005E6C20"/>
    <w:rsid w:val="00611FC4"/>
    <w:rsid w:val="0061401C"/>
    <w:rsid w:val="006176FB"/>
    <w:rsid w:val="00630F0E"/>
    <w:rsid w:val="0063330C"/>
    <w:rsid w:val="00633C10"/>
    <w:rsid w:val="0063419C"/>
    <w:rsid w:val="00640B26"/>
    <w:rsid w:val="00641876"/>
    <w:rsid w:val="00650267"/>
    <w:rsid w:val="00664F8E"/>
    <w:rsid w:val="00682466"/>
    <w:rsid w:val="0068393D"/>
    <w:rsid w:val="006A0AE9"/>
    <w:rsid w:val="006A7392"/>
    <w:rsid w:val="006B3590"/>
    <w:rsid w:val="006B7406"/>
    <w:rsid w:val="006B79A2"/>
    <w:rsid w:val="006C0D34"/>
    <w:rsid w:val="006C1C4A"/>
    <w:rsid w:val="006D7899"/>
    <w:rsid w:val="006D7D5F"/>
    <w:rsid w:val="006E564B"/>
    <w:rsid w:val="006E7B3F"/>
    <w:rsid w:val="00707A67"/>
    <w:rsid w:val="0071233A"/>
    <w:rsid w:val="00716D0F"/>
    <w:rsid w:val="007217E0"/>
    <w:rsid w:val="00725764"/>
    <w:rsid w:val="0072632A"/>
    <w:rsid w:val="007428A0"/>
    <w:rsid w:val="0075177E"/>
    <w:rsid w:val="00757A17"/>
    <w:rsid w:val="00790791"/>
    <w:rsid w:val="007909EA"/>
    <w:rsid w:val="00795779"/>
    <w:rsid w:val="007965B5"/>
    <w:rsid w:val="00796B95"/>
    <w:rsid w:val="007A6CFA"/>
    <w:rsid w:val="007B6BA5"/>
    <w:rsid w:val="007B6BE5"/>
    <w:rsid w:val="007C3069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803636"/>
    <w:rsid w:val="008138E4"/>
    <w:rsid w:val="008175E9"/>
    <w:rsid w:val="00820DBE"/>
    <w:rsid w:val="008229DA"/>
    <w:rsid w:val="008242D7"/>
    <w:rsid w:val="00832905"/>
    <w:rsid w:val="00834A74"/>
    <w:rsid w:val="00842FAF"/>
    <w:rsid w:val="00844A23"/>
    <w:rsid w:val="008553AE"/>
    <w:rsid w:val="008566E6"/>
    <w:rsid w:val="008616E6"/>
    <w:rsid w:val="00871FD5"/>
    <w:rsid w:val="008749E1"/>
    <w:rsid w:val="008900F3"/>
    <w:rsid w:val="0089467C"/>
    <w:rsid w:val="008979B1"/>
    <w:rsid w:val="008A2299"/>
    <w:rsid w:val="008A6B25"/>
    <w:rsid w:val="008A6C4F"/>
    <w:rsid w:val="008A7362"/>
    <w:rsid w:val="008B0C07"/>
    <w:rsid w:val="008C1535"/>
    <w:rsid w:val="008D44E2"/>
    <w:rsid w:val="008E0E46"/>
    <w:rsid w:val="008E1D4C"/>
    <w:rsid w:val="008F36A7"/>
    <w:rsid w:val="008F42F2"/>
    <w:rsid w:val="008F56E4"/>
    <w:rsid w:val="00905AEA"/>
    <w:rsid w:val="00910229"/>
    <w:rsid w:val="00910E37"/>
    <w:rsid w:val="00915E24"/>
    <w:rsid w:val="009174F9"/>
    <w:rsid w:val="009178F6"/>
    <w:rsid w:val="00920726"/>
    <w:rsid w:val="00920AE2"/>
    <w:rsid w:val="00924330"/>
    <w:rsid w:val="0093457E"/>
    <w:rsid w:val="00937A13"/>
    <w:rsid w:val="00945A5D"/>
    <w:rsid w:val="0094761C"/>
    <w:rsid w:val="00956F81"/>
    <w:rsid w:val="00963CBA"/>
    <w:rsid w:val="00965ACC"/>
    <w:rsid w:val="00970D90"/>
    <w:rsid w:val="0097150D"/>
    <w:rsid w:val="00971B0B"/>
    <w:rsid w:val="00972131"/>
    <w:rsid w:val="00977813"/>
    <w:rsid w:val="009863A7"/>
    <w:rsid w:val="00986BF1"/>
    <w:rsid w:val="0099124E"/>
    <w:rsid w:val="00991261"/>
    <w:rsid w:val="00994010"/>
    <w:rsid w:val="00994014"/>
    <w:rsid w:val="009A37C7"/>
    <w:rsid w:val="009B1829"/>
    <w:rsid w:val="009B2FB7"/>
    <w:rsid w:val="009B3CC1"/>
    <w:rsid w:val="009B6F46"/>
    <w:rsid w:val="009D7741"/>
    <w:rsid w:val="009E2874"/>
    <w:rsid w:val="009E35FF"/>
    <w:rsid w:val="009E587B"/>
    <w:rsid w:val="00A12267"/>
    <w:rsid w:val="00A1427D"/>
    <w:rsid w:val="00A218D8"/>
    <w:rsid w:val="00A22441"/>
    <w:rsid w:val="00A24E0D"/>
    <w:rsid w:val="00A25434"/>
    <w:rsid w:val="00A27584"/>
    <w:rsid w:val="00A3317D"/>
    <w:rsid w:val="00A3734E"/>
    <w:rsid w:val="00A40281"/>
    <w:rsid w:val="00A464BD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3A4"/>
    <w:rsid w:val="00A879A4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479FD"/>
    <w:rsid w:val="00B54FDA"/>
    <w:rsid w:val="00B62799"/>
    <w:rsid w:val="00B62A41"/>
    <w:rsid w:val="00B65BD4"/>
    <w:rsid w:val="00B71EE4"/>
    <w:rsid w:val="00B742AE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B6685"/>
    <w:rsid w:val="00BC4804"/>
    <w:rsid w:val="00BC553A"/>
    <w:rsid w:val="00BC5CF4"/>
    <w:rsid w:val="00BC74E9"/>
    <w:rsid w:val="00BD42B2"/>
    <w:rsid w:val="00BE618E"/>
    <w:rsid w:val="00C12FE8"/>
    <w:rsid w:val="00C17582"/>
    <w:rsid w:val="00C203CF"/>
    <w:rsid w:val="00C20E3D"/>
    <w:rsid w:val="00C23226"/>
    <w:rsid w:val="00C253A4"/>
    <w:rsid w:val="00C3461F"/>
    <w:rsid w:val="00C4186E"/>
    <w:rsid w:val="00C463DD"/>
    <w:rsid w:val="00C46E2A"/>
    <w:rsid w:val="00C60DCD"/>
    <w:rsid w:val="00C626EA"/>
    <w:rsid w:val="00C62F76"/>
    <w:rsid w:val="00C64CF9"/>
    <w:rsid w:val="00C67726"/>
    <w:rsid w:val="00C67F22"/>
    <w:rsid w:val="00C72209"/>
    <w:rsid w:val="00C745C3"/>
    <w:rsid w:val="00C82B06"/>
    <w:rsid w:val="00C835F0"/>
    <w:rsid w:val="00CA1406"/>
    <w:rsid w:val="00CA27C0"/>
    <w:rsid w:val="00CA5C02"/>
    <w:rsid w:val="00CB4C9D"/>
    <w:rsid w:val="00CC18B3"/>
    <w:rsid w:val="00CC23F0"/>
    <w:rsid w:val="00CD42C3"/>
    <w:rsid w:val="00CD68B3"/>
    <w:rsid w:val="00CE4A8F"/>
    <w:rsid w:val="00CE58B6"/>
    <w:rsid w:val="00CE5C4D"/>
    <w:rsid w:val="00CE7E5D"/>
    <w:rsid w:val="00CF6553"/>
    <w:rsid w:val="00CF7C69"/>
    <w:rsid w:val="00CF7FCE"/>
    <w:rsid w:val="00D00E69"/>
    <w:rsid w:val="00D01ACC"/>
    <w:rsid w:val="00D02365"/>
    <w:rsid w:val="00D04934"/>
    <w:rsid w:val="00D0494A"/>
    <w:rsid w:val="00D0609D"/>
    <w:rsid w:val="00D11828"/>
    <w:rsid w:val="00D2031B"/>
    <w:rsid w:val="00D2387E"/>
    <w:rsid w:val="00D25FE2"/>
    <w:rsid w:val="00D32A92"/>
    <w:rsid w:val="00D37949"/>
    <w:rsid w:val="00D42146"/>
    <w:rsid w:val="00D43252"/>
    <w:rsid w:val="00D44AE0"/>
    <w:rsid w:val="00D44EFC"/>
    <w:rsid w:val="00D5171D"/>
    <w:rsid w:val="00D606BB"/>
    <w:rsid w:val="00D6100D"/>
    <w:rsid w:val="00D625F5"/>
    <w:rsid w:val="00D6361A"/>
    <w:rsid w:val="00D668CA"/>
    <w:rsid w:val="00D66E38"/>
    <w:rsid w:val="00D72869"/>
    <w:rsid w:val="00D753D8"/>
    <w:rsid w:val="00D84DB1"/>
    <w:rsid w:val="00D95849"/>
    <w:rsid w:val="00D96CC5"/>
    <w:rsid w:val="00D978C6"/>
    <w:rsid w:val="00DA67AD"/>
    <w:rsid w:val="00DB0284"/>
    <w:rsid w:val="00DB281B"/>
    <w:rsid w:val="00DB4C88"/>
    <w:rsid w:val="00DC16B9"/>
    <w:rsid w:val="00DC1797"/>
    <w:rsid w:val="00DD70B8"/>
    <w:rsid w:val="00DE19A0"/>
    <w:rsid w:val="00DE4184"/>
    <w:rsid w:val="00DF0081"/>
    <w:rsid w:val="00DF7129"/>
    <w:rsid w:val="00E049CA"/>
    <w:rsid w:val="00E130AB"/>
    <w:rsid w:val="00E14A78"/>
    <w:rsid w:val="00E154D5"/>
    <w:rsid w:val="00E15862"/>
    <w:rsid w:val="00E21A5F"/>
    <w:rsid w:val="00E24107"/>
    <w:rsid w:val="00E274C0"/>
    <w:rsid w:val="00E305E0"/>
    <w:rsid w:val="00E40163"/>
    <w:rsid w:val="00E4194D"/>
    <w:rsid w:val="00E450F1"/>
    <w:rsid w:val="00E45DE2"/>
    <w:rsid w:val="00E5126A"/>
    <w:rsid w:val="00E5317F"/>
    <w:rsid w:val="00E5644E"/>
    <w:rsid w:val="00E62EE3"/>
    <w:rsid w:val="00E66AF1"/>
    <w:rsid w:val="00E67EC8"/>
    <w:rsid w:val="00E7260F"/>
    <w:rsid w:val="00E8535A"/>
    <w:rsid w:val="00E92301"/>
    <w:rsid w:val="00E96630"/>
    <w:rsid w:val="00EB6541"/>
    <w:rsid w:val="00EB6832"/>
    <w:rsid w:val="00EC42EA"/>
    <w:rsid w:val="00EC5D78"/>
    <w:rsid w:val="00ED4EB3"/>
    <w:rsid w:val="00ED67DB"/>
    <w:rsid w:val="00ED7A2A"/>
    <w:rsid w:val="00EE18BF"/>
    <w:rsid w:val="00EE32E6"/>
    <w:rsid w:val="00EE3FC2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4AD"/>
    <w:rsid w:val="00F11A87"/>
    <w:rsid w:val="00F14001"/>
    <w:rsid w:val="00F14936"/>
    <w:rsid w:val="00F40E75"/>
    <w:rsid w:val="00F416AA"/>
    <w:rsid w:val="00F45C14"/>
    <w:rsid w:val="00F45D1A"/>
    <w:rsid w:val="00F475EB"/>
    <w:rsid w:val="00F5272A"/>
    <w:rsid w:val="00F54674"/>
    <w:rsid w:val="00F54DDA"/>
    <w:rsid w:val="00F6331D"/>
    <w:rsid w:val="00F660F2"/>
    <w:rsid w:val="00F72912"/>
    <w:rsid w:val="00F73E3B"/>
    <w:rsid w:val="00F74124"/>
    <w:rsid w:val="00F85D7A"/>
    <w:rsid w:val="00F873E7"/>
    <w:rsid w:val="00F93B34"/>
    <w:rsid w:val="00F957FD"/>
    <w:rsid w:val="00FA54B1"/>
    <w:rsid w:val="00FB6DCF"/>
    <w:rsid w:val="00FB7905"/>
    <w:rsid w:val="00FC3415"/>
    <w:rsid w:val="00FC68B7"/>
    <w:rsid w:val="00FD0F92"/>
    <w:rsid w:val="00FD2AAF"/>
    <w:rsid w:val="00FD6B2B"/>
    <w:rsid w:val="00FE0B49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customStyle="1" w:styleId="Default">
    <w:name w:val="Default"/>
    <w:rsid w:val="00D32A92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paragraph" w:styleId="Revision">
    <w:name w:val="Revision"/>
    <w:hidden/>
    <w:uiPriority w:val="99"/>
    <w:semiHidden/>
    <w:rsid w:val="0002271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customStyle="1" w:styleId="Default">
    <w:name w:val="Default"/>
    <w:rsid w:val="00D32A92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paragraph" w:styleId="Revision">
    <w:name w:val="Revision"/>
    <w:hidden/>
    <w:uiPriority w:val="99"/>
    <w:semiHidden/>
    <w:rsid w:val="000227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416A9-C9FD-4D85-AC19-7D79A3FE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4</cp:revision>
  <cp:lastPrinted>2015-11-20T08:27:00Z</cp:lastPrinted>
  <dcterms:created xsi:type="dcterms:W3CDTF">2015-11-20T08:42:00Z</dcterms:created>
  <dcterms:modified xsi:type="dcterms:W3CDTF">2015-11-20T11:10:00Z</dcterms:modified>
</cp:coreProperties>
</file>