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7848" w:rsidRPr="00405521" w:rsidTr="00DD37E0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7848" w:rsidRPr="005C54F5" w:rsidRDefault="00967848" w:rsidP="00967848">
            <w:pPr>
              <w:spacing w:after="80" w:line="340" w:lineRule="exact"/>
              <w:rPr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7848" w:rsidRPr="005C54F5" w:rsidRDefault="00967848" w:rsidP="00967848">
            <w:pPr>
              <w:spacing w:after="80" w:line="340" w:lineRule="exact"/>
              <w:rPr>
                <w:sz w:val="28"/>
                <w:szCs w:val="28"/>
                <w:lang w:val="en-US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03E" w:rsidRPr="00405521" w:rsidRDefault="00AB103E" w:rsidP="00AB103E">
            <w:pPr>
              <w:jc w:val="right"/>
              <w:rPr>
                <w:b/>
                <w:sz w:val="40"/>
                <w:szCs w:val="40"/>
                <w:lang w:val="en-US"/>
              </w:rPr>
            </w:pPr>
            <w:r w:rsidRPr="00405521">
              <w:rPr>
                <w:b/>
                <w:sz w:val="40"/>
                <w:szCs w:val="40"/>
                <w:lang w:val="en-US"/>
              </w:rPr>
              <w:t>UN/SCETDG/4</w:t>
            </w:r>
            <w:r w:rsidR="001E3573">
              <w:rPr>
                <w:b/>
                <w:sz w:val="40"/>
                <w:szCs w:val="40"/>
                <w:lang w:val="en-US"/>
              </w:rPr>
              <w:t>8</w:t>
            </w:r>
            <w:r w:rsidRPr="00405521">
              <w:rPr>
                <w:b/>
                <w:sz w:val="40"/>
                <w:szCs w:val="40"/>
                <w:lang w:val="en-US"/>
              </w:rPr>
              <w:t>/INF.</w:t>
            </w:r>
            <w:r w:rsidR="00DB3885">
              <w:rPr>
                <w:b/>
                <w:sz w:val="40"/>
                <w:szCs w:val="40"/>
                <w:lang w:val="en-US"/>
              </w:rPr>
              <w:t>2</w:t>
            </w:r>
            <w:r w:rsidR="006A4A68">
              <w:rPr>
                <w:b/>
                <w:sz w:val="40"/>
                <w:szCs w:val="40"/>
                <w:lang w:val="en-US"/>
              </w:rPr>
              <w:t>3</w:t>
            </w:r>
          </w:p>
          <w:p w:rsidR="00967848" w:rsidRPr="00405521" w:rsidRDefault="00967848" w:rsidP="00967848">
            <w:pPr>
              <w:jc w:val="right"/>
              <w:rPr>
                <w:highlight w:val="yellow"/>
                <w:lang w:val="en-US"/>
              </w:rPr>
            </w:pPr>
          </w:p>
        </w:tc>
      </w:tr>
    </w:tbl>
    <w:p w:rsidR="00AB103E" w:rsidRPr="006500BA" w:rsidRDefault="00AB103E" w:rsidP="00AB103E">
      <w:pPr>
        <w:spacing w:before="120" w:after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  <w:r w:rsidR="00844A7A">
        <w:rPr>
          <w:b/>
          <w:sz w:val="24"/>
          <w:szCs w:val="24"/>
        </w:rPr>
        <w:tab/>
      </w:r>
      <w:r w:rsidR="00844A7A">
        <w:rPr>
          <w:b/>
          <w:sz w:val="24"/>
          <w:szCs w:val="24"/>
        </w:rPr>
        <w:tab/>
      </w:r>
      <w:r w:rsidR="00844A7A">
        <w:rPr>
          <w:b/>
          <w:sz w:val="24"/>
          <w:szCs w:val="24"/>
        </w:rPr>
        <w:tab/>
      </w:r>
      <w:r w:rsidR="00844A7A">
        <w:rPr>
          <w:b/>
          <w:sz w:val="24"/>
          <w:szCs w:val="24"/>
        </w:rPr>
        <w:tab/>
      </w:r>
      <w:r w:rsidR="00844A7A">
        <w:rPr>
          <w:b/>
          <w:sz w:val="24"/>
          <w:szCs w:val="24"/>
        </w:rPr>
        <w:tab/>
      </w:r>
      <w:r w:rsidR="00844A7A">
        <w:rPr>
          <w:b/>
          <w:sz w:val="24"/>
          <w:szCs w:val="24"/>
        </w:rPr>
        <w:tab/>
      </w:r>
      <w:r w:rsidR="00844A7A">
        <w:rPr>
          <w:b/>
          <w:sz w:val="24"/>
          <w:szCs w:val="24"/>
        </w:rPr>
        <w:tab/>
      </w:r>
      <w:r w:rsidR="00844A7A">
        <w:rPr>
          <w:b/>
          <w:sz w:val="24"/>
          <w:szCs w:val="24"/>
        </w:rPr>
        <w:tab/>
      </w:r>
      <w:r w:rsidR="00844A7A">
        <w:rPr>
          <w:b/>
          <w:sz w:val="24"/>
          <w:szCs w:val="24"/>
        </w:rPr>
        <w:tab/>
      </w:r>
      <w:r w:rsidR="00A90BFE">
        <w:rPr>
          <w:b/>
          <w:sz w:val="24"/>
          <w:szCs w:val="24"/>
        </w:rPr>
        <w:tab/>
      </w:r>
      <w:r w:rsidR="001E3573" w:rsidRPr="00DB3885">
        <w:rPr>
          <w:b/>
        </w:rPr>
        <w:t>1</w:t>
      </w:r>
      <w:r w:rsidR="007E21F2">
        <w:rPr>
          <w:b/>
        </w:rPr>
        <w:t>8</w:t>
      </w:r>
      <w:r w:rsidR="00844A7A" w:rsidRPr="00DB3885">
        <w:rPr>
          <w:b/>
        </w:rPr>
        <w:t xml:space="preserve"> </w:t>
      </w:r>
      <w:r w:rsidR="001E3573" w:rsidRPr="00DB3885">
        <w:rPr>
          <w:b/>
        </w:rPr>
        <w:t>November</w:t>
      </w:r>
      <w:r w:rsidR="00844A7A" w:rsidRPr="00DB3885">
        <w:rPr>
          <w:b/>
        </w:rPr>
        <w:t xml:space="preserve"> 2015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2353"/>
        <w:gridCol w:w="2693"/>
      </w:tblGrid>
      <w:tr w:rsidR="00AB103E" w:rsidTr="003D0D10">
        <w:tc>
          <w:tcPr>
            <w:tcW w:w="6946" w:type="dxa"/>
            <w:gridSpan w:val="2"/>
            <w:shd w:val="clear" w:color="auto" w:fill="auto"/>
          </w:tcPr>
          <w:p w:rsidR="00AB103E" w:rsidRPr="006D12B1" w:rsidRDefault="00AB103E" w:rsidP="003D0D10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2693" w:type="dxa"/>
            <w:shd w:val="clear" w:color="auto" w:fill="auto"/>
          </w:tcPr>
          <w:p w:rsidR="00AB103E" w:rsidRPr="006D12B1" w:rsidRDefault="00AB103E" w:rsidP="0043243F">
            <w:pPr>
              <w:spacing w:before="120" w:after="120"/>
              <w:rPr>
                <w:b/>
              </w:rPr>
            </w:pPr>
          </w:p>
        </w:tc>
      </w:tr>
      <w:tr w:rsidR="003D0D10" w:rsidTr="003D0D10">
        <w:tc>
          <w:tcPr>
            <w:tcW w:w="6946" w:type="dxa"/>
            <w:gridSpan w:val="2"/>
            <w:shd w:val="clear" w:color="auto" w:fill="auto"/>
          </w:tcPr>
          <w:p w:rsidR="003D0D10" w:rsidRPr="006D12B1" w:rsidRDefault="003D0D10" w:rsidP="00894D34">
            <w:pPr>
              <w:spacing w:after="120"/>
              <w:ind w:right="57"/>
              <w:rPr>
                <w:b/>
              </w:rPr>
            </w:pPr>
            <w:r>
              <w:rPr>
                <w:b/>
              </w:rPr>
              <w:t>Forty-eight</w:t>
            </w:r>
            <w:r w:rsidR="00DB3885">
              <w:rPr>
                <w:b/>
              </w:rPr>
              <w:t>h</w:t>
            </w:r>
            <w:r w:rsidRPr="006D12B1">
              <w:rPr>
                <w:b/>
              </w:rPr>
              <w:t xml:space="preserve"> session</w:t>
            </w:r>
          </w:p>
        </w:tc>
        <w:tc>
          <w:tcPr>
            <w:tcW w:w="2693" w:type="dxa"/>
            <w:shd w:val="clear" w:color="auto" w:fill="auto"/>
          </w:tcPr>
          <w:p w:rsidR="003D0D10" w:rsidRPr="006D12B1" w:rsidRDefault="003D0D10" w:rsidP="0043243F">
            <w:pPr>
              <w:rPr>
                <w:b/>
              </w:rPr>
            </w:pPr>
          </w:p>
        </w:tc>
      </w:tr>
      <w:tr w:rsidR="003D0D10" w:rsidTr="0043243F">
        <w:tc>
          <w:tcPr>
            <w:tcW w:w="4593" w:type="dxa"/>
            <w:shd w:val="clear" w:color="auto" w:fill="auto"/>
          </w:tcPr>
          <w:p w:rsidR="003D0D10" w:rsidRPr="00976143" w:rsidRDefault="003D0D10" w:rsidP="00894D34">
            <w:pPr>
              <w:ind w:right="57"/>
            </w:pPr>
            <w:r w:rsidRPr="00976143">
              <w:t xml:space="preserve">Geneva, </w:t>
            </w:r>
            <w:r>
              <w:t xml:space="preserve">30 November </w:t>
            </w:r>
            <w:r>
              <w:rPr>
                <w:rFonts w:ascii="Courier New" w:hAnsi="Courier New" w:cs="Courier New"/>
              </w:rPr>
              <w:t>–</w:t>
            </w:r>
            <w:r>
              <w:t xml:space="preserve"> 9 December 2015</w:t>
            </w:r>
          </w:p>
          <w:p w:rsidR="003D0D10" w:rsidRPr="00BB027F" w:rsidRDefault="003D0D10" w:rsidP="00894D34">
            <w:pPr>
              <w:ind w:right="57"/>
            </w:pPr>
            <w:r w:rsidRPr="00BB027F">
              <w:t>Item</w:t>
            </w:r>
            <w:r>
              <w:t xml:space="preserve"> </w:t>
            </w:r>
            <w:r w:rsidR="00A849B1">
              <w:t>4 (d</w:t>
            </w:r>
            <w:r>
              <w:t>)</w:t>
            </w:r>
            <w:r w:rsidRPr="00BB027F">
              <w:t xml:space="preserve"> of the provisional agenda</w:t>
            </w:r>
          </w:p>
          <w:p w:rsidR="003D0D10" w:rsidRPr="00A849B1" w:rsidRDefault="00A849B1" w:rsidP="00894D34">
            <w:pPr>
              <w:spacing w:after="120"/>
              <w:ind w:right="57"/>
              <w:rPr>
                <w:b/>
              </w:rPr>
            </w:pPr>
            <w:r w:rsidRPr="00A849B1">
              <w:rPr>
                <w:b/>
              </w:rPr>
              <w:t>Electric storage systems</w:t>
            </w:r>
            <w:r w:rsidRPr="00A849B1">
              <w:rPr>
                <w:b/>
              </w:rPr>
              <w:t>: m</w:t>
            </w:r>
            <w:r w:rsidRPr="00A849B1">
              <w:rPr>
                <w:b/>
              </w:rPr>
              <w:t>iscellaneous</w:t>
            </w:r>
          </w:p>
        </w:tc>
        <w:tc>
          <w:tcPr>
            <w:tcW w:w="5046" w:type="dxa"/>
            <w:gridSpan w:val="2"/>
            <w:shd w:val="clear" w:color="auto" w:fill="auto"/>
          </w:tcPr>
          <w:p w:rsidR="003D0D10" w:rsidRPr="006B20F6" w:rsidRDefault="003D0D10" w:rsidP="0043243F">
            <w:pPr>
              <w:spacing w:after="120"/>
              <w:rPr>
                <w:b/>
                <w:strike/>
              </w:rPr>
            </w:pPr>
          </w:p>
        </w:tc>
      </w:tr>
    </w:tbl>
    <w:p w:rsidR="006A4A68" w:rsidRDefault="006A4A68" w:rsidP="006A4A68">
      <w:pPr>
        <w:pStyle w:val="HChG"/>
        <w:spacing w:before="240" w:line="240" w:lineRule="auto"/>
        <w:rPr>
          <w:szCs w:val="28"/>
        </w:rPr>
      </w:pPr>
      <w:r>
        <w:tab/>
      </w:r>
      <w:r>
        <w:tab/>
      </w:r>
      <w:r>
        <w:rPr>
          <w:szCs w:val="28"/>
        </w:rPr>
        <w:t>Transport of damaged and defective lithium b</w:t>
      </w:r>
      <w:r w:rsidRPr="00CC4C79">
        <w:rPr>
          <w:szCs w:val="28"/>
        </w:rPr>
        <w:t>atteries</w:t>
      </w:r>
      <w:r>
        <w:rPr>
          <w:szCs w:val="28"/>
        </w:rPr>
        <w:t>: comments to the working paper ST/SG/AC.10/C.3/2015/51 from OICA</w:t>
      </w:r>
    </w:p>
    <w:p w:rsidR="006A4A68" w:rsidRPr="00CC4C79" w:rsidRDefault="006A4A68" w:rsidP="006A4A68">
      <w:pPr>
        <w:pStyle w:val="HChG"/>
        <w:spacing w:before="240" w:line="240" w:lineRule="auto"/>
      </w:pPr>
      <w:r w:rsidRPr="00E73F7D">
        <w:rPr>
          <w:szCs w:val="28"/>
        </w:rPr>
        <w:tab/>
      </w:r>
      <w:r w:rsidRPr="00E73F7D">
        <w:rPr>
          <w:szCs w:val="28"/>
        </w:rPr>
        <w:tab/>
      </w:r>
      <w:r w:rsidRPr="00E73F7D">
        <w:t xml:space="preserve">Transmitted by </w:t>
      </w:r>
      <w:r>
        <w:t>the European Association for Advanced Rechargeable Batteries (RECHARGE)</w:t>
      </w:r>
    </w:p>
    <w:p w:rsidR="006A4A68" w:rsidRPr="000E646E" w:rsidRDefault="006A4A68" w:rsidP="006A4A68">
      <w:pPr>
        <w:pStyle w:val="HChG"/>
        <w:spacing w:before="12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In</w:t>
      </w:r>
      <w:r w:rsidRPr="00E73F7D">
        <w:rPr>
          <w:szCs w:val="28"/>
        </w:rPr>
        <w:t>troduction</w:t>
      </w:r>
      <w:r>
        <w:rPr>
          <w:szCs w:val="28"/>
        </w:rPr>
        <w:t xml:space="preserve"> </w:t>
      </w:r>
    </w:p>
    <w:p w:rsidR="006A4A68" w:rsidRDefault="006A4A68" w:rsidP="006A4A68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 xml:space="preserve">Improvements to the regulation for the transport of damaged and defective batteries under SP376 </w:t>
      </w: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been discussed at the TDG Sub-Committee during its 47</w:t>
      </w:r>
      <w:r w:rsidRPr="00513596">
        <w:rPr>
          <w:vertAlign w:val="superscript"/>
          <w:lang w:val="en-US"/>
        </w:rPr>
        <w:t>th</w:t>
      </w:r>
      <w:r>
        <w:rPr>
          <w:lang w:val="en-US"/>
        </w:rPr>
        <w:t xml:space="preserve"> session as a result of the Working Paper submitted by PRBA and DGAC (ST/SG/AC.10/C.3/2015/20).</w:t>
      </w:r>
    </w:p>
    <w:p w:rsidR="006A4A68" w:rsidRDefault="006A4A68" w:rsidP="006A4A68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Further consideration to this issue was given during the second informal working group meeting on lithium batteries testing requirements held in Washington DC in August 2015 as a result of a proposal made by OICA.</w:t>
      </w:r>
    </w:p>
    <w:p w:rsidR="006A4A68" w:rsidRDefault="006A4A68" w:rsidP="006A4A68">
      <w:pPr>
        <w:pStyle w:val="SingleTxtG"/>
        <w:rPr>
          <w:szCs w:val="28"/>
        </w:rPr>
      </w:pPr>
      <w:r>
        <w:rPr>
          <w:lang w:val="en-US"/>
        </w:rPr>
        <w:t>3.</w:t>
      </w:r>
      <w:r>
        <w:rPr>
          <w:lang w:val="en-US"/>
        </w:rPr>
        <w:tab/>
        <w:t>Due to the lack of time for an in-depth discussion at the second informal working group meeting, it was suggested to OICA to table its proposal on a modified SP376 at the agenda of the 48</w:t>
      </w:r>
      <w:r w:rsidRPr="00513596">
        <w:rPr>
          <w:vertAlign w:val="superscript"/>
          <w:lang w:val="en-US"/>
        </w:rPr>
        <w:t>th</w:t>
      </w:r>
      <w:r>
        <w:rPr>
          <w:lang w:val="en-US"/>
        </w:rPr>
        <w:t xml:space="preserve"> session of the Sub-Committee for further consideration. The proposal from OICA is contained in the Working Paper </w:t>
      </w:r>
      <w:r>
        <w:rPr>
          <w:szCs w:val="28"/>
        </w:rPr>
        <w:t>ST/SG/AC.10/C.3/2015/51.</w:t>
      </w:r>
    </w:p>
    <w:p w:rsidR="006A4A68" w:rsidRPr="008F0666" w:rsidRDefault="006A4A68" w:rsidP="006A4A68">
      <w:pPr>
        <w:pStyle w:val="SingleTxtG"/>
        <w:rPr>
          <w:color w:val="000000" w:themeColor="text1"/>
          <w:lang w:val="en-US"/>
        </w:rPr>
      </w:pPr>
      <w:r>
        <w:rPr>
          <w:color w:val="000000" w:themeColor="text1"/>
          <w:szCs w:val="28"/>
        </w:rPr>
        <w:t>4.</w:t>
      </w:r>
      <w:r>
        <w:rPr>
          <w:color w:val="000000" w:themeColor="text1"/>
          <w:szCs w:val="28"/>
        </w:rPr>
        <w:tab/>
      </w:r>
      <w:r w:rsidRPr="008F0666">
        <w:rPr>
          <w:color w:val="000000" w:themeColor="text1"/>
          <w:szCs w:val="28"/>
        </w:rPr>
        <w:t>RECHARGE is supporting the initiative taken by OICA and its objectives suggesting</w:t>
      </w:r>
      <w:r w:rsidRPr="008F0666">
        <w:rPr>
          <w:color w:val="000000" w:themeColor="text1"/>
          <w:lang w:val="en-US"/>
        </w:rPr>
        <w:t xml:space="preserve"> to discuss the possibility and th</w:t>
      </w:r>
      <w:r>
        <w:rPr>
          <w:color w:val="000000" w:themeColor="text1"/>
          <w:lang w:val="en-US"/>
        </w:rPr>
        <w:t>e need of defining packing requirements for</w:t>
      </w:r>
      <w:r w:rsidRPr="008F0666">
        <w:rPr>
          <w:color w:val="000000" w:themeColor="text1"/>
          <w:lang w:val="en-US"/>
        </w:rPr>
        <w:t xml:space="preserve"> the transport of potentially hazardous damaged or defect batteries (</w:t>
      </w:r>
      <w:r>
        <w:rPr>
          <w:color w:val="000000" w:themeColor="text1"/>
          <w:lang w:val="en-US"/>
        </w:rPr>
        <w:t xml:space="preserve">in </w:t>
      </w:r>
      <w:r w:rsidRPr="008F0666">
        <w:rPr>
          <w:color w:val="000000" w:themeColor="text1"/>
          <w:lang w:val="en-US"/>
        </w:rPr>
        <w:t>r</w:t>
      </w:r>
      <w:proofErr w:type="spellStart"/>
      <w:r w:rsidRPr="008F0666">
        <w:rPr>
          <w:color w:val="000000" w:themeColor="text1"/>
        </w:rPr>
        <w:t>eference</w:t>
      </w:r>
      <w:proofErr w:type="spellEnd"/>
      <w:r w:rsidRPr="008F0666">
        <w:rPr>
          <w:color w:val="000000" w:themeColor="text1"/>
        </w:rPr>
        <w:t xml:space="preserve"> to </w:t>
      </w:r>
      <w:r>
        <w:rPr>
          <w:color w:val="000000" w:themeColor="text1"/>
        </w:rPr>
        <w:t xml:space="preserve">the </w:t>
      </w:r>
      <w:r w:rsidRPr="008F0666">
        <w:rPr>
          <w:color w:val="000000" w:themeColor="text1"/>
        </w:rPr>
        <w:t xml:space="preserve">last § of SP376) </w:t>
      </w:r>
      <w:r w:rsidRPr="008F0666">
        <w:rPr>
          <w:color w:val="000000" w:themeColor="text1"/>
          <w:lang w:val="en-US"/>
        </w:rPr>
        <w:t xml:space="preserve">that currently can </w:t>
      </w:r>
      <w:r>
        <w:rPr>
          <w:color w:val="000000" w:themeColor="text1"/>
          <w:lang w:val="en-US"/>
        </w:rPr>
        <w:t>only be transported</w:t>
      </w:r>
      <w:r w:rsidRPr="008F0666">
        <w:rPr>
          <w:color w:val="000000" w:themeColor="text1"/>
          <w:lang w:val="en-US"/>
        </w:rPr>
        <w:t xml:space="preserve"> after being granted an approval by a competent authority</w:t>
      </w:r>
      <w:r>
        <w:rPr>
          <w:color w:val="000000" w:themeColor="text1"/>
          <w:lang w:val="en-US"/>
        </w:rPr>
        <w:t xml:space="preserve"> on an individual basis</w:t>
      </w:r>
      <w:r w:rsidRPr="008F0666">
        <w:rPr>
          <w:color w:val="000000" w:themeColor="text1"/>
          <w:lang w:val="en-US"/>
        </w:rPr>
        <w:t>.</w:t>
      </w:r>
    </w:p>
    <w:p w:rsidR="006A4A68" w:rsidRDefault="006A4A68" w:rsidP="006A4A68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>The objective of OICA is to define packing instructions and technical criteria that will allow the transport of potentially hazardous damaged and defective batteries (HD&amp;DB) without asking for an authorization from a Competent Authority on a case per case basis.</w:t>
      </w:r>
    </w:p>
    <w:p w:rsidR="006A4A68" w:rsidRDefault="006A4A68" w:rsidP="006A4A68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  <w:t>Such approvals delivered on an individual basis can be found at the following web address:</w:t>
      </w:r>
    </w:p>
    <w:p w:rsidR="006A4A68" w:rsidRDefault="00753D18" w:rsidP="006A4A68">
      <w:pPr>
        <w:pStyle w:val="SingleTxtG"/>
        <w:ind w:left="1701"/>
        <w:rPr>
          <w:color w:val="1F497D"/>
          <w:lang w:val="en-US"/>
        </w:rPr>
      </w:pPr>
      <w:hyperlink r:id="rId9" w:history="1">
        <w:r w:rsidR="006A4A68">
          <w:rPr>
            <w:rStyle w:val="Hyperlink"/>
            <w:lang w:val="en-US"/>
          </w:rPr>
          <w:t>http://www.unece.org/trans/danger/publi/adr/country-info_e.html</w:t>
        </w:r>
      </w:hyperlink>
    </w:p>
    <w:p w:rsidR="006A4A68" w:rsidRDefault="006A4A68" w:rsidP="006A4A68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 xml:space="preserve">RECHARGE comments supplied in the attached ANNEX to this Informal document are bringing complementary elements to OICA’s proposal considering </w:t>
      </w:r>
      <w:r w:rsidR="003E4B06">
        <w:rPr>
          <w:lang w:val="en-US"/>
        </w:rPr>
        <w:t xml:space="preserve">a wider range of batteries and </w:t>
      </w:r>
      <w:r>
        <w:rPr>
          <w:lang w:val="en-US"/>
        </w:rPr>
        <w:t>additional intervention means before the transport of these batteries, in particular, the possibility of de-activation of the HD&amp;DB.</w:t>
      </w:r>
    </w:p>
    <w:p w:rsidR="006A4A68" w:rsidRDefault="006A4A68" w:rsidP="006A4A68">
      <w:pPr>
        <w:pStyle w:val="SingleTxtG"/>
        <w:rPr>
          <w:lang w:val="en-US"/>
        </w:rPr>
      </w:pPr>
      <w:r>
        <w:rPr>
          <w:lang w:val="en-US"/>
        </w:rPr>
        <w:lastRenderedPageBreak/>
        <w:t>8.</w:t>
      </w:r>
      <w:r>
        <w:rPr>
          <w:lang w:val="en-US"/>
        </w:rPr>
        <w:tab/>
        <w:t>RECHARGE comments are supplied as complementary information to the technical discussion that should preferably be held during the 3</w:t>
      </w:r>
      <w:r w:rsidRPr="000F6C6E">
        <w:rPr>
          <w:vertAlign w:val="superscript"/>
          <w:lang w:val="en-US"/>
        </w:rPr>
        <w:t>rd</w:t>
      </w:r>
      <w:r>
        <w:rPr>
          <w:lang w:val="en-US"/>
        </w:rPr>
        <w:t xml:space="preserve"> IWG to be organized in Bordeaux (France) from March 29</w:t>
      </w:r>
      <w:r w:rsidRPr="00791CC0">
        <w:rPr>
          <w:vertAlign w:val="superscript"/>
          <w:lang w:val="en-US"/>
        </w:rPr>
        <w:t>th</w:t>
      </w:r>
      <w:r>
        <w:rPr>
          <w:lang w:val="en-US"/>
        </w:rPr>
        <w:t xml:space="preserve"> till March 31st 2015, pending the opinion of the Sub-Committee.</w:t>
      </w:r>
    </w:p>
    <w:p w:rsidR="003E4B06" w:rsidRDefault="003E4B06" w:rsidP="006A4A68">
      <w:pPr>
        <w:pStyle w:val="SingleTxtG"/>
        <w:spacing w:before="240" w:after="0"/>
        <w:jc w:val="center"/>
        <w:rPr>
          <w:u w:val="single"/>
          <w:lang w:val="en-US"/>
        </w:rPr>
        <w:sectPr w:rsidR="003E4B06" w:rsidSect="006A4A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701" w:right="1134" w:bottom="2268" w:left="1134" w:header="851" w:footer="851" w:gutter="0"/>
          <w:pgNumType w:start="1"/>
          <w:cols w:space="708"/>
          <w:titlePg/>
          <w:docGrid w:linePitch="360"/>
        </w:sectPr>
      </w:pPr>
    </w:p>
    <w:p w:rsidR="003E4B06" w:rsidRPr="005B539C" w:rsidRDefault="003E4B06" w:rsidP="003E4B06">
      <w:pPr>
        <w:pStyle w:val="HChG"/>
      </w:pPr>
      <w:r w:rsidRPr="005B539C">
        <w:lastRenderedPageBreak/>
        <w:t xml:space="preserve">ANNEX </w:t>
      </w:r>
      <w:bookmarkStart w:id="0" w:name="_GoBack"/>
      <w:bookmarkEnd w:id="0"/>
    </w:p>
    <w:p w:rsidR="003E4B06" w:rsidRDefault="003E4B06" w:rsidP="003E4B06">
      <w:pPr>
        <w:jc w:val="center"/>
        <w:rPr>
          <w:b/>
        </w:rPr>
      </w:pPr>
    </w:p>
    <w:p w:rsidR="003E4B06" w:rsidRDefault="003E4B06" w:rsidP="003E4B06">
      <w:pPr>
        <w:jc w:val="center"/>
        <w:rPr>
          <w:b/>
        </w:rPr>
      </w:pPr>
      <w:r>
        <w:rPr>
          <w:b/>
        </w:rPr>
        <w:t xml:space="preserve">COMMENTS TO THE WORKING PAPER </w:t>
      </w:r>
    </w:p>
    <w:p w:rsidR="003E4B06" w:rsidRPr="00093C2C" w:rsidRDefault="003E4B06" w:rsidP="003E4B06">
      <w:pPr>
        <w:spacing w:after="240"/>
        <w:jc w:val="center"/>
        <w:rPr>
          <w:b/>
        </w:rPr>
      </w:pPr>
      <w:r>
        <w:rPr>
          <w:b/>
        </w:rPr>
        <w:t xml:space="preserve">PREAPRED BY OICA </w:t>
      </w:r>
      <w:r>
        <w:rPr>
          <w:szCs w:val="28"/>
        </w:rPr>
        <w:t xml:space="preserve">ST/SG/AC.10/C.3/2015/51 </w:t>
      </w:r>
      <w:r>
        <w:rPr>
          <w:b/>
        </w:rPr>
        <w:t>(</w:t>
      </w:r>
      <w:r w:rsidRPr="00093C2C">
        <w:rPr>
          <w:b/>
        </w:rPr>
        <w:t>UN SUBCOMMITTEE 48</w:t>
      </w:r>
      <w:r w:rsidRPr="00093C2C">
        <w:rPr>
          <w:b/>
          <w:vertAlign w:val="superscript"/>
        </w:rPr>
        <w:t>TH</w:t>
      </w:r>
      <w:r w:rsidRPr="00093C2C">
        <w:rPr>
          <w:b/>
        </w:rPr>
        <w:t xml:space="preserve"> SESSION </w:t>
      </w:r>
      <w:r>
        <w:rPr>
          <w:b/>
        </w:rPr>
        <w:t xml:space="preserve">- </w:t>
      </w:r>
      <w:r w:rsidRPr="00093C2C">
        <w:rPr>
          <w:b/>
        </w:rPr>
        <w:t>December 2015</w:t>
      </w:r>
      <w:r>
        <w:rPr>
          <w:b/>
        </w:rPr>
        <w:t>)</w:t>
      </w:r>
    </w:p>
    <w:p w:rsidR="003E4B06" w:rsidRDefault="003E4B06" w:rsidP="003E4B06">
      <w:pPr>
        <w:pStyle w:val="ListParagraph"/>
        <w:numPr>
          <w:ilvl w:val="0"/>
          <w:numId w:val="24"/>
        </w:numPr>
        <w:spacing w:after="160" w:line="259" w:lineRule="auto"/>
        <w:contextualSpacing/>
        <w:jc w:val="left"/>
      </w:pPr>
      <w:r>
        <w:t>OBJECTIVE</w:t>
      </w:r>
    </w:p>
    <w:p w:rsidR="003E4B06" w:rsidRDefault="003E4B06" w:rsidP="003E4B06">
      <w:pPr>
        <w:pStyle w:val="ListParagraph"/>
        <w:numPr>
          <w:ilvl w:val="0"/>
          <w:numId w:val="24"/>
        </w:numPr>
        <w:spacing w:after="160" w:line="259" w:lineRule="auto"/>
        <w:contextualSpacing/>
        <w:jc w:val="left"/>
      </w:pPr>
      <w:r>
        <w:t>CHARACTERISTICS OF THE BATTERY UNDER CONSIDERATION</w:t>
      </w:r>
    </w:p>
    <w:p w:rsidR="003E4B06" w:rsidRDefault="003E4B06" w:rsidP="003E4B06">
      <w:pPr>
        <w:pStyle w:val="ListParagraph"/>
        <w:numPr>
          <w:ilvl w:val="0"/>
          <w:numId w:val="24"/>
        </w:numPr>
        <w:spacing w:after="160" w:line="259" w:lineRule="auto"/>
        <w:contextualSpacing/>
        <w:jc w:val="left"/>
      </w:pPr>
      <w:r>
        <w:t>PREVENTIVE BATTERY RELATED CRITERIA (for Transport)</w:t>
      </w:r>
    </w:p>
    <w:p w:rsidR="003E4B06" w:rsidRDefault="003E4B06" w:rsidP="003E4B06">
      <w:pPr>
        <w:pStyle w:val="ListParagraph"/>
        <w:numPr>
          <w:ilvl w:val="0"/>
          <w:numId w:val="24"/>
        </w:numPr>
        <w:spacing w:after="160" w:line="259" w:lineRule="auto"/>
        <w:contextualSpacing/>
        <w:jc w:val="left"/>
      </w:pPr>
      <w:r>
        <w:t>PACKAGING RELATED CRITERIA</w:t>
      </w:r>
    </w:p>
    <w:p w:rsidR="003E4B06" w:rsidRPr="00865FB2" w:rsidRDefault="003E4B06" w:rsidP="003E4B06">
      <w:pPr>
        <w:pStyle w:val="ListParagraph"/>
        <w:numPr>
          <w:ilvl w:val="0"/>
          <w:numId w:val="24"/>
        </w:numPr>
        <w:spacing w:after="160" w:line="259" w:lineRule="auto"/>
        <w:contextualSpacing/>
        <w:jc w:val="left"/>
      </w:pPr>
      <w:r w:rsidRPr="00940F76">
        <w:t>CRITERIA TO BE CONSIDERED FOR A SIMULATED ANALYSIS</w:t>
      </w:r>
    </w:p>
    <w:p w:rsidR="003E4B06" w:rsidRDefault="003E4B06" w:rsidP="003E4B06">
      <w:pPr>
        <w:pStyle w:val="ListParagraph"/>
        <w:numPr>
          <w:ilvl w:val="0"/>
          <w:numId w:val="24"/>
        </w:numPr>
        <w:spacing w:after="160" w:line="259" w:lineRule="auto"/>
        <w:contextualSpacing/>
        <w:jc w:val="left"/>
      </w:pPr>
      <w:r>
        <w:t>PRACTICAL TEST CRITERIA</w:t>
      </w:r>
    </w:p>
    <w:p w:rsidR="003E4B06" w:rsidRDefault="003E4B06" w:rsidP="003E4B06">
      <w:pPr>
        <w:pStyle w:val="ListParagraph"/>
        <w:numPr>
          <w:ilvl w:val="0"/>
          <w:numId w:val="24"/>
        </w:numPr>
        <w:spacing w:after="160" w:line="259" w:lineRule="auto"/>
        <w:contextualSpacing/>
        <w:jc w:val="left"/>
      </w:pPr>
      <w:r>
        <w:t>CRITERIA LINKED TO THE TESTS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483"/>
        <w:gridCol w:w="4665"/>
      </w:tblGrid>
      <w:tr w:rsidR="003E4B06" w:rsidRPr="00452399" w:rsidTr="00170064">
        <w:tc>
          <w:tcPr>
            <w:tcW w:w="846" w:type="dxa"/>
          </w:tcPr>
          <w:p w:rsidR="003E4B06" w:rsidRPr="00452399" w:rsidRDefault="003E4B06" w:rsidP="00170064">
            <w:pPr>
              <w:rPr>
                <w:b/>
              </w:rPr>
            </w:pPr>
          </w:p>
        </w:tc>
        <w:tc>
          <w:tcPr>
            <w:tcW w:w="8483" w:type="dxa"/>
          </w:tcPr>
          <w:p w:rsidR="003E4B06" w:rsidRPr="00452399" w:rsidRDefault="003E4B06" w:rsidP="00170064">
            <w:pPr>
              <w:rPr>
                <w:b/>
              </w:rPr>
            </w:pPr>
            <w:r w:rsidRPr="00CA5353">
              <w:rPr>
                <w:b/>
                <w:color w:val="FF0000"/>
              </w:rPr>
              <w:t>RECHARGE suggestions to OICA Proposal (In red and bold in the text)</w:t>
            </w:r>
          </w:p>
        </w:tc>
        <w:tc>
          <w:tcPr>
            <w:tcW w:w="4665" w:type="dxa"/>
          </w:tcPr>
          <w:p w:rsidR="003E4B06" w:rsidRPr="00452399" w:rsidRDefault="003E4B06" w:rsidP="00170064">
            <w:pPr>
              <w:rPr>
                <w:b/>
              </w:rPr>
            </w:pPr>
            <w:r w:rsidRPr="00452399">
              <w:rPr>
                <w:b/>
              </w:rPr>
              <w:t>COMMENTS</w:t>
            </w:r>
          </w:p>
        </w:tc>
      </w:tr>
      <w:tr w:rsidR="003E4B06" w:rsidTr="00170064">
        <w:tc>
          <w:tcPr>
            <w:tcW w:w="846" w:type="dxa"/>
          </w:tcPr>
          <w:p w:rsidR="003E4B06" w:rsidRDefault="003E4B06" w:rsidP="00170064">
            <w:r>
              <w:t>1.</w:t>
            </w:r>
          </w:p>
        </w:tc>
        <w:tc>
          <w:tcPr>
            <w:tcW w:w="8483" w:type="dxa"/>
          </w:tcPr>
          <w:p w:rsidR="003E4B06" w:rsidRDefault="003E4B06" w:rsidP="00170064">
            <w:r>
              <w:t>OBJECTIVE.</w:t>
            </w:r>
          </w:p>
        </w:tc>
        <w:tc>
          <w:tcPr>
            <w:tcW w:w="4665" w:type="dxa"/>
          </w:tcPr>
          <w:p w:rsidR="003E4B06" w:rsidRDefault="003E4B06" w:rsidP="00170064"/>
        </w:tc>
      </w:tr>
      <w:tr w:rsidR="003E4B06" w:rsidTr="00170064">
        <w:tc>
          <w:tcPr>
            <w:tcW w:w="846" w:type="dxa"/>
          </w:tcPr>
          <w:p w:rsidR="003E4B06" w:rsidRDefault="003E4B06" w:rsidP="00170064"/>
        </w:tc>
        <w:tc>
          <w:tcPr>
            <w:tcW w:w="8483" w:type="dxa"/>
          </w:tcPr>
          <w:p w:rsidR="003E4B06" w:rsidRDefault="003E4B06" w:rsidP="00170064">
            <w:r>
              <w:t>NB. Maintain Introductory Note of OICA §1 to §4.</w:t>
            </w:r>
          </w:p>
          <w:p w:rsidR="003E4B06" w:rsidRDefault="003E4B06" w:rsidP="00170064"/>
          <w:p w:rsidR="003E4B06" w:rsidRPr="008B642B" w:rsidRDefault="003E4B06" w:rsidP="00170064">
            <w:pPr>
              <w:rPr>
                <w:b/>
                <w:color w:val="FF0000"/>
              </w:rPr>
            </w:pPr>
            <w:r w:rsidRPr="008B642B">
              <w:rPr>
                <w:b/>
                <w:color w:val="FF0000"/>
              </w:rPr>
              <w:t>Objective.</w:t>
            </w:r>
          </w:p>
          <w:p w:rsidR="003E4B06" w:rsidRPr="008B642B" w:rsidRDefault="003E4B06" w:rsidP="00170064">
            <w:pPr>
              <w:rPr>
                <w:b/>
                <w:color w:val="FF0000"/>
              </w:rPr>
            </w:pPr>
            <w:r w:rsidRPr="008B642B">
              <w:rPr>
                <w:b/>
                <w:color w:val="FF0000"/>
              </w:rPr>
              <w:t>Develop Tests and Packaging Criteria (as well as tests certification data) that will allow the transport of hazardous damaged and defective batteries without authorization from a CA when applied (Reference to last § of SP376).</w:t>
            </w:r>
          </w:p>
          <w:p w:rsidR="003E4B06" w:rsidRPr="003A33FA" w:rsidRDefault="003E4B06" w:rsidP="00170064">
            <w:pPr>
              <w:rPr>
                <w:color w:val="000000" w:themeColor="text1"/>
              </w:rPr>
            </w:pPr>
          </w:p>
          <w:p w:rsidR="003E4B06" w:rsidRPr="003A33FA" w:rsidRDefault="003E4B06" w:rsidP="00170064">
            <w:pPr>
              <w:rPr>
                <w:color w:val="000000" w:themeColor="text1"/>
              </w:rPr>
            </w:pPr>
            <w:r w:rsidRPr="003A33FA">
              <w:rPr>
                <w:color w:val="000000" w:themeColor="text1"/>
              </w:rPr>
              <w:t xml:space="preserve">OICA § 5. </w:t>
            </w:r>
          </w:p>
          <w:p w:rsidR="003E4B06" w:rsidRPr="003A33FA" w:rsidRDefault="003E4B06" w:rsidP="00170064">
            <w:pPr>
              <w:rPr>
                <w:color w:val="000000" w:themeColor="text1"/>
              </w:rPr>
            </w:pPr>
          </w:p>
          <w:p w:rsidR="003E4B06" w:rsidRDefault="003E4B06" w:rsidP="00170064">
            <w:pPr>
              <w:pStyle w:val="SingleTxtG"/>
              <w:ind w:left="34" w:right="154"/>
            </w:pPr>
            <w:r w:rsidRPr="00A85C89">
              <w:rPr>
                <w:lang w:val="en-US"/>
              </w:rPr>
              <w:t>5.</w:t>
            </w:r>
            <w:r w:rsidRPr="00A85C89">
              <w:rPr>
                <w:lang w:val="en-US"/>
              </w:rPr>
              <w:tab/>
              <w:t>OICA proposes to discuss the possibility and the need of defining standards to packaging and testing regarding the transport of such potentially risky damaged/defect batteries as a way to avoid competent authority approvals. In many cases that could be covered by already existing solutions based on granted competent authority approvals.</w:t>
            </w:r>
          </w:p>
        </w:tc>
        <w:tc>
          <w:tcPr>
            <w:tcW w:w="4665" w:type="dxa"/>
          </w:tcPr>
          <w:p w:rsidR="003E4B06" w:rsidRDefault="003E4B06" w:rsidP="00170064"/>
          <w:p w:rsidR="003E4B06" w:rsidRDefault="003E4B06" w:rsidP="00170064"/>
          <w:p w:rsidR="003E4B06" w:rsidRDefault="003E4B06" w:rsidP="00170064"/>
          <w:p w:rsidR="003E4B06" w:rsidRDefault="003E4B06" w:rsidP="00170064"/>
        </w:tc>
      </w:tr>
    </w:tbl>
    <w:p w:rsidR="003E4B06" w:rsidRDefault="003E4B06" w:rsidP="003E4B0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483"/>
        <w:gridCol w:w="4665"/>
      </w:tblGrid>
      <w:tr w:rsidR="003E4B06" w:rsidTr="00170064">
        <w:tc>
          <w:tcPr>
            <w:tcW w:w="846" w:type="dxa"/>
          </w:tcPr>
          <w:p w:rsidR="003E4B06" w:rsidRDefault="003E4B06" w:rsidP="00170064">
            <w:r>
              <w:lastRenderedPageBreak/>
              <w:t xml:space="preserve">2. </w:t>
            </w:r>
          </w:p>
        </w:tc>
        <w:tc>
          <w:tcPr>
            <w:tcW w:w="8483" w:type="dxa"/>
          </w:tcPr>
          <w:p w:rsidR="003E4B06" w:rsidRDefault="003E4B06" w:rsidP="00170064">
            <w:r>
              <w:t>CHARACTERISTICS OF THE BATTERY UNDER CONSIDERATION</w:t>
            </w:r>
          </w:p>
        </w:tc>
        <w:tc>
          <w:tcPr>
            <w:tcW w:w="4665" w:type="dxa"/>
          </w:tcPr>
          <w:p w:rsidR="003E4B06" w:rsidRDefault="003E4B06" w:rsidP="00170064"/>
        </w:tc>
      </w:tr>
      <w:tr w:rsidR="003E4B06" w:rsidTr="00170064">
        <w:tc>
          <w:tcPr>
            <w:tcW w:w="846" w:type="dxa"/>
          </w:tcPr>
          <w:p w:rsidR="003E4B06" w:rsidRDefault="003E4B06" w:rsidP="00170064"/>
        </w:tc>
        <w:tc>
          <w:tcPr>
            <w:tcW w:w="8483" w:type="dxa"/>
          </w:tcPr>
          <w:p w:rsidR="003E4B06" w:rsidRDefault="003E4B06" w:rsidP="00170064">
            <w:pPr>
              <w:pStyle w:val="SingleTxtG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OICA § </w:t>
            </w:r>
            <w:proofErr w:type="gramStart"/>
            <w:r>
              <w:rPr>
                <w:lang w:val="en-US"/>
              </w:rPr>
              <w:t>6 .</w:t>
            </w:r>
            <w:proofErr w:type="gramEnd"/>
            <w:r>
              <w:rPr>
                <w:lang w:val="en-US"/>
              </w:rPr>
              <w:t xml:space="preserve"> </w:t>
            </w:r>
            <w:r w:rsidRPr="008128DA">
              <w:rPr>
                <w:lang w:val="en-US"/>
              </w:rPr>
              <w:t xml:space="preserve">The following </w:t>
            </w:r>
            <w:r>
              <w:rPr>
                <w:lang w:val="en-US"/>
              </w:rPr>
              <w:t>scenarios</w:t>
            </w:r>
            <w:r w:rsidRPr="008128DA">
              <w:rPr>
                <w:lang w:val="en-US"/>
              </w:rPr>
              <w:t xml:space="preserve"> must be considered, if applicable: </w:t>
            </w:r>
          </w:p>
          <w:p w:rsidR="003E4B06" w:rsidRPr="003A33FA" w:rsidRDefault="003E4B06" w:rsidP="00170064">
            <w:pPr>
              <w:pStyle w:val="SingleTxtG"/>
              <w:ind w:left="0"/>
              <w:rPr>
                <w:b/>
                <w:color w:val="FF0000"/>
                <w:lang w:val="en-US"/>
              </w:rPr>
            </w:pPr>
            <w:r w:rsidRPr="003A33FA">
              <w:rPr>
                <w:b/>
                <w:color w:val="FF0000"/>
                <w:lang w:val="en-US"/>
              </w:rPr>
              <w:t>These provisions apply to batteries subject to or showing the following properties:</w:t>
            </w:r>
          </w:p>
          <w:p w:rsidR="003E4B06" w:rsidRPr="008128DA" w:rsidRDefault="003E4B06" w:rsidP="00170064">
            <w:pPr>
              <w:pStyle w:val="SingleTxtG"/>
              <w:tabs>
                <w:tab w:val="left" w:pos="884"/>
              </w:tabs>
              <w:ind w:left="175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)</w:t>
            </w:r>
            <w:r>
              <w:rPr>
                <w:lang w:val="en-US"/>
              </w:rPr>
              <w:tab/>
              <w:t>R</w:t>
            </w:r>
            <w:r w:rsidRPr="008128DA">
              <w:rPr>
                <w:lang w:val="en-US"/>
              </w:rPr>
              <w:t>apid disassemble,</w:t>
            </w:r>
          </w:p>
          <w:p w:rsidR="003E4B06" w:rsidRPr="008128DA" w:rsidRDefault="003E4B06" w:rsidP="00170064">
            <w:pPr>
              <w:pStyle w:val="SingleTxtG"/>
              <w:tabs>
                <w:tab w:val="left" w:pos="884"/>
              </w:tabs>
              <w:ind w:left="175"/>
            </w:pPr>
            <w:r>
              <w:t>(ii)</w:t>
            </w:r>
            <w:r>
              <w:tab/>
              <w:t>D</w:t>
            </w:r>
            <w:r w:rsidRPr="008128DA">
              <w:t>angerous reaction,</w:t>
            </w:r>
          </w:p>
          <w:p w:rsidR="003E4B06" w:rsidRPr="008128DA" w:rsidRDefault="003E4B06" w:rsidP="00170064">
            <w:pPr>
              <w:pStyle w:val="SingleTxtG"/>
              <w:tabs>
                <w:tab w:val="left" w:pos="884"/>
              </w:tabs>
              <w:ind w:left="175"/>
              <w:rPr>
                <w:lang w:val="en-US"/>
              </w:rPr>
            </w:pPr>
            <w:r>
              <w:rPr>
                <w:lang w:val="en-US"/>
              </w:rPr>
              <w:t>(iii)</w:t>
            </w:r>
            <w:r>
              <w:rPr>
                <w:lang w:val="en-US"/>
              </w:rPr>
              <w:tab/>
              <w:t>P</w:t>
            </w:r>
            <w:r w:rsidRPr="008128DA">
              <w:rPr>
                <w:lang w:val="en-US"/>
              </w:rPr>
              <w:t>roduce of a flame,</w:t>
            </w:r>
          </w:p>
          <w:p w:rsidR="003E4B06" w:rsidRPr="008128DA" w:rsidRDefault="003E4B06" w:rsidP="00170064">
            <w:pPr>
              <w:pStyle w:val="SingleTxtG"/>
              <w:tabs>
                <w:tab w:val="left" w:pos="884"/>
              </w:tabs>
              <w:ind w:left="175"/>
              <w:rPr>
                <w:lang w:val="en-US"/>
              </w:rPr>
            </w:pPr>
            <w:r>
              <w:rPr>
                <w:lang w:val="en-US"/>
              </w:rPr>
              <w:t>(iv)</w:t>
            </w:r>
            <w:r>
              <w:rPr>
                <w:lang w:val="en-US"/>
              </w:rPr>
              <w:tab/>
              <w:t>D</w:t>
            </w:r>
            <w:r w:rsidRPr="008128DA">
              <w:rPr>
                <w:lang w:val="en-US"/>
              </w:rPr>
              <w:t>angerous evolution of heat, or</w:t>
            </w:r>
          </w:p>
          <w:p w:rsidR="003E4B06" w:rsidRDefault="003E4B06" w:rsidP="00170064">
            <w:pPr>
              <w:pStyle w:val="SingleTxtG"/>
              <w:tabs>
                <w:tab w:val="left" w:pos="884"/>
              </w:tabs>
              <w:ind w:left="175"/>
              <w:rPr>
                <w:lang w:val="en-US"/>
              </w:rPr>
            </w:pPr>
            <w:r>
              <w:rPr>
                <w:lang w:val="en-US"/>
              </w:rPr>
              <w:t>(v)</w:t>
            </w:r>
            <w:r>
              <w:rPr>
                <w:lang w:val="en-US"/>
              </w:rPr>
              <w:tab/>
              <w:t>D</w:t>
            </w:r>
            <w:r w:rsidRPr="008128DA">
              <w:rPr>
                <w:lang w:val="en-US"/>
              </w:rPr>
              <w:t xml:space="preserve">angerous emission of acute toxic, corrosive or flammable gases or </w:t>
            </w:r>
            <w:r>
              <w:rPr>
                <w:lang w:val="en-US"/>
              </w:rPr>
              <w:t>vapors</w:t>
            </w:r>
            <w:r w:rsidRPr="008128DA">
              <w:rPr>
                <w:lang w:val="en-US"/>
              </w:rPr>
              <w:t>.</w:t>
            </w:r>
          </w:p>
          <w:p w:rsidR="003E4B06" w:rsidRDefault="003E4B06" w:rsidP="00170064">
            <w:pPr>
              <w:pStyle w:val="SingleTxtG"/>
              <w:tabs>
                <w:tab w:val="left" w:pos="884"/>
              </w:tabs>
              <w:ind w:left="175"/>
              <w:rPr>
                <w:b/>
                <w:color w:val="FF0000"/>
                <w:lang w:val="en-US"/>
              </w:rPr>
            </w:pPr>
            <w:r w:rsidRPr="008B642B">
              <w:rPr>
                <w:b/>
                <w:color w:val="FF0000"/>
                <w:lang w:val="en-US"/>
              </w:rPr>
              <w:t>Damaged and Defective Batteries that have started to react are not allowed for transport.</w:t>
            </w:r>
          </w:p>
          <w:p w:rsidR="003E4B06" w:rsidRPr="003E4B06" w:rsidRDefault="003E4B06" w:rsidP="003E4B06">
            <w:pPr>
              <w:pStyle w:val="SingleTxtG"/>
              <w:tabs>
                <w:tab w:val="left" w:pos="884"/>
              </w:tabs>
              <w:ind w:left="175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The transport of hazardous damaged and defective batteries should be segregated from the transport of other goods (dangerous or not).</w:t>
            </w:r>
          </w:p>
        </w:tc>
        <w:tc>
          <w:tcPr>
            <w:tcW w:w="4665" w:type="dxa"/>
          </w:tcPr>
          <w:p w:rsidR="003E4B06" w:rsidRDefault="003E4B06" w:rsidP="00170064"/>
        </w:tc>
      </w:tr>
      <w:tr w:rsidR="003E4B06" w:rsidTr="00170064">
        <w:tc>
          <w:tcPr>
            <w:tcW w:w="846" w:type="dxa"/>
          </w:tcPr>
          <w:p w:rsidR="003E4B06" w:rsidRDefault="003E4B06" w:rsidP="00170064">
            <w:r>
              <w:t>3.</w:t>
            </w:r>
          </w:p>
        </w:tc>
        <w:tc>
          <w:tcPr>
            <w:tcW w:w="8483" w:type="dxa"/>
          </w:tcPr>
          <w:p w:rsidR="003E4B06" w:rsidRDefault="003E4B06" w:rsidP="00170064">
            <w:r>
              <w:t>PREVENTIVE BATTERY RELATED CRITERIA (before Transport)</w:t>
            </w:r>
          </w:p>
        </w:tc>
        <w:tc>
          <w:tcPr>
            <w:tcW w:w="4665" w:type="dxa"/>
          </w:tcPr>
          <w:p w:rsidR="003E4B06" w:rsidRDefault="003E4B06" w:rsidP="00170064"/>
        </w:tc>
      </w:tr>
      <w:tr w:rsidR="003E4B06" w:rsidTr="00170064">
        <w:tc>
          <w:tcPr>
            <w:tcW w:w="846" w:type="dxa"/>
          </w:tcPr>
          <w:p w:rsidR="003E4B06" w:rsidRDefault="003E4B06" w:rsidP="00170064"/>
        </w:tc>
        <w:tc>
          <w:tcPr>
            <w:tcW w:w="8483" w:type="dxa"/>
          </w:tcPr>
          <w:p w:rsidR="003E4B06" w:rsidRDefault="003E4B06" w:rsidP="00170064">
            <w:r>
              <w:t>OICA § 6.</w:t>
            </w:r>
          </w:p>
          <w:p w:rsidR="003E4B06" w:rsidRDefault="003E4B06" w:rsidP="00170064"/>
          <w:p w:rsidR="003E4B06" w:rsidRPr="008128DA" w:rsidRDefault="003E4B06" w:rsidP="00170064">
            <w:pPr>
              <w:pStyle w:val="SingleTxtG"/>
              <w:ind w:left="175"/>
              <w:rPr>
                <w:lang w:val="en-US"/>
              </w:rPr>
            </w:pPr>
            <w:r>
              <w:rPr>
                <w:lang w:val="en-US"/>
              </w:rPr>
              <w:t>(a)</w:t>
            </w:r>
            <w:r>
              <w:rPr>
                <w:lang w:val="en-US"/>
              </w:rPr>
              <w:tab/>
            </w:r>
            <w:r w:rsidRPr="008128DA">
              <w:rPr>
                <w:lang w:val="en-US"/>
              </w:rPr>
              <w:t xml:space="preserve">All terminals of </w:t>
            </w:r>
            <w:r>
              <w:rPr>
                <w:lang w:val="en-US"/>
              </w:rPr>
              <w:t xml:space="preserve">lithium </w:t>
            </w:r>
            <w:r w:rsidRPr="008128DA">
              <w:rPr>
                <w:lang w:val="en-US"/>
              </w:rPr>
              <w:t xml:space="preserve">cells and </w:t>
            </w:r>
            <w:r>
              <w:rPr>
                <w:lang w:val="en-US"/>
              </w:rPr>
              <w:t>b</w:t>
            </w:r>
            <w:r w:rsidRPr="008128DA">
              <w:rPr>
                <w:lang w:val="en-US"/>
              </w:rPr>
              <w:t>atteries shall be protected against external short circuit.</w:t>
            </w:r>
          </w:p>
          <w:p w:rsidR="003E4B06" w:rsidRPr="008128DA" w:rsidRDefault="003E4B06" w:rsidP="00170064">
            <w:pPr>
              <w:pStyle w:val="SingleTxtG"/>
              <w:ind w:left="175"/>
              <w:rPr>
                <w:lang w:val="en-US"/>
              </w:rPr>
            </w:pPr>
            <w:r>
              <w:rPr>
                <w:lang w:val="en-US"/>
              </w:rPr>
              <w:t>(b)</w:t>
            </w:r>
            <w:r>
              <w:rPr>
                <w:lang w:val="en-US"/>
              </w:rPr>
              <w:tab/>
            </w:r>
            <w:r w:rsidRPr="008128DA">
              <w:rPr>
                <w:lang w:val="en-US"/>
              </w:rPr>
              <w:t xml:space="preserve">All openings for service fluids other than </w:t>
            </w:r>
            <w:r>
              <w:rPr>
                <w:lang w:val="en-US"/>
              </w:rPr>
              <w:t xml:space="preserve">for </w:t>
            </w:r>
            <w:r w:rsidRPr="008128DA">
              <w:rPr>
                <w:lang w:val="en-US"/>
              </w:rPr>
              <w:t>electrolyte shall be closed.</w:t>
            </w:r>
          </w:p>
          <w:p w:rsidR="003E4B06" w:rsidRPr="00FE13D6" w:rsidRDefault="003E4B06" w:rsidP="00170064">
            <w:pPr>
              <w:pStyle w:val="SingleTxtG"/>
              <w:ind w:left="175"/>
              <w:rPr>
                <w:color w:val="FF0000"/>
                <w:lang w:val="en-US"/>
              </w:rPr>
            </w:pPr>
            <w:r>
              <w:rPr>
                <w:lang w:val="en-US"/>
              </w:rPr>
              <w:t>(c)</w:t>
            </w:r>
            <w:r>
              <w:rPr>
                <w:lang w:val="en-US"/>
              </w:rPr>
              <w:tab/>
            </w:r>
            <w:r w:rsidRPr="008128DA">
              <w:rPr>
                <w:lang w:val="en-US"/>
              </w:rPr>
              <w:t xml:space="preserve">Residues of dangerous goods as well as of the electrolyte on the surface of the outer casing of </w:t>
            </w:r>
            <w:r>
              <w:rPr>
                <w:lang w:val="en-US"/>
              </w:rPr>
              <w:t xml:space="preserve">Lithium </w:t>
            </w:r>
            <w:r w:rsidRPr="008128DA">
              <w:rPr>
                <w:lang w:val="en-US"/>
              </w:rPr>
              <w:t xml:space="preserve">cells and </w:t>
            </w:r>
            <w:r>
              <w:rPr>
                <w:lang w:val="en-US"/>
              </w:rPr>
              <w:t>b</w:t>
            </w:r>
            <w:r w:rsidRPr="008128DA">
              <w:rPr>
                <w:lang w:val="en-US"/>
              </w:rPr>
              <w:t>atter</w:t>
            </w:r>
            <w:r>
              <w:rPr>
                <w:lang w:val="en-US"/>
              </w:rPr>
              <w:t>ies shall be removed</w:t>
            </w:r>
            <w:r w:rsidRPr="00FE13D6">
              <w:rPr>
                <w:b/>
                <w:lang w:val="en-US"/>
              </w:rPr>
              <w:t xml:space="preserve">, </w:t>
            </w:r>
            <w:r>
              <w:rPr>
                <w:b/>
                <w:color w:val="FF0000"/>
                <w:lang w:val="en-US"/>
              </w:rPr>
              <w:t>as appropriate</w:t>
            </w:r>
            <w:r>
              <w:rPr>
                <w:color w:val="FF0000"/>
                <w:lang w:val="en-US"/>
              </w:rPr>
              <w:t>.</w:t>
            </w:r>
          </w:p>
          <w:p w:rsidR="003E4B06" w:rsidRPr="001D7DA7" w:rsidRDefault="003E4B06" w:rsidP="00170064">
            <w:pPr>
              <w:pStyle w:val="SingleTxtG"/>
              <w:ind w:left="175"/>
              <w:rPr>
                <w:lang w:val="en-US"/>
              </w:rPr>
            </w:pPr>
            <w:r w:rsidRPr="004766A4">
              <w:rPr>
                <w:b/>
                <w:color w:val="FF0000"/>
                <w:lang w:val="en-US"/>
              </w:rPr>
              <w:t xml:space="preserve">(x new) The deactivation of batteries may be considered </w:t>
            </w:r>
            <w:r>
              <w:rPr>
                <w:b/>
                <w:color w:val="FF0000"/>
                <w:lang w:val="en-US"/>
              </w:rPr>
              <w:t>as an alternative preventive measure before transport. In this case, such de-activated damaged and defective batteries will be transported under SP376 and P908 or LP904.</w:t>
            </w:r>
          </w:p>
        </w:tc>
        <w:tc>
          <w:tcPr>
            <w:tcW w:w="4665" w:type="dxa"/>
          </w:tcPr>
          <w:p w:rsidR="003E4B06" w:rsidRDefault="003E4B06" w:rsidP="00170064"/>
          <w:p w:rsidR="003E4B06" w:rsidRDefault="003E4B06" w:rsidP="00170064"/>
          <w:p w:rsidR="003E4B06" w:rsidRDefault="003E4B06" w:rsidP="00170064">
            <w:r>
              <w:t>For Liquid Cooled Batteries draining the cooling liquid may be an appropriate measure.</w:t>
            </w:r>
          </w:p>
          <w:p w:rsidR="003E4B06" w:rsidRDefault="003E4B06" w:rsidP="00170064"/>
          <w:p w:rsidR="003E4B06" w:rsidRDefault="003E4B06" w:rsidP="00170064">
            <w:r>
              <w:t xml:space="preserve">P908 requires already the use of absorbent material. Removing chemicals on site (by a non-expert) may be hazardous. There should be an alternative to the requirements of item </w:t>
            </w:r>
            <w:proofErr w:type="gramStart"/>
            <w:r>
              <w:t>( c</w:t>
            </w:r>
            <w:proofErr w:type="gramEnd"/>
            <w:r>
              <w:t xml:space="preserve"> ).</w:t>
            </w:r>
          </w:p>
          <w:p w:rsidR="003E4B06" w:rsidRDefault="003E4B06" w:rsidP="00170064">
            <w:pPr>
              <w:spacing w:after="160" w:line="259" w:lineRule="auto"/>
            </w:pPr>
          </w:p>
        </w:tc>
      </w:tr>
    </w:tbl>
    <w:p w:rsidR="003E4B06" w:rsidRDefault="003E4B06" w:rsidP="003E4B06"/>
    <w:p w:rsidR="003E4B06" w:rsidRDefault="003E4B06" w:rsidP="003E4B0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483"/>
        <w:gridCol w:w="4665"/>
      </w:tblGrid>
      <w:tr w:rsidR="003E4B06" w:rsidTr="00170064">
        <w:tc>
          <w:tcPr>
            <w:tcW w:w="846" w:type="dxa"/>
          </w:tcPr>
          <w:p w:rsidR="003E4B06" w:rsidRDefault="003E4B06" w:rsidP="00170064">
            <w:r>
              <w:lastRenderedPageBreak/>
              <w:t xml:space="preserve">4.1. </w:t>
            </w:r>
          </w:p>
        </w:tc>
        <w:tc>
          <w:tcPr>
            <w:tcW w:w="8483" w:type="dxa"/>
          </w:tcPr>
          <w:p w:rsidR="003E4B06" w:rsidRDefault="003E4B06" w:rsidP="00170064">
            <w:r>
              <w:t xml:space="preserve">PACKAGING RELATED CRITERIA </w:t>
            </w:r>
          </w:p>
        </w:tc>
        <w:tc>
          <w:tcPr>
            <w:tcW w:w="4665" w:type="dxa"/>
          </w:tcPr>
          <w:p w:rsidR="003E4B06" w:rsidRDefault="003E4B06" w:rsidP="00170064"/>
        </w:tc>
      </w:tr>
      <w:tr w:rsidR="003E4B06" w:rsidTr="00170064">
        <w:tc>
          <w:tcPr>
            <w:tcW w:w="846" w:type="dxa"/>
          </w:tcPr>
          <w:p w:rsidR="003E4B06" w:rsidRPr="001D7DA7" w:rsidRDefault="003E4B06" w:rsidP="00170064"/>
        </w:tc>
        <w:tc>
          <w:tcPr>
            <w:tcW w:w="8483" w:type="dxa"/>
          </w:tcPr>
          <w:p w:rsidR="003E4B06" w:rsidRDefault="003E4B06" w:rsidP="00170064">
            <w:pPr>
              <w:pStyle w:val="SingleTxtG"/>
              <w:ind w:left="34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OICA § 6.</w:t>
            </w:r>
          </w:p>
          <w:p w:rsidR="003E4B06" w:rsidRPr="001D7DA7" w:rsidRDefault="003E4B06" w:rsidP="00170064">
            <w:pPr>
              <w:pStyle w:val="SingleTxtG"/>
              <w:ind w:left="34"/>
              <w:rPr>
                <w:rFonts w:eastAsia="MS Mincho"/>
                <w:lang w:eastAsia="ja-JP"/>
              </w:rPr>
            </w:pPr>
            <w:r w:rsidRPr="001D7DA7">
              <w:rPr>
                <w:rFonts w:eastAsia="MS Mincho"/>
                <w:lang w:eastAsia="ja-JP"/>
              </w:rPr>
              <w:t>(d)</w:t>
            </w:r>
            <w:r w:rsidRPr="001D7DA7">
              <w:rPr>
                <w:rFonts w:eastAsia="MS Mincho"/>
                <w:lang w:eastAsia="ja-JP"/>
              </w:rPr>
              <w:tab/>
              <w:t>Packaging shall conform to the packing group I performance level.</w:t>
            </w:r>
          </w:p>
          <w:p w:rsidR="003E4B06" w:rsidRPr="003E4B06" w:rsidRDefault="003E4B06" w:rsidP="00170064">
            <w:pPr>
              <w:rPr>
                <w:lang w:val="en-US"/>
              </w:rPr>
            </w:pPr>
            <w:r w:rsidRPr="001D7DA7">
              <w:rPr>
                <w:lang w:val="en-US"/>
              </w:rPr>
              <w:t>(e)</w:t>
            </w:r>
            <w:r w:rsidRPr="001D7DA7">
              <w:rPr>
                <w:lang w:val="en-US"/>
              </w:rPr>
              <w:tab/>
              <w:t>The packaging must be capable to withstand the potential</w:t>
            </w:r>
            <w:r>
              <w:rPr>
                <w:lang w:val="en-US"/>
              </w:rPr>
              <w:t xml:space="preserve"> </w:t>
            </w:r>
            <w:r w:rsidRPr="00940F76">
              <w:rPr>
                <w:b/>
                <w:color w:val="FF0000"/>
                <w:lang w:val="en-US"/>
              </w:rPr>
              <w:t xml:space="preserve">heat release and fire development </w:t>
            </w:r>
            <w:r w:rsidRPr="00940F76">
              <w:rPr>
                <w:strike/>
                <w:lang w:val="en-US"/>
              </w:rPr>
              <w:t>risk</w:t>
            </w:r>
            <w:r w:rsidRPr="001D7DA7">
              <w:rPr>
                <w:lang w:val="en-US"/>
              </w:rPr>
              <w:t xml:space="preserve"> scenarios related to the type of Lithium-cell/-battery at </w:t>
            </w:r>
            <w:r w:rsidRPr="008B642B">
              <w:rPr>
                <w:strike/>
                <w:lang w:val="en-US"/>
              </w:rPr>
              <w:t>maximum</w:t>
            </w:r>
            <w:r w:rsidRPr="001D7DA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</w:t>
            </w:r>
            <w:r w:rsidRPr="001D7DA7">
              <w:rPr>
                <w:lang w:val="en-US"/>
              </w:rPr>
              <w:t>energy content</w:t>
            </w:r>
            <w:r>
              <w:rPr>
                <w:lang w:val="en-US"/>
              </w:rPr>
              <w:t xml:space="preserve"> </w:t>
            </w:r>
            <w:r w:rsidRPr="008B642B">
              <w:rPr>
                <w:b/>
                <w:color w:val="FF0000"/>
                <w:lang w:val="en-US"/>
              </w:rPr>
              <w:t>where it will be transported</w:t>
            </w:r>
            <w:r w:rsidRPr="008B642B">
              <w:rPr>
                <w:color w:val="FF0000"/>
                <w:lang w:val="en-US"/>
              </w:rPr>
              <w:t xml:space="preserve"> </w:t>
            </w:r>
            <w:r>
              <w:rPr>
                <w:lang w:val="en-US"/>
              </w:rPr>
              <w:t>or otherwise agreed.</w:t>
            </w:r>
          </w:p>
        </w:tc>
        <w:tc>
          <w:tcPr>
            <w:tcW w:w="4665" w:type="dxa"/>
          </w:tcPr>
          <w:p w:rsidR="003E4B06" w:rsidRDefault="003E4B06" w:rsidP="00170064">
            <w:pPr>
              <w:spacing w:after="160" w:line="259" w:lineRule="auto"/>
              <w:rPr>
                <w:b/>
                <w:color w:val="FF0000"/>
              </w:rPr>
            </w:pPr>
          </w:p>
          <w:p w:rsidR="003E4B06" w:rsidRDefault="003E4B06" w:rsidP="00170064">
            <w:pPr>
              <w:spacing w:after="160" w:line="259" w:lineRule="auto"/>
              <w:rPr>
                <w:b/>
                <w:color w:val="FF0000"/>
              </w:rPr>
            </w:pPr>
          </w:p>
          <w:p w:rsidR="003E4B06" w:rsidRPr="00FE13D6" w:rsidRDefault="003E4B06" w:rsidP="00170064">
            <w:pPr>
              <w:spacing w:after="160" w:line="259" w:lineRule="auto"/>
            </w:pPr>
            <w:r w:rsidRPr="00FE13D6">
              <w:t>.</w:t>
            </w:r>
          </w:p>
          <w:p w:rsidR="003E4B06" w:rsidRDefault="003E4B06" w:rsidP="00170064"/>
        </w:tc>
      </w:tr>
      <w:tr w:rsidR="003E4B06" w:rsidTr="00170064">
        <w:tc>
          <w:tcPr>
            <w:tcW w:w="846" w:type="dxa"/>
          </w:tcPr>
          <w:p w:rsidR="003E4B06" w:rsidRDefault="003E4B06" w:rsidP="00170064"/>
        </w:tc>
        <w:tc>
          <w:tcPr>
            <w:tcW w:w="8483" w:type="dxa"/>
          </w:tcPr>
          <w:p w:rsidR="003E4B06" w:rsidRDefault="003E4B06" w:rsidP="00170064"/>
        </w:tc>
        <w:tc>
          <w:tcPr>
            <w:tcW w:w="4665" w:type="dxa"/>
          </w:tcPr>
          <w:p w:rsidR="003E4B06" w:rsidRDefault="003E4B06" w:rsidP="00170064"/>
        </w:tc>
      </w:tr>
      <w:tr w:rsidR="003E4B06" w:rsidTr="00170064">
        <w:tc>
          <w:tcPr>
            <w:tcW w:w="846" w:type="dxa"/>
          </w:tcPr>
          <w:p w:rsidR="003E4B06" w:rsidRDefault="003E4B06" w:rsidP="00170064">
            <w:r>
              <w:t>4.2.</w:t>
            </w:r>
          </w:p>
        </w:tc>
        <w:tc>
          <w:tcPr>
            <w:tcW w:w="8483" w:type="dxa"/>
          </w:tcPr>
          <w:p w:rsidR="003E4B06" w:rsidRDefault="003E4B06" w:rsidP="00170064">
            <w:r>
              <w:t>PACKAGING RELATED CRITERIA</w:t>
            </w:r>
          </w:p>
        </w:tc>
        <w:tc>
          <w:tcPr>
            <w:tcW w:w="4665" w:type="dxa"/>
          </w:tcPr>
          <w:p w:rsidR="003E4B06" w:rsidRDefault="003E4B06" w:rsidP="00170064"/>
        </w:tc>
      </w:tr>
      <w:tr w:rsidR="003E4B06" w:rsidTr="00170064">
        <w:tc>
          <w:tcPr>
            <w:tcW w:w="846" w:type="dxa"/>
          </w:tcPr>
          <w:p w:rsidR="003E4B06" w:rsidRDefault="003E4B06" w:rsidP="00170064"/>
        </w:tc>
        <w:tc>
          <w:tcPr>
            <w:tcW w:w="8483" w:type="dxa"/>
          </w:tcPr>
          <w:p w:rsidR="003E4B06" w:rsidRPr="00940F76" w:rsidRDefault="003E4B06" w:rsidP="00170064">
            <w:pPr>
              <w:pStyle w:val="SingleTxtG"/>
              <w:ind w:left="0" w:firstLine="426"/>
              <w:rPr>
                <w:strike/>
                <w:lang w:val="en-US"/>
              </w:rPr>
            </w:pPr>
            <w:r w:rsidRPr="00940F76">
              <w:rPr>
                <w:b/>
                <w:color w:val="FF0000"/>
                <w:lang w:val="en-US"/>
              </w:rPr>
              <w:t xml:space="preserve">The following parameters </w:t>
            </w:r>
            <w:r w:rsidRPr="00940F76">
              <w:rPr>
                <w:b/>
                <w:strike/>
                <w:color w:val="FF0000"/>
                <w:lang w:val="en-US"/>
              </w:rPr>
              <w:t>points</w:t>
            </w:r>
            <w:r w:rsidRPr="00940F76">
              <w:rPr>
                <w:b/>
                <w:color w:val="FF0000"/>
                <w:lang w:val="en-US"/>
              </w:rPr>
              <w:t xml:space="preserve"> must be respected during the test performance or considered by the simulation analysis</w:t>
            </w:r>
            <w:r>
              <w:rPr>
                <w:lang w:val="en-US"/>
              </w:rPr>
              <w:t xml:space="preserve">. </w:t>
            </w:r>
            <w:r w:rsidRPr="00940F76">
              <w:rPr>
                <w:strike/>
                <w:lang w:val="en-US"/>
              </w:rPr>
              <w:t>guaranteed successfully during these scenarios:</w:t>
            </w:r>
          </w:p>
          <w:p w:rsidR="003E4B06" w:rsidRPr="00804B55" w:rsidRDefault="003E4B06" w:rsidP="00170064">
            <w:pPr>
              <w:pStyle w:val="SingleTxtG"/>
              <w:ind w:left="742" w:hanging="567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)</w:t>
            </w:r>
            <w:r>
              <w:rPr>
                <w:lang w:val="en-US"/>
              </w:rPr>
              <w:tab/>
            </w:r>
            <w:r w:rsidRPr="00804B55">
              <w:rPr>
                <w:lang w:val="en-US"/>
              </w:rPr>
              <w:t xml:space="preserve">The temperature </w:t>
            </w:r>
            <w:r>
              <w:rPr>
                <w:lang w:val="en-US"/>
              </w:rPr>
              <w:t xml:space="preserve">on </w:t>
            </w:r>
            <w:r w:rsidRPr="00804B55">
              <w:rPr>
                <w:lang w:val="en-US"/>
              </w:rPr>
              <w:t>the outside of the packaging m</w:t>
            </w:r>
            <w:r>
              <w:rPr>
                <w:lang w:val="en-US"/>
              </w:rPr>
              <w:t>ay</w:t>
            </w:r>
            <w:r w:rsidRPr="00804B55">
              <w:rPr>
                <w:lang w:val="en-US"/>
              </w:rPr>
              <w:t xml:space="preserve"> not exceed 100°C during the reaction,</w:t>
            </w:r>
          </w:p>
          <w:p w:rsidR="003E4B06" w:rsidRDefault="003E4B06" w:rsidP="00170064">
            <w:pPr>
              <w:pStyle w:val="SingleTxtG"/>
              <w:ind w:left="742" w:hanging="567"/>
              <w:rPr>
                <w:lang w:val="en-US"/>
              </w:rPr>
            </w:pPr>
            <w:r>
              <w:rPr>
                <w:lang w:val="en-US"/>
              </w:rPr>
              <w:t>(ii)</w:t>
            </w:r>
            <w:r>
              <w:rPr>
                <w:lang w:val="en-US"/>
              </w:rPr>
              <w:tab/>
            </w:r>
            <w:r w:rsidRPr="00804B55">
              <w:rPr>
                <w:lang w:val="en-US"/>
              </w:rPr>
              <w:t xml:space="preserve">Gases or </w:t>
            </w:r>
            <w:proofErr w:type="spellStart"/>
            <w:r>
              <w:rPr>
                <w:lang w:val="en-US"/>
              </w:rPr>
              <w:t>vapours</w:t>
            </w:r>
            <w:proofErr w:type="spellEnd"/>
            <w:r>
              <w:rPr>
                <w:lang w:val="en-US"/>
              </w:rPr>
              <w:t xml:space="preserve"> </w:t>
            </w:r>
            <w:r w:rsidRPr="00804B55">
              <w:rPr>
                <w:lang w:val="en-US"/>
              </w:rPr>
              <w:t>escaping the packaging m</w:t>
            </w:r>
            <w:r>
              <w:rPr>
                <w:lang w:val="en-US"/>
              </w:rPr>
              <w:t>ay</w:t>
            </w:r>
            <w:r w:rsidRPr="00804B55">
              <w:rPr>
                <w:lang w:val="en-US"/>
              </w:rPr>
              <w:t xml:space="preserve"> not be flammable or acutely toxic. If an escape of flammable or acute toxic gas</w:t>
            </w:r>
            <w:r>
              <w:rPr>
                <w:lang w:val="en-US"/>
              </w:rPr>
              <w:t>es</w:t>
            </w:r>
            <w:r w:rsidRPr="00804B55">
              <w:rPr>
                <w:lang w:val="en-US"/>
              </w:rPr>
              <w:t xml:space="preserve"> or </w:t>
            </w:r>
            <w:r>
              <w:rPr>
                <w:lang w:val="en-US"/>
              </w:rPr>
              <w:t>vapors</w:t>
            </w:r>
            <w:r w:rsidRPr="00804B55">
              <w:rPr>
                <w:lang w:val="en-US"/>
              </w:rPr>
              <w:t xml:space="preserve"> cannot be prevented by the construction of the packaging</w:t>
            </w:r>
            <w:r>
              <w:rPr>
                <w:lang w:val="en-US"/>
              </w:rPr>
              <w:t>,</w:t>
            </w:r>
            <w:r w:rsidRPr="00804B55">
              <w:rPr>
                <w:lang w:val="en-US"/>
              </w:rPr>
              <w:t xml:space="preserve"> the composed gas must </w:t>
            </w:r>
            <w:r>
              <w:rPr>
                <w:lang w:val="en-US"/>
              </w:rPr>
              <w:t>be:</w:t>
            </w:r>
          </w:p>
          <w:p w:rsidR="003E4B06" w:rsidRDefault="003E4B06" w:rsidP="003E4B06">
            <w:pPr>
              <w:pStyle w:val="Bullet1G"/>
              <w:numPr>
                <w:ilvl w:val="0"/>
                <w:numId w:val="23"/>
              </w:numPr>
              <w:tabs>
                <w:tab w:val="clear" w:pos="4140"/>
                <w:tab w:val="num" w:pos="1701"/>
                <w:tab w:val="left" w:pos="3119"/>
              </w:tabs>
              <w:ind w:left="742" w:hanging="283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A116E4">
              <w:rPr>
                <w:lang w:val="en-US"/>
              </w:rPr>
              <w:t xml:space="preserve">irectly treated or </w:t>
            </w:r>
          </w:p>
          <w:p w:rsidR="003E4B06" w:rsidRDefault="003E4B06" w:rsidP="003E4B06">
            <w:pPr>
              <w:pStyle w:val="Bullet1G"/>
              <w:numPr>
                <w:ilvl w:val="0"/>
                <w:numId w:val="23"/>
              </w:numPr>
              <w:tabs>
                <w:tab w:val="clear" w:pos="4140"/>
                <w:tab w:val="num" w:pos="1701"/>
                <w:tab w:val="left" w:pos="2552"/>
                <w:tab w:val="left" w:pos="3119"/>
              </w:tabs>
              <w:ind w:left="742" w:hanging="284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A116E4">
              <w:rPr>
                <w:lang w:val="en-US"/>
              </w:rPr>
              <w:t xml:space="preserve"> change of sufficient air in the load compartment of the cargo transport unit must be guaranteed</w:t>
            </w:r>
            <w:r>
              <w:rPr>
                <w:lang w:val="en-US"/>
              </w:rPr>
              <w:t xml:space="preserve">, so that the </w:t>
            </w:r>
            <w:r w:rsidRPr="00A116E4">
              <w:rPr>
                <w:lang w:val="en-US"/>
              </w:rPr>
              <w:t xml:space="preserve">flammable or acute toxic gases or </w:t>
            </w:r>
            <w:r>
              <w:rPr>
                <w:lang w:val="en-US"/>
              </w:rPr>
              <w:t>vapors</w:t>
            </w:r>
            <w:r w:rsidRPr="00A116E4">
              <w:rPr>
                <w:lang w:val="en-US"/>
              </w:rPr>
              <w:t xml:space="preserve"> outside the packaging develop</w:t>
            </w:r>
            <w:r>
              <w:rPr>
                <w:lang w:val="en-US"/>
              </w:rPr>
              <w:t>ed</w:t>
            </w:r>
            <w:r w:rsidRPr="00A116E4">
              <w:rPr>
                <w:lang w:val="en-US"/>
              </w:rPr>
              <w:t xml:space="preserve"> by venting the Lithium</w:t>
            </w:r>
            <w:r>
              <w:rPr>
                <w:lang w:val="en-US"/>
              </w:rPr>
              <w:t xml:space="preserve"> cells and batteries are not inflammable, flammable or dangerous</w:t>
            </w:r>
            <w:r w:rsidRPr="00A116E4">
              <w:rPr>
                <w:lang w:val="en-US"/>
              </w:rPr>
              <w:t xml:space="preserve"> or </w:t>
            </w:r>
          </w:p>
          <w:p w:rsidR="003E4B06" w:rsidRPr="00A116E4" w:rsidRDefault="003E4B06" w:rsidP="003E4B06">
            <w:pPr>
              <w:pStyle w:val="Bullet1G"/>
              <w:numPr>
                <w:ilvl w:val="0"/>
                <w:numId w:val="23"/>
              </w:numPr>
              <w:tabs>
                <w:tab w:val="clear" w:pos="4140"/>
                <w:tab w:val="num" w:pos="1701"/>
                <w:tab w:val="left" w:pos="3119"/>
              </w:tabs>
              <w:ind w:left="742" w:hanging="284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A116E4">
              <w:rPr>
                <w:lang w:val="en-US"/>
              </w:rPr>
              <w:t>he developed gases or vapors can be purged out of the load compartment without danger.</w:t>
            </w:r>
          </w:p>
          <w:p w:rsidR="003E4B06" w:rsidRDefault="003E4B06" w:rsidP="00170064">
            <w:pPr>
              <w:pStyle w:val="SingleTxtG"/>
              <w:ind w:left="742" w:hanging="567"/>
              <w:rPr>
                <w:lang w:val="en-US"/>
              </w:rPr>
            </w:pPr>
            <w:r>
              <w:rPr>
                <w:lang w:val="en-US"/>
              </w:rPr>
              <w:t>(iii)</w:t>
            </w:r>
            <w:r>
              <w:rPr>
                <w:lang w:val="en-US"/>
              </w:rPr>
              <w:tab/>
            </w:r>
            <w:r w:rsidRPr="00172938">
              <w:rPr>
                <w:lang w:val="en-US"/>
              </w:rPr>
              <w:t>A damage or explosion of the packaging through developed overpressure must be prevented, e.g. per structural arrangements</w:t>
            </w:r>
            <w:r>
              <w:rPr>
                <w:lang w:val="en-US"/>
              </w:rPr>
              <w:t xml:space="preserve"> (</w:t>
            </w:r>
            <w:r w:rsidRPr="00592FB1">
              <w:rPr>
                <w:b/>
                <w:color w:val="FF0000"/>
                <w:lang w:val="en-US"/>
              </w:rPr>
              <w:t>such as a vent</w:t>
            </w:r>
            <w:r>
              <w:rPr>
                <w:b/>
                <w:color w:val="FF0000"/>
                <w:lang w:val="en-US"/>
              </w:rPr>
              <w:t xml:space="preserve"> or calibrated loose lids...</w:t>
            </w:r>
            <w:r w:rsidRPr="00592FB1">
              <w:rPr>
                <w:b/>
                <w:color w:val="FF0000"/>
                <w:lang w:val="en-US"/>
              </w:rPr>
              <w:t>).</w:t>
            </w:r>
          </w:p>
          <w:p w:rsidR="003E4B06" w:rsidRDefault="003E4B06" w:rsidP="00170064">
            <w:pPr>
              <w:pStyle w:val="SingleTxtG"/>
              <w:ind w:left="742" w:hanging="567"/>
              <w:jc w:val="left"/>
              <w:rPr>
                <w:b/>
                <w:color w:val="FF0000"/>
                <w:lang w:val="en-US"/>
              </w:rPr>
            </w:pPr>
            <w:r w:rsidRPr="00592FB1">
              <w:rPr>
                <w:b/>
                <w:color w:val="FF0000"/>
                <w:lang w:val="en-US"/>
              </w:rPr>
              <w:t>(</w:t>
            </w:r>
            <w:r>
              <w:rPr>
                <w:b/>
                <w:color w:val="FF0000"/>
                <w:lang w:val="en-US"/>
              </w:rPr>
              <w:t>iv</w:t>
            </w:r>
            <w:r w:rsidRPr="00592FB1">
              <w:rPr>
                <w:b/>
                <w:color w:val="FF0000"/>
                <w:lang w:val="en-US"/>
              </w:rPr>
              <w:t xml:space="preserve"> new) An alternative or complementary approach would consist in the definition of technical parameters that needs to be fulfilled by the packaging. </w:t>
            </w:r>
          </w:p>
          <w:p w:rsidR="003E4B06" w:rsidRPr="00CA5353" w:rsidRDefault="003E4B06" w:rsidP="00170064">
            <w:pPr>
              <w:pStyle w:val="SingleTxtG"/>
              <w:ind w:left="742" w:hanging="567"/>
              <w:jc w:val="left"/>
              <w:rPr>
                <w:b/>
                <w:color w:val="FF0000"/>
              </w:rPr>
            </w:pPr>
            <w:r w:rsidRPr="00CA5353">
              <w:rPr>
                <w:b/>
                <w:color w:val="FF0000"/>
              </w:rPr>
              <w:t>It will require to develop a list of criteria for the packaging, such as:</w:t>
            </w:r>
          </w:p>
          <w:p w:rsidR="003E4B06" w:rsidRPr="00CA5353" w:rsidRDefault="003E4B06" w:rsidP="00170064">
            <w:pPr>
              <w:rPr>
                <w:b/>
                <w:color w:val="FF0000"/>
              </w:rPr>
            </w:pPr>
            <w:r w:rsidRPr="00CA5353">
              <w:rPr>
                <w:b/>
                <w:color w:val="FF0000"/>
              </w:rPr>
              <w:t>Materials to be used: steel, aluminium, non-combustible materials, etc…as packaging materials</w:t>
            </w:r>
          </w:p>
          <w:p w:rsidR="003E4B06" w:rsidRPr="00CA5353" w:rsidRDefault="003E4B06" w:rsidP="00170064">
            <w:pPr>
              <w:rPr>
                <w:b/>
                <w:color w:val="FF0000"/>
              </w:rPr>
            </w:pPr>
            <w:r w:rsidRPr="00CA5353">
              <w:rPr>
                <w:b/>
                <w:color w:val="FF0000"/>
              </w:rPr>
              <w:t xml:space="preserve">Technical parameters to be observed in case of reaction o </w:t>
            </w:r>
            <w:proofErr w:type="spellStart"/>
            <w:r w:rsidRPr="00CA5353">
              <w:rPr>
                <w:b/>
                <w:color w:val="FF0000"/>
              </w:rPr>
              <w:t>fthe</w:t>
            </w:r>
            <w:proofErr w:type="spellEnd"/>
            <w:r w:rsidRPr="00CA5353">
              <w:rPr>
                <w:b/>
                <w:color w:val="FF0000"/>
              </w:rPr>
              <w:t xml:space="preserve"> battery:</w:t>
            </w:r>
          </w:p>
          <w:p w:rsidR="003E4B06" w:rsidRPr="00CA5353" w:rsidRDefault="003E4B06" w:rsidP="00170064">
            <w:pPr>
              <w:rPr>
                <w:b/>
                <w:color w:val="FF0000"/>
              </w:rPr>
            </w:pPr>
            <w:r w:rsidRPr="00CA5353">
              <w:rPr>
                <w:b/>
                <w:color w:val="FF0000"/>
              </w:rPr>
              <w:t>-Heat resistance till  XXX°C</w:t>
            </w:r>
          </w:p>
          <w:p w:rsidR="003E4B06" w:rsidRPr="00CA5353" w:rsidRDefault="003E4B06" w:rsidP="00170064">
            <w:pPr>
              <w:rPr>
                <w:b/>
                <w:color w:val="FF0000"/>
              </w:rPr>
            </w:pPr>
            <w:r w:rsidRPr="00CA5353">
              <w:rPr>
                <w:b/>
                <w:color w:val="FF0000"/>
              </w:rPr>
              <w:lastRenderedPageBreak/>
              <w:t>-Thermal conductivity properties till X°/sec.</w:t>
            </w:r>
          </w:p>
          <w:p w:rsidR="003E4B06" w:rsidRPr="00CA5353" w:rsidRDefault="003E4B06" w:rsidP="00170064">
            <w:pPr>
              <w:rPr>
                <w:b/>
                <w:color w:val="FF0000"/>
              </w:rPr>
            </w:pPr>
            <w:r w:rsidRPr="00CA5353">
              <w:rPr>
                <w:b/>
                <w:color w:val="FF0000"/>
              </w:rPr>
              <w:t xml:space="preserve">-Pressure release / controlled until XX </w:t>
            </w:r>
            <w:proofErr w:type="spellStart"/>
            <w:r w:rsidRPr="00CA5353">
              <w:rPr>
                <w:b/>
                <w:color w:val="FF0000"/>
              </w:rPr>
              <w:t>kP</w:t>
            </w:r>
            <w:proofErr w:type="spellEnd"/>
            <w:r w:rsidRPr="00CA5353">
              <w:rPr>
                <w:b/>
                <w:color w:val="FF0000"/>
              </w:rPr>
              <w:t>.</w:t>
            </w:r>
          </w:p>
          <w:p w:rsidR="003E4B06" w:rsidRPr="003E4B06" w:rsidRDefault="003E4B06" w:rsidP="003E4B06">
            <w:pPr>
              <w:rPr>
                <w:b/>
                <w:color w:val="FF0000"/>
              </w:rPr>
            </w:pPr>
            <w:r w:rsidRPr="00CA5353">
              <w:rPr>
                <w:b/>
                <w:color w:val="FF0000"/>
              </w:rPr>
              <w:t>-Etc…</w:t>
            </w:r>
          </w:p>
        </w:tc>
        <w:tc>
          <w:tcPr>
            <w:tcW w:w="4665" w:type="dxa"/>
          </w:tcPr>
          <w:p w:rsidR="003E4B06" w:rsidRDefault="003E4B06" w:rsidP="00170064"/>
          <w:p w:rsidR="003E4B06" w:rsidRDefault="003E4B06" w:rsidP="00170064"/>
          <w:p w:rsidR="003E4B06" w:rsidRDefault="003E4B06" w:rsidP="00170064"/>
          <w:p w:rsidR="003E4B06" w:rsidRPr="00FE13D6" w:rsidRDefault="003E4B06" w:rsidP="00170064">
            <w:r>
              <w:t xml:space="preserve">The temperature limit </w:t>
            </w:r>
            <w:proofErr w:type="gramStart"/>
            <w:r>
              <w:t>[</w:t>
            </w:r>
            <w:r w:rsidRPr="00FE13D6">
              <w:t xml:space="preserve"> 100</w:t>
            </w:r>
            <w:proofErr w:type="gramEnd"/>
            <w:r w:rsidRPr="00FE13D6">
              <w:t>°C</w:t>
            </w:r>
            <w:r>
              <w:t>]</w:t>
            </w:r>
            <w:r w:rsidRPr="00FE13D6">
              <w:t xml:space="preserve"> should be determined based on the hazard that is foreseen.</w:t>
            </w:r>
          </w:p>
          <w:p w:rsidR="003E4B06" w:rsidRDefault="003E4B06" w:rsidP="00170064">
            <w:r w:rsidRPr="00FE13D6">
              <w:t>The basis for a temperature limit should be correlated to the prevention of the risk for propagation of heat to neighbour packaging</w:t>
            </w:r>
            <w:r>
              <w:t xml:space="preserve">…. </w:t>
            </w:r>
          </w:p>
          <w:p w:rsidR="003E4B06" w:rsidRDefault="003E4B06" w:rsidP="00170064"/>
          <w:p w:rsidR="003E4B06" w:rsidRDefault="003E4B06" w:rsidP="00170064"/>
          <w:p w:rsidR="003E4B06" w:rsidRDefault="003E4B06" w:rsidP="00170064">
            <w:pPr>
              <w:rPr>
                <w:color w:val="FF0000"/>
              </w:rPr>
            </w:pPr>
          </w:p>
          <w:p w:rsidR="003E4B06" w:rsidRDefault="003E4B06" w:rsidP="00170064">
            <w:pPr>
              <w:rPr>
                <w:color w:val="FF0000"/>
              </w:rPr>
            </w:pPr>
          </w:p>
          <w:p w:rsidR="003E4B06" w:rsidRDefault="003E4B06" w:rsidP="00170064">
            <w:pPr>
              <w:rPr>
                <w:color w:val="FF0000"/>
              </w:rPr>
            </w:pPr>
          </w:p>
          <w:p w:rsidR="003E4B06" w:rsidRDefault="003E4B06" w:rsidP="00170064">
            <w:pPr>
              <w:rPr>
                <w:color w:val="FF0000"/>
              </w:rPr>
            </w:pPr>
          </w:p>
          <w:p w:rsidR="003E4B06" w:rsidRDefault="003E4B06" w:rsidP="00170064">
            <w:pPr>
              <w:rPr>
                <w:color w:val="FF0000"/>
              </w:rPr>
            </w:pPr>
          </w:p>
          <w:p w:rsidR="003E4B06" w:rsidRDefault="003E4B06" w:rsidP="00170064">
            <w:pPr>
              <w:rPr>
                <w:color w:val="FF0000"/>
              </w:rPr>
            </w:pPr>
          </w:p>
          <w:p w:rsidR="003E4B06" w:rsidRDefault="003E4B06" w:rsidP="00170064">
            <w:pPr>
              <w:rPr>
                <w:color w:val="FF0000"/>
              </w:rPr>
            </w:pPr>
          </w:p>
          <w:p w:rsidR="003E4B06" w:rsidRDefault="003E4B06" w:rsidP="00170064"/>
        </w:tc>
      </w:tr>
      <w:tr w:rsidR="003E4B06" w:rsidTr="00170064">
        <w:tc>
          <w:tcPr>
            <w:tcW w:w="846" w:type="dxa"/>
          </w:tcPr>
          <w:p w:rsidR="003E4B06" w:rsidRPr="00560D27" w:rsidRDefault="003E4B06" w:rsidP="001700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4.3.</w:t>
            </w:r>
          </w:p>
        </w:tc>
        <w:tc>
          <w:tcPr>
            <w:tcW w:w="8483" w:type="dxa"/>
          </w:tcPr>
          <w:p w:rsidR="003E4B06" w:rsidRPr="00560D27" w:rsidRDefault="003E4B06" w:rsidP="00170064">
            <w:pPr>
              <w:pStyle w:val="SingleTxtG"/>
              <w:ind w:left="34"/>
              <w:rPr>
                <w:color w:val="000000" w:themeColor="text1"/>
                <w:lang w:val="en-US"/>
              </w:rPr>
            </w:pPr>
            <w:r w:rsidRPr="00560D27">
              <w:rPr>
                <w:color w:val="000000" w:themeColor="text1"/>
                <w:lang w:val="en-US"/>
              </w:rPr>
              <w:t>8.</w:t>
            </w:r>
            <w:r w:rsidRPr="00560D27">
              <w:rPr>
                <w:color w:val="000000" w:themeColor="text1"/>
                <w:lang w:val="en-US"/>
              </w:rPr>
              <w:tab/>
              <w:t>If a packaging has already been successfully proven capable (e.g. by testing as specified in (4), (5) and (6) or calculation as in (9)) with a lithium-cell-/battery-type at maximum energy content, this packaging can be used for the transport of other lithium-cells/-batteries under certain conditions. The conditions are that these lithium-cells/-batteries correspond to the successfully tested lithium-cell-/battery-type regarding construction and cell-/battery-chemistry, as well as that these have a</w:t>
            </w:r>
            <w:r>
              <w:rPr>
                <w:color w:val="000000" w:themeColor="text1"/>
                <w:lang w:val="en-US"/>
              </w:rPr>
              <w:t xml:space="preserve">n </w:t>
            </w:r>
            <w:r w:rsidRPr="00FE13D6">
              <w:rPr>
                <w:b/>
                <w:color w:val="FF0000"/>
                <w:lang w:val="en-US"/>
              </w:rPr>
              <w:t>identical or</w:t>
            </w:r>
            <w:r w:rsidRPr="00FE13D6">
              <w:rPr>
                <w:color w:val="FF0000"/>
                <w:lang w:val="en-US"/>
              </w:rPr>
              <w:t xml:space="preserve"> </w:t>
            </w:r>
            <w:r w:rsidRPr="00560D27">
              <w:rPr>
                <w:color w:val="000000" w:themeColor="text1"/>
                <w:lang w:val="en-US"/>
              </w:rPr>
              <w:t>lower energy content.</w:t>
            </w:r>
          </w:p>
          <w:p w:rsidR="003E4B06" w:rsidRPr="00CA5353" w:rsidRDefault="003E4B06" w:rsidP="00170064">
            <w:pPr>
              <w:rPr>
                <w:b/>
                <w:color w:val="FF0000"/>
                <w:lang w:val="en-US"/>
              </w:rPr>
            </w:pPr>
            <w:r w:rsidRPr="00CA5353">
              <w:rPr>
                <w:b/>
                <w:color w:val="FF0000"/>
                <w:lang w:val="en-US"/>
              </w:rPr>
              <w:t>§ 8 requirements should apply under certain conditions, such as:</w:t>
            </w:r>
          </w:p>
          <w:p w:rsidR="003E4B06" w:rsidRPr="00CA5353" w:rsidRDefault="003E4B06" w:rsidP="00170064">
            <w:pPr>
              <w:rPr>
                <w:b/>
                <w:color w:val="FF0000"/>
                <w:lang w:val="en-US"/>
              </w:rPr>
            </w:pPr>
          </w:p>
          <w:p w:rsidR="003E4B06" w:rsidRPr="00CA5353" w:rsidRDefault="003E4B06" w:rsidP="003E4B06">
            <w:pPr>
              <w:pStyle w:val="ListParagraph"/>
              <w:numPr>
                <w:ilvl w:val="0"/>
                <w:numId w:val="25"/>
              </w:numPr>
              <w:contextualSpacing/>
              <w:jc w:val="left"/>
              <w:rPr>
                <w:b/>
                <w:color w:val="FF0000"/>
                <w:sz w:val="20"/>
                <w:szCs w:val="20"/>
              </w:rPr>
            </w:pPr>
            <w:r w:rsidRPr="00CA5353">
              <w:rPr>
                <w:b/>
                <w:color w:val="FF0000"/>
                <w:sz w:val="20"/>
                <w:szCs w:val="20"/>
              </w:rPr>
              <w:t>The type of battery should include a range of identical/equivalent electrochemical system.</w:t>
            </w:r>
          </w:p>
          <w:p w:rsidR="003E4B06" w:rsidRPr="00CA5353" w:rsidRDefault="003E4B06" w:rsidP="003E4B06">
            <w:pPr>
              <w:pStyle w:val="ListParagraph"/>
              <w:numPr>
                <w:ilvl w:val="0"/>
                <w:numId w:val="25"/>
              </w:numPr>
              <w:contextualSpacing/>
              <w:jc w:val="left"/>
              <w:rPr>
                <w:b/>
                <w:color w:val="FF0000"/>
                <w:sz w:val="20"/>
                <w:szCs w:val="20"/>
              </w:rPr>
            </w:pPr>
            <w:r w:rsidRPr="00CA5353">
              <w:rPr>
                <w:b/>
                <w:color w:val="FF0000"/>
                <w:sz w:val="20"/>
                <w:szCs w:val="20"/>
              </w:rPr>
              <w:t>The total energy embarked should not be higher than the tested/modelled battery.</w:t>
            </w:r>
          </w:p>
          <w:p w:rsidR="003E4B06" w:rsidRPr="00CA5353" w:rsidRDefault="003E4B06" w:rsidP="003E4B06">
            <w:pPr>
              <w:pStyle w:val="ListParagraph"/>
              <w:numPr>
                <w:ilvl w:val="0"/>
                <w:numId w:val="25"/>
              </w:numPr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 w:rsidRPr="00CA5353">
              <w:rPr>
                <w:b/>
                <w:color w:val="FF0000"/>
                <w:sz w:val="20"/>
                <w:szCs w:val="20"/>
              </w:rPr>
              <w:t>In case of smaller batteries installed in larger equipment, the use of cushioning materials shall be considered.</w:t>
            </w:r>
          </w:p>
          <w:p w:rsidR="003E4B06" w:rsidRPr="00CA5353" w:rsidRDefault="003E4B06" w:rsidP="00170064">
            <w:pPr>
              <w:rPr>
                <w:b/>
                <w:color w:val="FF0000"/>
              </w:rPr>
            </w:pPr>
            <w:r w:rsidRPr="00CA5353">
              <w:rPr>
                <w:b/>
                <w:color w:val="FF0000"/>
              </w:rPr>
              <w:t xml:space="preserve">Note. </w:t>
            </w:r>
          </w:p>
          <w:p w:rsidR="003E4B06" w:rsidRPr="00CA5353" w:rsidRDefault="003E4B06" w:rsidP="00170064">
            <w:pPr>
              <w:rPr>
                <w:b/>
                <w:color w:val="FF0000"/>
              </w:rPr>
            </w:pPr>
            <w:r w:rsidRPr="00CA5353">
              <w:rPr>
                <w:b/>
                <w:color w:val="FF0000"/>
              </w:rPr>
              <w:t>When the fire is extinguished by the packaging ancillary equipment, the maximum energy content will not be released during the test.</w:t>
            </w:r>
          </w:p>
        </w:tc>
        <w:tc>
          <w:tcPr>
            <w:tcW w:w="4665" w:type="dxa"/>
          </w:tcPr>
          <w:p w:rsidR="003E4B06" w:rsidRPr="001659D9" w:rsidRDefault="003E4B06" w:rsidP="00170064"/>
        </w:tc>
      </w:tr>
      <w:tr w:rsidR="003E4B06" w:rsidTr="00170064">
        <w:tc>
          <w:tcPr>
            <w:tcW w:w="846" w:type="dxa"/>
          </w:tcPr>
          <w:p w:rsidR="003E4B06" w:rsidRDefault="003E4B06" w:rsidP="00170064">
            <w:r>
              <w:t>4.4.</w:t>
            </w:r>
          </w:p>
        </w:tc>
        <w:tc>
          <w:tcPr>
            <w:tcW w:w="8483" w:type="dxa"/>
          </w:tcPr>
          <w:p w:rsidR="003E4B06" w:rsidRPr="00CD0CB0" w:rsidRDefault="003E4B06" w:rsidP="003E4B06">
            <w:pPr>
              <w:pStyle w:val="SingleTxtG"/>
              <w:ind w:left="175"/>
              <w:rPr>
                <w:lang w:val="en-US"/>
              </w:rPr>
            </w:pPr>
            <w:r>
              <w:rPr>
                <w:lang w:val="en-US"/>
              </w:rPr>
              <w:t>9.</w:t>
            </w:r>
            <w:r>
              <w:rPr>
                <w:lang w:val="en-US"/>
              </w:rPr>
              <w:tab/>
            </w:r>
            <w:r w:rsidRPr="00804B55">
              <w:rPr>
                <w:lang w:val="en-US"/>
              </w:rPr>
              <w:t xml:space="preserve">The capability of the packaging can either be demonstrated physically </w:t>
            </w:r>
            <w:r w:rsidRPr="00560D27">
              <w:rPr>
                <w:b/>
                <w:color w:val="FF0000"/>
                <w:lang w:val="en-US"/>
              </w:rPr>
              <w:t xml:space="preserve">during a test </w:t>
            </w:r>
            <w:r w:rsidRPr="00804B55">
              <w:rPr>
                <w:lang w:val="en-US"/>
              </w:rPr>
              <w:t xml:space="preserve">with a lithium cell/battery in the respective packaging or </w:t>
            </w:r>
            <w:r>
              <w:rPr>
                <w:lang w:val="en-US"/>
              </w:rPr>
              <w:t>alternatively</w:t>
            </w:r>
            <w:r w:rsidRPr="00804B55">
              <w:rPr>
                <w:lang w:val="en-US"/>
              </w:rPr>
              <w:t xml:space="preserve"> proven by simulated analysis</w:t>
            </w:r>
            <w:r>
              <w:rPr>
                <w:lang w:val="en-US"/>
              </w:rPr>
              <w:t xml:space="preserve"> </w:t>
            </w:r>
            <w:r w:rsidRPr="00560D27">
              <w:rPr>
                <w:b/>
                <w:color w:val="FF0000"/>
                <w:lang w:val="en-US"/>
              </w:rPr>
              <w:t>a</w:t>
            </w:r>
            <w:r>
              <w:rPr>
                <w:b/>
                <w:color w:val="FF0000"/>
                <w:lang w:val="en-US"/>
              </w:rPr>
              <w:t xml:space="preserve">ssociated with an </w:t>
            </w:r>
            <w:r w:rsidRPr="00560D27">
              <w:rPr>
                <w:b/>
                <w:color w:val="FF0000"/>
                <w:lang w:val="en-US"/>
              </w:rPr>
              <w:t xml:space="preserve">appropriate </w:t>
            </w:r>
            <w:r>
              <w:rPr>
                <w:b/>
                <w:color w:val="FF0000"/>
                <w:lang w:val="en-US"/>
              </w:rPr>
              <w:t xml:space="preserve">packing </w:t>
            </w:r>
            <w:r w:rsidRPr="00560D27">
              <w:rPr>
                <w:b/>
                <w:color w:val="FF0000"/>
                <w:lang w:val="en-US"/>
              </w:rPr>
              <w:t>design</w:t>
            </w:r>
            <w:r w:rsidRPr="00804B55">
              <w:rPr>
                <w:lang w:val="en-US"/>
              </w:rPr>
              <w:t xml:space="preserve">. </w:t>
            </w:r>
          </w:p>
        </w:tc>
        <w:tc>
          <w:tcPr>
            <w:tcW w:w="4665" w:type="dxa"/>
          </w:tcPr>
          <w:p w:rsidR="003E4B06" w:rsidRPr="001659D9" w:rsidRDefault="003E4B06" w:rsidP="00170064"/>
        </w:tc>
      </w:tr>
      <w:tr w:rsidR="003E4B06" w:rsidTr="00170064">
        <w:tc>
          <w:tcPr>
            <w:tcW w:w="846" w:type="dxa"/>
          </w:tcPr>
          <w:p w:rsidR="003E4B06" w:rsidRDefault="003E4B06" w:rsidP="00170064">
            <w:r>
              <w:t>5.</w:t>
            </w:r>
          </w:p>
        </w:tc>
        <w:tc>
          <w:tcPr>
            <w:tcW w:w="8483" w:type="dxa"/>
          </w:tcPr>
          <w:p w:rsidR="003E4B06" w:rsidRPr="003E4B06" w:rsidRDefault="003E4B06" w:rsidP="00170064">
            <w:pPr>
              <w:pStyle w:val="SingleTxtG"/>
              <w:ind w:left="0"/>
              <w:rPr>
                <w:sz w:val="22"/>
                <w:szCs w:val="22"/>
                <w:lang w:val="en-US"/>
              </w:rPr>
            </w:pPr>
            <w:r w:rsidRPr="003E4B06">
              <w:rPr>
                <w:sz w:val="22"/>
                <w:szCs w:val="22"/>
                <w:lang w:val="en-US"/>
              </w:rPr>
              <w:t>CRITERIA TO BE CONSIDERED FOR A SIMULATED ANALYSIS</w:t>
            </w:r>
          </w:p>
        </w:tc>
        <w:tc>
          <w:tcPr>
            <w:tcW w:w="4665" w:type="dxa"/>
          </w:tcPr>
          <w:p w:rsidR="003E4B06" w:rsidRDefault="003E4B06" w:rsidP="00170064"/>
        </w:tc>
      </w:tr>
      <w:tr w:rsidR="003E4B06" w:rsidTr="00170064">
        <w:tc>
          <w:tcPr>
            <w:tcW w:w="846" w:type="dxa"/>
          </w:tcPr>
          <w:p w:rsidR="003E4B06" w:rsidRDefault="003E4B06" w:rsidP="00170064"/>
          <w:p w:rsidR="003E4B06" w:rsidRDefault="003E4B06" w:rsidP="00170064"/>
          <w:p w:rsidR="003E4B06" w:rsidRDefault="003E4B06" w:rsidP="00170064"/>
          <w:p w:rsidR="003E4B06" w:rsidRDefault="003E4B06" w:rsidP="00170064"/>
          <w:p w:rsidR="003E4B06" w:rsidRDefault="003E4B06" w:rsidP="00170064"/>
        </w:tc>
        <w:tc>
          <w:tcPr>
            <w:tcW w:w="8483" w:type="dxa"/>
          </w:tcPr>
          <w:p w:rsidR="003E4B06" w:rsidRPr="00804B55" w:rsidRDefault="003E4B06" w:rsidP="00170064">
            <w:pPr>
              <w:pStyle w:val="SingleTxtG"/>
              <w:ind w:left="175"/>
              <w:rPr>
                <w:sz w:val="18"/>
                <w:lang w:val="en-US"/>
              </w:rPr>
            </w:pPr>
            <w:r w:rsidRPr="00804B55">
              <w:rPr>
                <w:lang w:val="en-US"/>
              </w:rPr>
              <w:t xml:space="preserve">The following parameters should be considered as a minimum requirement for the </w:t>
            </w:r>
            <w:r w:rsidRPr="00560D27">
              <w:rPr>
                <w:b/>
                <w:color w:val="FF0000"/>
                <w:lang w:val="en-US"/>
              </w:rPr>
              <w:t xml:space="preserve">simulated </w:t>
            </w:r>
            <w:r w:rsidRPr="00804B55">
              <w:rPr>
                <w:lang w:val="en-US"/>
              </w:rPr>
              <w:t>analysis, if applicable:</w:t>
            </w:r>
          </w:p>
          <w:p w:rsidR="003E4B06" w:rsidRPr="00CA5353" w:rsidRDefault="003E4B06" w:rsidP="00170064">
            <w:pPr>
              <w:pStyle w:val="SingleTxtG"/>
              <w:ind w:left="175"/>
              <w:rPr>
                <w:b/>
                <w:color w:val="FF0000"/>
                <w:sz w:val="18"/>
                <w:lang w:val="en-US"/>
              </w:rPr>
            </w:pPr>
            <w:r>
              <w:rPr>
                <w:lang w:val="en-US"/>
              </w:rPr>
              <w:t>(a)</w:t>
            </w:r>
            <w:r>
              <w:rPr>
                <w:lang w:val="en-US"/>
              </w:rPr>
              <w:tab/>
            </w:r>
            <w:r w:rsidRPr="00804B55">
              <w:rPr>
                <w:lang w:val="en-US"/>
              </w:rPr>
              <w:t>100% SOC for all lithium c</w:t>
            </w:r>
            <w:r>
              <w:rPr>
                <w:lang w:val="en-US"/>
              </w:rPr>
              <w:t xml:space="preserve">ells/batteries inside packaging </w:t>
            </w:r>
            <w:r w:rsidRPr="00CA5353">
              <w:rPr>
                <w:b/>
                <w:color w:val="FF0000"/>
                <w:lang w:val="en-US"/>
              </w:rPr>
              <w:t>or a SOC representative of the energy content of the battery as transported,</w:t>
            </w:r>
          </w:p>
          <w:p w:rsidR="003E4B06" w:rsidRPr="00804B55" w:rsidRDefault="003E4B06" w:rsidP="00170064">
            <w:pPr>
              <w:pStyle w:val="SingleTxtG"/>
              <w:ind w:left="175"/>
              <w:rPr>
                <w:sz w:val="18"/>
                <w:lang w:val="en-US"/>
              </w:rPr>
            </w:pPr>
            <w:r>
              <w:rPr>
                <w:lang w:val="en-US"/>
              </w:rPr>
              <w:t>(b)</w:t>
            </w:r>
            <w:r>
              <w:rPr>
                <w:lang w:val="en-US"/>
              </w:rPr>
              <w:tab/>
              <w:t>M</w:t>
            </w:r>
            <w:r w:rsidRPr="00804B55">
              <w:rPr>
                <w:lang w:val="en-US"/>
              </w:rPr>
              <w:t>ass and dimension of the lithium cells/batteries,</w:t>
            </w:r>
          </w:p>
          <w:p w:rsidR="003E4B06" w:rsidRPr="00804B55" w:rsidRDefault="003E4B06" w:rsidP="003E4B06">
            <w:pPr>
              <w:pStyle w:val="SingleTxtG"/>
              <w:ind w:left="152" w:hanging="118"/>
              <w:rPr>
                <w:sz w:val="18"/>
                <w:lang w:val="en-US"/>
              </w:rPr>
            </w:pPr>
            <w:r>
              <w:rPr>
                <w:lang w:val="en-US"/>
              </w:rPr>
              <w:tab/>
              <w:t>(c)</w:t>
            </w:r>
            <w:r>
              <w:rPr>
                <w:lang w:val="en-US"/>
              </w:rPr>
              <w:tab/>
              <w:t>D</w:t>
            </w:r>
            <w:r w:rsidRPr="00804B55">
              <w:rPr>
                <w:lang w:val="en-US"/>
              </w:rPr>
              <w:t>etermine available air inside of packaging (oxygen for reaction and heat transfer),</w:t>
            </w:r>
          </w:p>
          <w:p w:rsidR="003E4B06" w:rsidRPr="00804B55" w:rsidRDefault="003E4B06" w:rsidP="003E4B06">
            <w:pPr>
              <w:pStyle w:val="SingleTxtG"/>
              <w:ind w:left="152" w:hanging="118"/>
              <w:rPr>
                <w:sz w:val="18"/>
                <w:lang w:val="en-US"/>
              </w:rPr>
            </w:pPr>
            <w:r>
              <w:rPr>
                <w:lang w:val="en-US"/>
              </w:rPr>
              <w:tab/>
              <w:t>(d)</w:t>
            </w:r>
            <w:r>
              <w:rPr>
                <w:lang w:val="en-US"/>
              </w:rPr>
              <w:tab/>
            </w:r>
            <w:r w:rsidRPr="00804B55">
              <w:rPr>
                <w:lang w:val="en-US"/>
              </w:rPr>
              <w:t>All material properties: Density [kg·m</w:t>
            </w:r>
            <w:r w:rsidRPr="00804B55">
              <w:rPr>
                <w:vertAlign w:val="superscript"/>
                <w:lang w:val="en-US"/>
              </w:rPr>
              <w:t>-</w:t>
            </w:r>
            <w:r w:rsidRPr="00804B55">
              <w:rPr>
                <w:lang w:val="en-US"/>
              </w:rPr>
              <w:t>³], specific heat capacity [J·kg</w:t>
            </w:r>
            <w:r w:rsidRPr="00804B55">
              <w:rPr>
                <w:vertAlign w:val="superscript"/>
                <w:lang w:val="en-US"/>
              </w:rPr>
              <w:t>-1</w:t>
            </w:r>
            <w:r w:rsidRPr="00804B55">
              <w:rPr>
                <w:lang w:val="en-US"/>
              </w:rPr>
              <w:t>·K</w:t>
            </w:r>
            <w:r w:rsidRPr="00804B55">
              <w:rPr>
                <w:vertAlign w:val="superscript"/>
                <w:lang w:val="en-US"/>
              </w:rPr>
              <w:t>-1</w:t>
            </w:r>
            <w:r w:rsidRPr="00804B55">
              <w:rPr>
                <w:lang w:val="en-US"/>
              </w:rPr>
              <w:t>], heating value  [KJ·kg</w:t>
            </w:r>
            <w:r w:rsidRPr="00804B55">
              <w:rPr>
                <w:vertAlign w:val="superscript"/>
                <w:lang w:val="en-US"/>
              </w:rPr>
              <w:t>-1</w:t>
            </w:r>
            <w:r w:rsidRPr="00804B55">
              <w:rPr>
                <w:lang w:val="en-US"/>
              </w:rPr>
              <w:t>], thermal conductivity [W·m</w:t>
            </w:r>
            <w:r w:rsidRPr="00804B55">
              <w:rPr>
                <w:vertAlign w:val="superscript"/>
                <w:lang w:val="en-US"/>
              </w:rPr>
              <w:t>-1</w:t>
            </w:r>
            <w:r w:rsidRPr="00804B55">
              <w:rPr>
                <w:lang w:val="en-US"/>
              </w:rPr>
              <w:t>·K</w:t>
            </w:r>
            <w:r w:rsidRPr="00804B55">
              <w:rPr>
                <w:vertAlign w:val="superscript"/>
                <w:lang w:val="en-US"/>
              </w:rPr>
              <w:t>-1</w:t>
            </w:r>
            <w:r w:rsidRPr="00804B55">
              <w:rPr>
                <w:lang w:val="en-US"/>
              </w:rPr>
              <w:t>], melting temperature and flammability temperature [K], heat transfer coefficient of the outer packaging [W·m</w:t>
            </w:r>
            <w:r w:rsidRPr="00804B55">
              <w:rPr>
                <w:vertAlign w:val="superscript"/>
                <w:lang w:val="en-US"/>
              </w:rPr>
              <w:t>-2</w:t>
            </w:r>
            <w:r w:rsidRPr="00804B55">
              <w:rPr>
                <w:lang w:val="en-US"/>
              </w:rPr>
              <w:t>·K</w:t>
            </w:r>
            <w:r w:rsidRPr="00804B55">
              <w:rPr>
                <w:vertAlign w:val="superscript"/>
                <w:lang w:val="en-US"/>
              </w:rPr>
              <w:t>-1</w:t>
            </w:r>
            <w:r w:rsidRPr="00804B55">
              <w:rPr>
                <w:lang w:val="en-US"/>
              </w:rPr>
              <w:t>] , ambient air temperature 25°C,</w:t>
            </w:r>
          </w:p>
          <w:p w:rsidR="003E4B06" w:rsidRPr="00804B55" w:rsidRDefault="003E4B06" w:rsidP="00170064">
            <w:pPr>
              <w:pStyle w:val="SingleTxtG"/>
              <w:ind w:left="601" w:hanging="567"/>
              <w:rPr>
                <w:sz w:val="18"/>
                <w:lang w:val="en-US"/>
              </w:rPr>
            </w:pPr>
            <w:r>
              <w:rPr>
                <w:lang w:val="en-US"/>
              </w:rPr>
              <w:lastRenderedPageBreak/>
              <w:t>(e)</w:t>
            </w:r>
            <w:r>
              <w:rPr>
                <w:lang w:val="en-US"/>
              </w:rPr>
              <w:tab/>
            </w:r>
            <w:r w:rsidRPr="00804B55">
              <w:rPr>
                <w:lang w:val="en-US"/>
              </w:rPr>
              <w:t>Determine energy released with potential chemical reaction per element based on available elements for reaction (e.g. oxygen) for lithium cell/battery and packaging,</w:t>
            </w:r>
          </w:p>
          <w:p w:rsidR="003E4B06" w:rsidRPr="00804B55" w:rsidRDefault="003E4B06" w:rsidP="00170064">
            <w:pPr>
              <w:pStyle w:val="SingleTxtG"/>
              <w:ind w:left="601"/>
              <w:rPr>
                <w:sz w:val="18"/>
                <w:lang w:val="en-US"/>
              </w:rPr>
            </w:pPr>
            <w:r>
              <w:rPr>
                <w:lang w:val="en-US"/>
              </w:rPr>
              <w:t>(f)</w:t>
            </w:r>
            <w:r>
              <w:rPr>
                <w:lang w:val="en-US"/>
              </w:rPr>
              <w:tab/>
            </w:r>
            <w:r w:rsidRPr="00804B55">
              <w:rPr>
                <w:lang w:val="en-US"/>
              </w:rPr>
              <w:t>Electrical energy to be discharged by a single event</w:t>
            </w:r>
          </w:p>
          <w:p w:rsidR="003E4B06" w:rsidRPr="00804B55" w:rsidRDefault="003E4B06" w:rsidP="00170064">
            <w:pPr>
              <w:pStyle w:val="SingleTxtG"/>
              <w:ind w:left="601" w:hanging="567"/>
              <w:rPr>
                <w:sz w:val="18"/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)</w:t>
            </w:r>
            <w:r>
              <w:rPr>
                <w:lang w:val="en-US"/>
              </w:rPr>
              <w:tab/>
              <w:t>C</w:t>
            </w:r>
            <w:r w:rsidRPr="00804B55">
              <w:rPr>
                <w:lang w:val="en-US"/>
              </w:rPr>
              <w:t>onsider worst failure modes based on knowledge on cell(s), module(s) and total battery design,</w:t>
            </w:r>
          </w:p>
          <w:p w:rsidR="003E4B06" w:rsidRPr="00804B55" w:rsidRDefault="003E4B06" w:rsidP="00170064">
            <w:pPr>
              <w:pStyle w:val="SingleTxtG"/>
              <w:ind w:left="601"/>
              <w:rPr>
                <w:sz w:val="18"/>
                <w:lang w:val="en-US"/>
              </w:rPr>
            </w:pPr>
            <w:r>
              <w:rPr>
                <w:lang w:val="en-US"/>
              </w:rPr>
              <w:t>(ii)</w:t>
            </w:r>
            <w:r>
              <w:rPr>
                <w:lang w:val="en-US"/>
              </w:rPr>
              <w:tab/>
              <w:t>T</w:t>
            </w:r>
            <w:r w:rsidRPr="00804B55">
              <w:rPr>
                <w:lang w:val="en-US"/>
              </w:rPr>
              <w:t>otal energy conversion within 30 minutes,</w:t>
            </w:r>
          </w:p>
          <w:p w:rsidR="003E4B06" w:rsidRDefault="003E4B06" w:rsidP="003E4B06">
            <w:pPr>
              <w:pStyle w:val="SingleTxtG"/>
              <w:ind w:left="601"/>
              <w:rPr>
                <w:lang w:val="en-US"/>
              </w:rPr>
            </w:pPr>
            <w:r>
              <w:rPr>
                <w:lang w:val="en-US"/>
              </w:rPr>
              <w:t>(iii)</w:t>
            </w:r>
            <w:r>
              <w:rPr>
                <w:lang w:val="en-US"/>
              </w:rPr>
              <w:tab/>
              <w:t>W</w:t>
            </w:r>
            <w:r w:rsidRPr="00172938">
              <w:rPr>
                <w:lang w:val="en-US"/>
              </w:rPr>
              <w:t>orst case scenario to be analyzed for 24 hours.</w:t>
            </w:r>
          </w:p>
        </w:tc>
        <w:tc>
          <w:tcPr>
            <w:tcW w:w="4665" w:type="dxa"/>
          </w:tcPr>
          <w:p w:rsidR="003E4B06" w:rsidRDefault="003E4B06" w:rsidP="00170064">
            <w:pPr>
              <w:rPr>
                <w:color w:val="FF0000"/>
              </w:rPr>
            </w:pPr>
          </w:p>
          <w:p w:rsidR="003E4B06" w:rsidRPr="00CA5353" w:rsidRDefault="003E4B06" w:rsidP="00170064">
            <w:r w:rsidRPr="00CA5353">
              <w:t>The list of criteria should be reviewed and only appropriate data should be indicated.</w:t>
            </w:r>
          </w:p>
          <w:p w:rsidR="003E4B06" w:rsidRPr="00CA5353" w:rsidRDefault="003E4B06" w:rsidP="00170064"/>
          <w:p w:rsidR="003E4B06" w:rsidRDefault="003E4B06" w:rsidP="00170064">
            <w:r w:rsidRPr="00CA5353">
              <w:t>Existing scientific information on the heat release rate in case of thermal runaway should be sued.</w:t>
            </w:r>
          </w:p>
        </w:tc>
      </w:tr>
      <w:tr w:rsidR="003E4B06" w:rsidTr="00170064">
        <w:tc>
          <w:tcPr>
            <w:tcW w:w="846" w:type="dxa"/>
          </w:tcPr>
          <w:p w:rsidR="003E4B06" w:rsidRDefault="003E4B06" w:rsidP="00170064"/>
        </w:tc>
        <w:tc>
          <w:tcPr>
            <w:tcW w:w="8483" w:type="dxa"/>
          </w:tcPr>
          <w:p w:rsidR="003E4B06" w:rsidRDefault="003E4B06" w:rsidP="00170064"/>
        </w:tc>
        <w:tc>
          <w:tcPr>
            <w:tcW w:w="4665" w:type="dxa"/>
          </w:tcPr>
          <w:p w:rsidR="003E4B06" w:rsidRDefault="003E4B06" w:rsidP="00170064"/>
        </w:tc>
      </w:tr>
      <w:tr w:rsidR="003E4B06" w:rsidTr="00170064">
        <w:trPr>
          <w:trHeight w:val="404"/>
        </w:trPr>
        <w:tc>
          <w:tcPr>
            <w:tcW w:w="846" w:type="dxa"/>
          </w:tcPr>
          <w:p w:rsidR="003E4B06" w:rsidRDefault="003E4B06" w:rsidP="00170064">
            <w:r>
              <w:t>6.</w:t>
            </w:r>
          </w:p>
        </w:tc>
        <w:tc>
          <w:tcPr>
            <w:tcW w:w="8483" w:type="dxa"/>
          </w:tcPr>
          <w:p w:rsidR="003E4B06" w:rsidRDefault="003E4B06" w:rsidP="00170064">
            <w:r>
              <w:t>PRACTICAL TEST CRITERIA</w:t>
            </w:r>
          </w:p>
        </w:tc>
        <w:tc>
          <w:tcPr>
            <w:tcW w:w="4665" w:type="dxa"/>
          </w:tcPr>
          <w:p w:rsidR="003E4B06" w:rsidRDefault="003E4B06" w:rsidP="00170064"/>
        </w:tc>
      </w:tr>
      <w:tr w:rsidR="003E4B06" w:rsidRPr="00CA5353" w:rsidTr="00170064">
        <w:tc>
          <w:tcPr>
            <w:tcW w:w="846" w:type="dxa"/>
          </w:tcPr>
          <w:p w:rsidR="003E4B06" w:rsidRPr="00CA5353" w:rsidRDefault="003E4B06" w:rsidP="00170064">
            <w:pPr>
              <w:rPr>
                <w:b/>
                <w:color w:val="FF0000"/>
              </w:rPr>
            </w:pPr>
          </w:p>
        </w:tc>
        <w:tc>
          <w:tcPr>
            <w:tcW w:w="8483" w:type="dxa"/>
          </w:tcPr>
          <w:p w:rsidR="003E4B06" w:rsidRPr="00CA5353" w:rsidRDefault="003E4B06" w:rsidP="00170064">
            <w:pPr>
              <w:rPr>
                <w:b/>
                <w:color w:val="FF0000"/>
              </w:rPr>
            </w:pPr>
            <w:r w:rsidRPr="00CA5353">
              <w:rPr>
                <w:b/>
                <w:color w:val="FF0000"/>
              </w:rPr>
              <w:t>These criteria shall be defined during the 3</w:t>
            </w:r>
            <w:r w:rsidRPr="00CA5353">
              <w:rPr>
                <w:b/>
                <w:color w:val="FF0000"/>
                <w:vertAlign w:val="superscript"/>
              </w:rPr>
              <w:t>rd</w:t>
            </w:r>
            <w:r w:rsidRPr="00CA5353">
              <w:rPr>
                <w:b/>
                <w:color w:val="FF0000"/>
              </w:rPr>
              <w:t xml:space="preserve"> Informal Working Group Meeting.</w:t>
            </w:r>
          </w:p>
        </w:tc>
        <w:tc>
          <w:tcPr>
            <w:tcW w:w="4665" w:type="dxa"/>
          </w:tcPr>
          <w:p w:rsidR="003E4B06" w:rsidRPr="00CA5353" w:rsidRDefault="003E4B06" w:rsidP="00170064">
            <w:pPr>
              <w:rPr>
                <w:b/>
                <w:color w:val="FF0000"/>
              </w:rPr>
            </w:pPr>
          </w:p>
        </w:tc>
      </w:tr>
      <w:tr w:rsidR="003E4B06" w:rsidTr="00170064">
        <w:tc>
          <w:tcPr>
            <w:tcW w:w="846" w:type="dxa"/>
          </w:tcPr>
          <w:p w:rsidR="003E4B06" w:rsidRDefault="003E4B06" w:rsidP="00170064"/>
        </w:tc>
        <w:tc>
          <w:tcPr>
            <w:tcW w:w="8483" w:type="dxa"/>
          </w:tcPr>
          <w:p w:rsidR="003E4B06" w:rsidRDefault="003E4B06" w:rsidP="00170064"/>
        </w:tc>
        <w:tc>
          <w:tcPr>
            <w:tcW w:w="4665" w:type="dxa"/>
          </w:tcPr>
          <w:p w:rsidR="003E4B06" w:rsidRDefault="003E4B06" w:rsidP="00170064"/>
        </w:tc>
      </w:tr>
      <w:tr w:rsidR="003E4B06" w:rsidTr="00170064">
        <w:tc>
          <w:tcPr>
            <w:tcW w:w="846" w:type="dxa"/>
          </w:tcPr>
          <w:p w:rsidR="003E4B06" w:rsidRDefault="003E4B06" w:rsidP="00170064">
            <w:r>
              <w:br w:type="page"/>
              <w:t>7.</w:t>
            </w:r>
          </w:p>
        </w:tc>
        <w:tc>
          <w:tcPr>
            <w:tcW w:w="8483" w:type="dxa"/>
          </w:tcPr>
          <w:p w:rsidR="003E4B06" w:rsidRDefault="003E4B06" w:rsidP="00170064">
            <w:r>
              <w:t>CRITERIA LINKED TO THE TESTS CERTIFICATE</w:t>
            </w:r>
          </w:p>
        </w:tc>
        <w:tc>
          <w:tcPr>
            <w:tcW w:w="4665" w:type="dxa"/>
          </w:tcPr>
          <w:p w:rsidR="003E4B06" w:rsidRDefault="003E4B06" w:rsidP="00170064"/>
        </w:tc>
      </w:tr>
      <w:tr w:rsidR="003E4B06" w:rsidTr="00170064">
        <w:tc>
          <w:tcPr>
            <w:tcW w:w="846" w:type="dxa"/>
          </w:tcPr>
          <w:p w:rsidR="003E4B06" w:rsidRDefault="003E4B06" w:rsidP="00170064"/>
        </w:tc>
        <w:tc>
          <w:tcPr>
            <w:tcW w:w="8483" w:type="dxa"/>
          </w:tcPr>
          <w:p w:rsidR="003E4B06" w:rsidRPr="00804B55" w:rsidRDefault="003E4B06" w:rsidP="00170064">
            <w:pPr>
              <w:pStyle w:val="SingleTxtG"/>
              <w:ind w:left="175"/>
              <w:rPr>
                <w:lang w:val="en-US"/>
              </w:rPr>
            </w:pPr>
            <w:r>
              <w:rPr>
                <w:lang w:val="en-US"/>
              </w:rPr>
              <w:t>7.</w:t>
            </w:r>
            <w:r>
              <w:rPr>
                <w:lang w:val="en-US"/>
              </w:rPr>
              <w:tab/>
              <w:t>The test</w:t>
            </w:r>
            <w:r w:rsidRPr="00804B55">
              <w:rPr>
                <w:lang w:val="en-US"/>
              </w:rPr>
              <w:t xml:space="preserve"> results</w:t>
            </w:r>
            <w:r>
              <w:rPr>
                <w:lang w:val="en-US"/>
              </w:rPr>
              <w:t xml:space="preserve"> shall be documented and the</w:t>
            </w:r>
            <w:r w:rsidRPr="00804B55">
              <w:rPr>
                <w:lang w:val="en-US"/>
              </w:rPr>
              <w:t xml:space="preserve"> technical documentation shall</w:t>
            </w:r>
            <w:r>
              <w:rPr>
                <w:lang w:val="en-US"/>
              </w:rPr>
              <w:t xml:space="preserve"> include at least the </w:t>
            </w:r>
            <w:r w:rsidRPr="00804B55">
              <w:rPr>
                <w:lang w:val="en-US"/>
              </w:rPr>
              <w:t>following information:</w:t>
            </w:r>
          </w:p>
          <w:p w:rsidR="003E4B06" w:rsidRPr="00804B55" w:rsidRDefault="003E4B06" w:rsidP="00170064">
            <w:pPr>
              <w:pStyle w:val="SingleTxtG"/>
              <w:ind w:left="175"/>
              <w:rPr>
                <w:lang w:val="en-US"/>
              </w:rPr>
            </w:pPr>
            <w:r>
              <w:rPr>
                <w:lang w:val="en-US"/>
              </w:rPr>
              <w:t>(a)</w:t>
            </w:r>
            <w:r>
              <w:rPr>
                <w:lang w:val="en-US"/>
              </w:rPr>
              <w:tab/>
              <w:t>A n</w:t>
            </w:r>
            <w:r w:rsidRPr="00804B55">
              <w:rPr>
                <w:lang w:val="en-US"/>
              </w:rPr>
              <w:t xml:space="preserve">umber of tested </w:t>
            </w:r>
            <w:r>
              <w:rPr>
                <w:lang w:val="en-US"/>
              </w:rPr>
              <w:t>l</w:t>
            </w:r>
            <w:r w:rsidRPr="00804B55">
              <w:rPr>
                <w:lang w:val="en-US"/>
              </w:rPr>
              <w:t>ithium cell(s)/battery(</w:t>
            </w:r>
            <w:proofErr w:type="spellStart"/>
            <w:r w:rsidRPr="00804B55">
              <w:rPr>
                <w:lang w:val="en-US"/>
              </w:rPr>
              <w:t>ies</w:t>
            </w:r>
            <w:proofErr w:type="spellEnd"/>
            <w:r w:rsidRPr="00804B55">
              <w:rPr>
                <w:lang w:val="en-US"/>
              </w:rPr>
              <w:t>),</w:t>
            </w:r>
          </w:p>
          <w:p w:rsidR="003E4B06" w:rsidRPr="00804B55" w:rsidRDefault="003E4B06" w:rsidP="00170064">
            <w:pPr>
              <w:pStyle w:val="SingleTxtG"/>
              <w:ind w:left="175"/>
              <w:rPr>
                <w:lang w:val="en-US"/>
              </w:rPr>
            </w:pPr>
            <w:r>
              <w:rPr>
                <w:lang w:val="en-US"/>
              </w:rPr>
              <w:t>(b)</w:t>
            </w:r>
            <w:r>
              <w:rPr>
                <w:lang w:val="en-US"/>
              </w:rPr>
              <w:tab/>
              <w:t>Weight of the tested l</w:t>
            </w:r>
            <w:r w:rsidRPr="00804B55">
              <w:rPr>
                <w:lang w:val="en-US"/>
              </w:rPr>
              <w:t>ithium cell(s)/battery(</w:t>
            </w:r>
            <w:proofErr w:type="spellStart"/>
            <w:r w:rsidRPr="00804B55">
              <w:rPr>
                <w:lang w:val="en-US"/>
              </w:rPr>
              <w:t>ies</w:t>
            </w:r>
            <w:proofErr w:type="spellEnd"/>
            <w:r w:rsidRPr="00804B55">
              <w:rPr>
                <w:lang w:val="en-US"/>
              </w:rPr>
              <w:t>),</w:t>
            </w:r>
          </w:p>
          <w:p w:rsidR="003E4B06" w:rsidRPr="00804B55" w:rsidRDefault="003E4B06" w:rsidP="00170064">
            <w:pPr>
              <w:pStyle w:val="SingleTxtG"/>
              <w:ind w:left="175"/>
              <w:rPr>
                <w:lang w:val="en-US"/>
              </w:rPr>
            </w:pPr>
            <w:r>
              <w:rPr>
                <w:lang w:val="en-US"/>
              </w:rPr>
              <w:t>(c)</w:t>
            </w:r>
            <w:r>
              <w:rPr>
                <w:lang w:val="en-US"/>
              </w:rPr>
              <w:tab/>
              <w:t>Dimensions of the tested l</w:t>
            </w:r>
            <w:r w:rsidRPr="00804B55">
              <w:rPr>
                <w:lang w:val="en-US"/>
              </w:rPr>
              <w:t>ithium cell(s)/battery(</w:t>
            </w:r>
            <w:proofErr w:type="spellStart"/>
            <w:r w:rsidRPr="00804B55">
              <w:rPr>
                <w:lang w:val="en-US"/>
              </w:rPr>
              <w:t>ies</w:t>
            </w:r>
            <w:proofErr w:type="spellEnd"/>
            <w:r w:rsidRPr="00804B55">
              <w:rPr>
                <w:lang w:val="en-US"/>
              </w:rPr>
              <w:t>),</w:t>
            </w:r>
          </w:p>
          <w:p w:rsidR="003E4B06" w:rsidRPr="00804B55" w:rsidRDefault="003E4B06" w:rsidP="00170064">
            <w:pPr>
              <w:pStyle w:val="SingleTxtG"/>
              <w:ind w:left="175" w:hanging="567"/>
              <w:rPr>
                <w:lang w:val="en-US"/>
              </w:rPr>
            </w:pPr>
            <w:r>
              <w:rPr>
                <w:lang w:val="en-US"/>
              </w:rPr>
              <w:t>(d)</w:t>
            </w:r>
            <w:r>
              <w:rPr>
                <w:lang w:val="en-US"/>
              </w:rPr>
              <w:tab/>
              <w:t>Type of l</w:t>
            </w:r>
            <w:r w:rsidRPr="00804B55">
              <w:rPr>
                <w:lang w:val="en-US"/>
              </w:rPr>
              <w:t>ithium cell(s)/battery(</w:t>
            </w:r>
            <w:proofErr w:type="spellStart"/>
            <w:r w:rsidRPr="00804B55">
              <w:rPr>
                <w:lang w:val="en-US"/>
              </w:rPr>
              <w:t>i</w:t>
            </w:r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>) or chemistry of the tested l</w:t>
            </w:r>
            <w:r w:rsidRPr="00804B55">
              <w:rPr>
                <w:lang w:val="en-US"/>
              </w:rPr>
              <w:t>ithium cell(s)/battery(</w:t>
            </w:r>
            <w:proofErr w:type="spellStart"/>
            <w:r w:rsidRPr="00804B55">
              <w:rPr>
                <w:lang w:val="en-US"/>
              </w:rPr>
              <w:t>ies</w:t>
            </w:r>
            <w:proofErr w:type="spellEnd"/>
            <w:r w:rsidRPr="00804B55">
              <w:rPr>
                <w:lang w:val="en-US"/>
              </w:rPr>
              <w:t>),</w:t>
            </w:r>
          </w:p>
          <w:p w:rsidR="003E4B06" w:rsidRPr="00804B55" w:rsidRDefault="003E4B06" w:rsidP="00170064">
            <w:pPr>
              <w:pStyle w:val="SingleTxtG"/>
              <w:ind w:left="175"/>
              <w:rPr>
                <w:lang w:val="en-US"/>
              </w:rPr>
            </w:pPr>
            <w:r>
              <w:rPr>
                <w:lang w:val="en-US"/>
              </w:rPr>
              <w:t>e)</w:t>
            </w:r>
            <w:r>
              <w:rPr>
                <w:lang w:val="en-US"/>
              </w:rPr>
              <w:tab/>
              <w:t>E</w:t>
            </w:r>
            <w:r w:rsidRPr="00804B55">
              <w:rPr>
                <w:lang w:val="en-US"/>
              </w:rPr>
              <w:t xml:space="preserve">nergy content of the tested </w:t>
            </w:r>
            <w:r>
              <w:rPr>
                <w:lang w:val="en-US"/>
              </w:rPr>
              <w:t>l</w:t>
            </w:r>
            <w:r w:rsidRPr="00804B55">
              <w:rPr>
                <w:lang w:val="en-US"/>
              </w:rPr>
              <w:t>ithium cell(s)/</w:t>
            </w:r>
            <w:proofErr w:type="gramStart"/>
            <w:r w:rsidRPr="00804B55">
              <w:rPr>
                <w:lang w:val="en-US"/>
              </w:rPr>
              <w:t>battery(</w:t>
            </w:r>
            <w:proofErr w:type="spellStart"/>
            <w:proofErr w:type="gramEnd"/>
            <w:r w:rsidRPr="00804B55">
              <w:rPr>
                <w:lang w:val="en-US"/>
              </w:rPr>
              <w:t>ies</w:t>
            </w:r>
            <w:proofErr w:type="spellEnd"/>
            <w:r w:rsidRPr="00804B55">
              <w:rPr>
                <w:lang w:val="en-US"/>
              </w:rPr>
              <w:t>).</w:t>
            </w:r>
          </w:p>
          <w:p w:rsidR="003E4B06" w:rsidRPr="00804B55" w:rsidRDefault="003E4B06" w:rsidP="00170064">
            <w:pPr>
              <w:pStyle w:val="SingleTxtG"/>
              <w:ind w:left="175"/>
              <w:rPr>
                <w:lang w:val="en-US"/>
              </w:rPr>
            </w:pPr>
            <w:r w:rsidRPr="00804B55">
              <w:rPr>
                <w:lang w:val="en-US"/>
              </w:rPr>
              <w:t>On request the technical documentation must be submitted to the competent authority.</w:t>
            </w:r>
          </w:p>
          <w:p w:rsidR="003E4B06" w:rsidRPr="00CA5353" w:rsidRDefault="003E4B06" w:rsidP="00170064">
            <w:pPr>
              <w:rPr>
                <w:b/>
                <w:lang w:val="en-US"/>
              </w:rPr>
            </w:pPr>
            <w:r w:rsidRPr="00CA5353">
              <w:rPr>
                <w:b/>
                <w:color w:val="FF0000"/>
                <w:lang w:val="en-US"/>
              </w:rPr>
              <w:t>Additional criteria may be defined during the discussion at the 3</w:t>
            </w:r>
            <w:r w:rsidRPr="00CA5353">
              <w:rPr>
                <w:b/>
                <w:color w:val="FF0000"/>
                <w:vertAlign w:val="superscript"/>
                <w:lang w:val="en-US"/>
              </w:rPr>
              <w:t>rd</w:t>
            </w:r>
            <w:r w:rsidRPr="00CA5353">
              <w:rPr>
                <w:b/>
                <w:color w:val="FF0000"/>
                <w:lang w:val="en-US"/>
              </w:rPr>
              <w:t xml:space="preserve"> IWG in accordance with the Tests Report under preparation.</w:t>
            </w:r>
          </w:p>
        </w:tc>
        <w:tc>
          <w:tcPr>
            <w:tcW w:w="4665" w:type="dxa"/>
          </w:tcPr>
          <w:p w:rsidR="003E4B06" w:rsidRPr="000D1484" w:rsidRDefault="003E4B06" w:rsidP="00170064">
            <w:pPr>
              <w:pStyle w:val="SingleTxtG"/>
              <w:ind w:left="0"/>
              <w:rPr>
                <w:lang w:val="en-US"/>
              </w:rPr>
            </w:pPr>
          </w:p>
        </w:tc>
      </w:tr>
      <w:tr w:rsidR="003E4B06" w:rsidTr="00170064">
        <w:tc>
          <w:tcPr>
            <w:tcW w:w="846" w:type="dxa"/>
          </w:tcPr>
          <w:p w:rsidR="003E4B06" w:rsidRDefault="003E4B06" w:rsidP="00170064"/>
        </w:tc>
        <w:tc>
          <w:tcPr>
            <w:tcW w:w="8483" w:type="dxa"/>
          </w:tcPr>
          <w:p w:rsidR="003E4B06" w:rsidRDefault="003E4B06" w:rsidP="00170064"/>
        </w:tc>
        <w:tc>
          <w:tcPr>
            <w:tcW w:w="4665" w:type="dxa"/>
          </w:tcPr>
          <w:p w:rsidR="003E4B06" w:rsidRDefault="003E4B06" w:rsidP="00170064"/>
        </w:tc>
      </w:tr>
    </w:tbl>
    <w:p w:rsidR="003E4B06" w:rsidRPr="003E4B06" w:rsidRDefault="003E4B06" w:rsidP="003E4B0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4B06" w:rsidRPr="00CA76FF" w:rsidRDefault="003E4B06" w:rsidP="003E4B06"/>
    <w:p w:rsidR="003E4B06" w:rsidRPr="00CA76FF" w:rsidRDefault="003E4B06" w:rsidP="003E4B06"/>
    <w:p w:rsidR="00AB103E" w:rsidRPr="006A4A68" w:rsidRDefault="00AB103E" w:rsidP="006A4A68">
      <w:pPr>
        <w:pStyle w:val="SingleTxtG"/>
        <w:spacing w:before="240" w:after="0"/>
        <w:jc w:val="center"/>
        <w:rPr>
          <w:u w:val="single"/>
          <w:lang w:val="en-US"/>
        </w:rPr>
      </w:pPr>
    </w:p>
    <w:sectPr w:rsidR="00AB103E" w:rsidRPr="006A4A68" w:rsidSect="001D7DA7">
      <w:headerReference w:type="even" r:id="rId15"/>
      <w:headerReference w:type="default" r:id="rId16"/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FC" w:rsidRDefault="00153BFC"/>
  </w:endnote>
  <w:endnote w:type="continuationSeparator" w:id="0">
    <w:p w:rsidR="00153BFC" w:rsidRDefault="00153BFC"/>
  </w:endnote>
  <w:endnote w:type="continuationNotice" w:id="1">
    <w:p w:rsidR="00153BFC" w:rsidRDefault="00153B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2C" w:rsidRPr="00DC5FBA" w:rsidRDefault="00F7172C" w:rsidP="00DC5FBA">
    <w:pPr>
      <w:pStyle w:val="Footer"/>
      <w:tabs>
        <w:tab w:val="right" w:pos="9638"/>
      </w:tabs>
      <w:rPr>
        <w:sz w:val="18"/>
      </w:rPr>
    </w:pPr>
    <w:r w:rsidRPr="00DC5FBA">
      <w:rPr>
        <w:b/>
        <w:sz w:val="18"/>
      </w:rPr>
      <w:fldChar w:fldCharType="begin"/>
    </w:r>
    <w:r w:rsidRPr="00DC5FBA">
      <w:rPr>
        <w:b/>
        <w:sz w:val="18"/>
      </w:rPr>
      <w:instrText xml:space="preserve"> PAGE  \* MERGEFORMAT </w:instrText>
    </w:r>
    <w:r w:rsidRPr="00DC5FBA">
      <w:rPr>
        <w:b/>
        <w:sz w:val="18"/>
      </w:rPr>
      <w:fldChar w:fldCharType="separate"/>
    </w:r>
    <w:r w:rsidR="00753D18">
      <w:rPr>
        <w:b/>
        <w:noProof/>
        <w:sz w:val="18"/>
      </w:rPr>
      <w:t>2</w:t>
    </w:r>
    <w:r w:rsidRPr="00DC5FB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2C" w:rsidRPr="00DC5FBA" w:rsidRDefault="00F7172C" w:rsidP="00DC5FBA">
    <w:pPr>
      <w:pStyle w:val="Footer"/>
      <w:tabs>
        <w:tab w:val="right" w:pos="9638"/>
      </w:tabs>
      <w:rPr>
        <w:b/>
        <w:sz w:val="18"/>
      </w:rPr>
    </w:pPr>
    <w:r>
      <w:tab/>
    </w:r>
    <w:r w:rsidRPr="00DC5FBA">
      <w:rPr>
        <w:b/>
        <w:sz w:val="18"/>
      </w:rPr>
      <w:fldChar w:fldCharType="begin"/>
    </w:r>
    <w:r w:rsidRPr="00DC5FBA">
      <w:rPr>
        <w:b/>
        <w:sz w:val="18"/>
      </w:rPr>
      <w:instrText xml:space="preserve"> PAGE  \* MERGEFORMAT </w:instrText>
    </w:r>
    <w:r w:rsidRPr="00DC5FBA">
      <w:rPr>
        <w:b/>
        <w:sz w:val="18"/>
      </w:rPr>
      <w:fldChar w:fldCharType="separate"/>
    </w:r>
    <w:r w:rsidR="003E4B06">
      <w:rPr>
        <w:b/>
        <w:noProof/>
        <w:sz w:val="18"/>
      </w:rPr>
      <w:t>3</w:t>
    </w:r>
    <w:r w:rsidRPr="00DC5F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06" w:rsidRPr="00DC5FBA" w:rsidRDefault="003E4B06" w:rsidP="003E4B06">
    <w:pPr>
      <w:pStyle w:val="Footer"/>
      <w:tabs>
        <w:tab w:val="right" w:pos="13467"/>
      </w:tabs>
      <w:rPr>
        <w:b/>
        <w:sz w:val="18"/>
      </w:rPr>
    </w:pPr>
    <w:r>
      <w:tab/>
    </w:r>
    <w:r w:rsidRPr="00DC5FBA">
      <w:rPr>
        <w:b/>
        <w:sz w:val="18"/>
      </w:rPr>
      <w:fldChar w:fldCharType="begin"/>
    </w:r>
    <w:r w:rsidRPr="00DC5FBA">
      <w:rPr>
        <w:b/>
        <w:sz w:val="18"/>
      </w:rPr>
      <w:instrText xml:space="preserve"> PAGE  \* MERGEFORMAT </w:instrText>
    </w:r>
    <w:r w:rsidRPr="00DC5FBA">
      <w:rPr>
        <w:b/>
        <w:sz w:val="18"/>
      </w:rPr>
      <w:fldChar w:fldCharType="separate"/>
    </w:r>
    <w:r w:rsidR="00753D18">
      <w:rPr>
        <w:b/>
        <w:noProof/>
        <w:sz w:val="18"/>
      </w:rPr>
      <w:t>3</w:t>
    </w:r>
    <w:r w:rsidRPr="00DC5FB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FC" w:rsidRPr="000B175B" w:rsidRDefault="00153BF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3BFC" w:rsidRPr="00FC68B7" w:rsidRDefault="00153BF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53BFC" w:rsidRDefault="00153B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2C" w:rsidRPr="00DC5FBA" w:rsidRDefault="00AD3F0D">
    <w:pPr>
      <w:pStyle w:val="Header"/>
    </w:pPr>
    <w:r w:rsidRPr="00AD3F0D">
      <w:t>UN/SCETDG/4</w:t>
    </w:r>
    <w:r w:rsidR="003D0D10">
      <w:t>8</w:t>
    </w:r>
    <w:r w:rsidR="006A4A68">
      <w:t>/INF.23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95" w:rsidRPr="0005570C" w:rsidRDefault="00020095" w:rsidP="00020095">
    <w:pPr>
      <w:pStyle w:val="Header"/>
      <w:jc w:val="right"/>
    </w:pPr>
    <w:r w:rsidRPr="00F54DDA">
      <w:t>UN/SCETDG/4</w:t>
    </w:r>
    <w:r w:rsidR="00F14A47">
      <w:t>8</w:t>
    </w:r>
    <w:r w:rsidRPr="00F54DDA">
      <w:t>/INF.</w:t>
    </w:r>
    <w:r w:rsidR="002714EF"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A7" w:rsidRDefault="00EF44A7" w:rsidP="006A4A68">
    <w:pPr>
      <w:pStyle w:val="Header"/>
      <w:pBdr>
        <w:bottom w:val="none" w:sz="0" w:space="0" w:color="auto"/>
      </w:pBdr>
      <w:ind w:left="-85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06" w:rsidRPr="00DC5FBA" w:rsidRDefault="003E4B06">
    <w:pPr>
      <w:pStyle w:val="Header"/>
    </w:pPr>
    <w:r w:rsidRPr="00AD3F0D">
      <w:t>UN/SCETDG/4</w:t>
    </w:r>
    <w:r>
      <w:t>8/INF.23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06" w:rsidRPr="0005570C" w:rsidRDefault="003E4B06" w:rsidP="00020095">
    <w:pPr>
      <w:pStyle w:val="Header"/>
      <w:jc w:val="right"/>
    </w:pPr>
    <w:r w:rsidRPr="00F54DDA">
      <w:t>UN/SCETDG/4</w:t>
    </w:r>
    <w:r>
      <w:t>8</w:t>
    </w:r>
    <w:r w:rsidRPr="00F54DDA">
      <w:t>/INF.</w:t>
    </w:r>
    <w: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80B3C"/>
    <w:multiLevelType w:val="hybridMultilevel"/>
    <w:tmpl w:val="4968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4140"/>
        </w:tabs>
        <w:ind w:left="4140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9291B88"/>
    <w:multiLevelType w:val="hybridMultilevel"/>
    <w:tmpl w:val="E2CC3E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3B64767"/>
    <w:multiLevelType w:val="hybridMultilevel"/>
    <w:tmpl w:val="068A50E6"/>
    <w:lvl w:ilvl="0" w:tplc="E68C1DA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8C4E29B2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0F6CE384">
      <w:start w:val="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CC382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02B089CA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A24CBEE6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ED90365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EDA8E8EC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5900D30E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6">
    <w:nsid w:val="2D541F15"/>
    <w:multiLevelType w:val="hybridMultilevel"/>
    <w:tmpl w:val="34983152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65406"/>
    <w:multiLevelType w:val="hybridMultilevel"/>
    <w:tmpl w:val="670E03D4"/>
    <w:lvl w:ilvl="0" w:tplc="03F667BE">
      <w:start w:val="4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E7A50"/>
    <w:multiLevelType w:val="hybridMultilevel"/>
    <w:tmpl w:val="8AA44E4C"/>
    <w:lvl w:ilvl="0" w:tplc="C35E986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7C912C2"/>
    <w:multiLevelType w:val="hybridMultilevel"/>
    <w:tmpl w:val="A4A03682"/>
    <w:lvl w:ilvl="0" w:tplc="77009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6C7DE">
      <w:start w:val="27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2D9C20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297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003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E5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C9A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80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EB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795A5B"/>
    <w:multiLevelType w:val="hybridMultilevel"/>
    <w:tmpl w:val="3CD41712"/>
    <w:lvl w:ilvl="0" w:tplc="2410BAD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1577E9"/>
    <w:multiLevelType w:val="hybridMultilevel"/>
    <w:tmpl w:val="67AA4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4"/>
  </w:num>
  <w:num w:numId="13">
    <w:abstractNumId w:val="12"/>
  </w:num>
  <w:num w:numId="14">
    <w:abstractNumId w:val="22"/>
  </w:num>
  <w:num w:numId="15">
    <w:abstractNumId w:val="24"/>
  </w:num>
  <w:num w:numId="16">
    <w:abstractNumId w:val="16"/>
  </w:num>
  <w:num w:numId="17">
    <w:abstractNumId w:val="18"/>
  </w:num>
  <w:num w:numId="18">
    <w:abstractNumId w:val="15"/>
  </w:num>
  <w:num w:numId="19">
    <w:abstractNumId w:val="19"/>
  </w:num>
  <w:num w:numId="20">
    <w:abstractNumId w:val="17"/>
  </w:num>
  <w:num w:numId="21">
    <w:abstractNumId w:val="20"/>
  </w:num>
  <w:num w:numId="22">
    <w:abstractNumId w:val="13"/>
  </w:num>
  <w:num w:numId="23">
    <w:abstractNumId w:val="11"/>
  </w:num>
  <w:num w:numId="24">
    <w:abstractNumId w:val="23"/>
  </w:num>
  <w:num w:numId="25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1E98"/>
    <w:rsid w:val="000022B8"/>
    <w:rsid w:val="0000447A"/>
    <w:rsid w:val="00010840"/>
    <w:rsid w:val="00012A02"/>
    <w:rsid w:val="00020095"/>
    <w:rsid w:val="000223D8"/>
    <w:rsid w:val="00024C31"/>
    <w:rsid w:val="0002626C"/>
    <w:rsid w:val="00035B55"/>
    <w:rsid w:val="00036BDC"/>
    <w:rsid w:val="00037FD8"/>
    <w:rsid w:val="0005007E"/>
    <w:rsid w:val="00050463"/>
    <w:rsid w:val="00050F6B"/>
    <w:rsid w:val="000525F0"/>
    <w:rsid w:val="000529BE"/>
    <w:rsid w:val="00055EF6"/>
    <w:rsid w:val="0006170C"/>
    <w:rsid w:val="00062F47"/>
    <w:rsid w:val="00071BCB"/>
    <w:rsid w:val="00072C8C"/>
    <w:rsid w:val="00075498"/>
    <w:rsid w:val="000769AB"/>
    <w:rsid w:val="00076AEE"/>
    <w:rsid w:val="00082A50"/>
    <w:rsid w:val="00086E05"/>
    <w:rsid w:val="00086FBE"/>
    <w:rsid w:val="00091419"/>
    <w:rsid w:val="0009189F"/>
    <w:rsid w:val="000931C0"/>
    <w:rsid w:val="000A10F6"/>
    <w:rsid w:val="000A46A4"/>
    <w:rsid w:val="000A4F2F"/>
    <w:rsid w:val="000A5DC2"/>
    <w:rsid w:val="000B175B"/>
    <w:rsid w:val="000B3A0F"/>
    <w:rsid w:val="000B5056"/>
    <w:rsid w:val="000B5B55"/>
    <w:rsid w:val="000C0BD8"/>
    <w:rsid w:val="000C170A"/>
    <w:rsid w:val="000C3866"/>
    <w:rsid w:val="000D6097"/>
    <w:rsid w:val="000D78B2"/>
    <w:rsid w:val="000E0415"/>
    <w:rsid w:val="000E3BFF"/>
    <w:rsid w:val="000E4C9F"/>
    <w:rsid w:val="000F0DEF"/>
    <w:rsid w:val="000F2718"/>
    <w:rsid w:val="000F3BB9"/>
    <w:rsid w:val="000F6938"/>
    <w:rsid w:val="0010335A"/>
    <w:rsid w:val="00110991"/>
    <w:rsid w:val="001129E5"/>
    <w:rsid w:val="00117787"/>
    <w:rsid w:val="00127986"/>
    <w:rsid w:val="00130B2B"/>
    <w:rsid w:val="00131D42"/>
    <w:rsid w:val="001329B7"/>
    <w:rsid w:val="00146DBC"/>
    <w:rsid w:val="00153BFC"/>
    <w:rsid w:val="00154402"/>
    <w:rsid w:val="001619B4"/>
    <w:rsid w:val="001633FB"/>
    <w:rsid w:val="00175FCF"/>
    <w:rsid w:val="0018709C"/>
    <w:rsid w:val="001A0D51"/>
    <w:rsid w:val="001A2909"/>
    <w:rsid w:val="001A66B1"/>
    <w:rsid w:val="001B1A57"/>
    <w:rsid w:val="001B4B04"/>
    <w:rsid w:val="001B6034"/>
    <w:rsid w:val="001B648B"/>
    <w:rsid w:val="001B7C3D"/>
    <w:rsid w:val="001C31B9"/>
    <w:rsid w:val="001C3AC6"/>
    <w:rsid w:val="001C4EB5"/>
    <w:rsid w:val="001C6663"/>
    <w:rsid w:val="001C7895"/>
    <w:rsid w:val="001D26DF"/>
    <w:rsid w:val="001D2FDC"/>
    <w:rsid w:val="001E18F2"/>
    <w:rsid w:val="001E3573"/>
    <w:rsid w:val="001E3F4D"/>
    <w:rsid w:val="001E5702"/>
    <w:rsid w:val="001F523D"/>
    <w:rsid w:val="00202290"/>
    <w:rsid w:val="00204D75"/>
    <w:rsid w:val="00206E5D"/>
    <w:rsid w:val="00210AB5"/>
    <w:rsid w:val="00211E0B"/>
    <w:rsid w:val="002213FA"/>
    <w:rsid w:val="00223C0B"/>
    <w:rsid w:val="0022446F"/>
    <w:rsid w:val="00225955"/>
    <w:rsid w:val="002262D3"/>
    <w:rsid w:val="002309A7"/>
    <w:rsid w:val="002311E4"/>
    <w:rsid w:val="0023606E"/>
    <w:rsid w:val="00237785"/>
    <w:rsid w:val="002413A9"/>
    <w:rsid w:val="00241466"/>
    <w:rsid w:val="00242462"/>
    <w:rsid w:val="002505B3"/>
    <w:rsid w:val="00252D36"/>
    <w:rsid w:val="00253374"/>
    <w:rsid w:val="00257377"/>
    <w:rsid w:val="00262A99"/>
    <w:rsid w:val="002673BB"/>
    <w:rsid w:val="00270110"/>
    <w:rsid w:val="002714EF"/>
    <w:rsid w:val="00271844"/>
    <w:rsid w:val="00272039"/>
    <w:rsid w:val="002725CA"/>
    <w:rsid w:val="002732A9"/>
    <w:rsid w:val="00276796"/>
    <w:rsid w:val="00280EB7"/>
    <w:rsid w:val="00284D6E"/>
    <w:rsid w:val="0029098D"/>
    <w:rsid w:val="00290E10"/>
    <w:rsid w:val="002A34AB"/>
    <w:rsid w:val="002A55AC"/>
    <w:rsid w:val="002A5D83"/>
    <w:rsid w:val="002B1CDA"/>
    <w:rsid w:val="002B6251"/>
    <w:rsid w:val="002C56EC"/>
    <w:rsid w:val="002C638D"/>
    <w:rsid w:val="002E7020"/>
    <w:rsid w:val="002F1E9A"/>
    <w:rsid w:val="00306C2D"/>
    <w:rsid w:val="003107FA"/>
    <w:rsid w:val="00311FE0"/>
    <w:rsid w:val="003229D8"/>
    <w:rsid w:val="003304B6"/>
    <w:rsid w:val="003343A2"/>
    <w:rsid w:val="003372CE"/>
    <w:rsid w:val="00341D6C"/>
    <w:rsid w:val="00342E68"/>
    <w:rsid w:val="00347CF7"/>
    <w:rsid w:val="00347FB9"/>
    <w:rsid w:val="00350C40"/>
    <w:rsid w:val="00351405"/>
    <w:rsid w:val="003516AB"/>
    <w:rsid w:val="00360CB6"/>
    <w:rsid w:val="00361AD3"/>
    <w:rsid w:val="00364DED"/>
    <w:rsid w:val="0036510A"/>
    <w:rsid w:val="0037127D"/>
    <w:rsid w:val="003765A6"/>
    <w:rsid w:val="00376EA4"/>
    <w:rsid w:val="0037785D"/>
    <w:rsid w:val="00380528"/>
    <w:rsid w:val="0038171E"/>
    <w:rsid w:val="00384EB1"/>
    <w:rsid w:val="00386E2A"/>
    <w:rsid w:val="00387391"/>
    <w:rsid w:val="0039277A"/>
    <w:rsid w:val="003972E0"/>
    <w:rsid w:val="00397A19"/>
    <w:rsid w:val="003A0AB7"/>
    <w:rsid w:val="003A1DBE"/>
    <w:rsid w:val="003A48CE"/>
    <w:rsid w:val="003A6BE3"/>
    <w:rsid w:val="003B0387"/>
    <w:rsid w:val="003B4B4A"/>
    <w:rsid w:val="003B64AB"/>
    <w:rsid w:val="003C25F6"/>
    <w:rsid w:val="003C2675"/>
    <w:rsid w:val="003C2CC4"/>
    <w:rsid w:val="003D0D10"/>
    <w:rsid w:val="003D4B23"/>
    <w:rsid w:val="003D7EF0"/>
    <w:rsid w:val="003E4B06"/>
    <w:rsid w:val="003E5E80"/>
    <w:rsid w:val="003F1EDB"/>
    <w:rsid w:val="00405785"/>
    <w:rsid w:val="0042068F"/>
    <w:rsid w:val="00421257"/>
    <w:rsid w:val="00425157"/>
    <w:rsid w:val="0043014F"/>
    <w:rsid w:val="00430A88"/>
    <w:rsid w:val="0043243F"/>
    <w:rsid w:val="004325CB"/>
    <w:rsid w:val="00437F3F"/>
    <w:rsid w:val="00445784"/>
    <w:rsid w:val="00446DE4"/>
    <w:rsid w:val="00454036"/>
    <w:rsid w:val="004564CE"/>
    <w:rsid w:val="00463344"/>
    <w:rsid w:val="004728A0"/>
    <w:rsid w:val="00473156"/>
    <w:rsid w:val="004832A0"/>
    <w:rsid w:val="004939C8"/>
    <w:rsid w:val="00495374"/>
    <w:rsid w:val="00496AEF"/>
    <w:rsid w:val="004A6148"/>
    <w:rsid w:val="004B2C9D"/>
    <w:rsid w:val="004B4C10"/>
    <w:rsid w:val="004B6366"/>
    <w:rsid w:val="004C3287"/>
    <w:rsid w:val="004C571A"/>
    <w:rsid w:val="004C5B24"/>
    <w:rsid w:val="004D13CB"/>
    <w:rsid w:val="004D1C57"/>
    <w:rsid w:val="004D1C72"/>
    <w:rsid w:val="004E7676"/>
    <w:rsid w:val="004F42F4"/>
    <w:rsid w:val="004F51C8"/>
    <w:rsid w:val="00503B9C"/>
    <w:rsid w:val="00504585"/>
    <w:rsid w:val="00517A3F"/>
    <w:rsid w:val="0052275B"/>
    <w:rsid w:val="00522955"/>
    <w:rsid w:val="00527910"/>
    <w:rsid w:val="00534DA8"/>
    <w:rsid w:val="00535BE9"/>
    <w:rsid w:val="005420F2"/>
    <w:rsid w:val="00542679"/>
    <w:rsid w:val="0054581D"/>
    <w:rsid w:val="0055264D"/>
    <w:rsid w:val="00556634"/>
    <w:rsid w:val="005616F9"/>
    <w:rsid w:val="005634A1"/>
    <w:rsid w:val="005668E9"/>
    <w:rsid w:val="0057677B"/>
    <w:rsid w:val="00590144"/>
    <w:rsid w:val="005909BA"/>
    <w:rsid w:val="005919BB"/>
    <w:rsid w:val="005A4D8F"/>
    <w:rsid w:val="005B3DB3"/>
    <w:rsid w:val="005B4EF3"/>
    <w:rsid w:val="005B5859"/>
    <w:rsid w:val="005B72E0"/>
    <w:rsid w:val="005C6031"/>
    <w:rsid w:val="005D5296"/>
    <w:rsid w:val="005D6A9B"/>
    <w:rsid w:val="005E1129"/>
    <w:rsid w:val="005E7F35"/>
    <w:rsid w:val="00600796"/>
    <w:rsid w:val="006014D2"/>
    <w:rsid w:val="0060312E"/>
    <w:rsid w:val="00605F62"/>
    <w:rsid w:val="00606BD8"/>
    <w:rsid w:val="00611FC4"/>
    <w:rsid w:val="00615E0D"/>
    <w:rsid w:val="006176FB"/>
    <w:rsid w:val="006201D7"/>
    <w:rsid w:val="0062283A"/>
    <w:rsid w:val="00632B18"/>
    <w:rsid w:val="0063419C"/>
    <w:rsid w:val="006357A0"/>
    <w:rsid w:val="00637DDC"/>
    <w:rsid w:val="0064066C"/>
    <w:rsid w:val="00640B26"/>
    <w:rsid w:val="00646800"/>
    <w:rsid w:val="006500BA"/>
    <w:rsid w:val="006504D1"/>
    <w:rsid w:val="00650DBA"/>
    <w:rsid w:val="006624E5"/>
    <w:rsid w:val="00672DB7"/>
    <w:rsid w:val="006804E7"/>
    <w:rsid w:val="00680C8B"/>
    <w:rsid w:val="00681546"/>
    <w:rsid w:val="00684E8C"/>
    <w:rsid w:val="00687F78"/>
    <w:rsid w:val="006913F9"/>
    <w:rsid w:val="00694F8E"/>
    <w:rsid w:val="006A4A68"/>
    <w:rsid w:val="006A7392"/>
    <w:rsid w:val="006B77E8"/>
    <w:rsid w:val="006C0D34"/>
    <w:rsid w:val="006C1CA0"/>
    <w:rsid w:val="006C3B18"/>
    <w:rsid w:val="006C7E11"/>
    <w:rsid w:val="006D247B"/>
    <w:rsid w:val="006D5191"/>
    <w:rsid w:val="006E2579"/>
    <w:rsid w:val="006E2719"/>
    <w:rsid w:val="006E564B"/>
    <w:rsid w:val="006E62F4"/>
    <w:rsid w:val="006E6FBD"/>
    <w:rsid w:val="006F6D61"/>
    <w:rsid w:val="0070344F"/>
    <w:rsid w:val="007062C1"/>
    <w:rsid w:val="00724C6D"/>
    <w:rsid w:val="00725848"/>
    <w:rsid w:val="0072632A"/>
    <w:rsid w:val="00733F63"/>
    <w:rsid w:val="00741915"/>
    <w:rsid w:val="00743FC7"/>
    <w:rsid w:val="00746235"/>
    <w:rsid w:val="00753201"/>
    <w:rsid w:val="007532B1"/>
    <w:rsid w:val="00753D18"/>
    <w:rsid w:val="007612E0"/>
    <w:rsid w:val="007664BA"/>
    <w:rsid w:val="007665DE"/>
    <w:rsid w:val="00777B95"/>
    <w:rsid w:val="007810B9"/>
    <w:rsid w:val="007824AC"/>
    <w:rsid w:val="00790791"/>
    <w:rsid w:val="00792D33"/>
    <w:rsid w:val="007A331B"/>
    <w:rsid w:val="007A4DA4"/>
    <w:rsid w:val="007A5095"/>
    <w:rsid w:val="007B3045"/>
    <w:rsid w:val="007B446D"/>
    <w:rsid w:val="007B6BA5"/>
    <w:rsid w:val="007B6FE6"/>
    <w:rsid w:val="007B7725"/>
    <w:rsid w:val="007C3390"/>
    <w:rsid w:val="007C4F4B"/>
    <w:rsid w:val="007D0BD8"/>
    <w:rsid w:val="007D40A6"/>
    <w:rsid w:val="007D4276"/>
    <w:rsid w:val="007D7BF0"/>
    <w:rsid w:val="007E148D"/>
    <w:rsid w:val="007E21F2"/>
    <w:rsid w:val="007E3A2B"/>
    <w:rsid w:val="007E7112"/>
    <w:rsid w:val="007F6611"/>
    <w:rsid w:val="00803CCB"/>
    <w:rsid w:val="00805EA2"/>
    <w:rsid w:val="008124A5"/>
    <w:rsid w:val="008140B9"/>
    <w:rsid w:val="00815697"/>
    <w:rsid w:val="008174EA"/>
    <w:rsid w:val="008175E9"/>
    <w:rsid w:val="00823C77"/>
    <w:rsid w:val="008242D7"/>
    <w:rsid w:val="00824BC6"/>
    <w:rsid w:val="00834556"/>
    <w:rsid w:val="00844A7A"/>
    <w:rsid w:val="00846632"/>
    <w:rsid w:val="00846FA4"/>
    <w:rsid w:val="00853C3D"/>
    <w:rsid w:val="00861958"/>
    <w:rsid w:val="00861ACC"/>
    <w:rsid w:val="00871FD5"/>
    <w:rsid w:val="00874909"/>
    <w:rsid w:val="00874B2D"/>
    <w:rsid w:val="00874C3C"/>
    <w:rsid w:val="00881256"/>
    <w:rsid w:val="00885E87"/>
    <w:rsid w:val="00887B65"/>
    <w:rsid w:val="00894D34"/>
    <w:rsid w:val="008979B1"/>
    <w:rsid w:val="008A04B9"/>
    <w:rsid w:val="008A1350"/>
    <w:rsid w:val="008A29F7"/>
    <w:rsid w:val="008A2F46"/>
    <w:rsid w:val="008A6B25"/>
    <w:rsid w:val="008A6C4F"/>
    <w:rsid w:val="008C126B"/>
    <w:rsid w:val="008C3E44"/>
    <w:rsid w:val="008C4A16"/>
    <w:rsid w:val="008C7850"/>
    <w:rsid w:val="008D16EF"/>
    <w:rsid w:val="008D5C92"/>
    <w:rsid w:val="008E0E46"/>
    <w:rsid w:val="008E436D"/>
    <w:rsid w:val="008F0FD7"/>
    <w:rsid w:val="008F473E"/>
    <w:rsid w:val="008F795E"/>
    <w:rsid w:val="008F7AC8"/>
    <w:rsid w:val="009019F7"/>
    <w:rsid w:val="00910C89"/>
    <w:rsid w:val="00911B89"/>
    <w:rsid w:val="0091248E"/>
    <w:rsid w:val="009142A0"/>
    <w:rsid w:val="00916F49"/>
    <w:rsid w:val="00921A36"/>
    <w:rsid w:val="00924C29"/>
    <w:rsid w:val="009311A9"/>
    <w:rsid w:val="00931677"/>
    <w:rsid w:val="009338EE"/>
    <w:rsid w:val="00936B1A"/>
    <w:rsid w:val="00940479"/>
    <w:rsid w:val="00945A5D"/>
    <w:rsid w:val="00954D29"/>
    <w:rsid w:val="0095794D"/>
    <w:rsid w:val="009630C2"/>
    <w:rsid w:val="00963CBA"/>
    <w:rsid w:val="009641B6"/>
    <w:rsid w:val="00967848"/>
    <w:rsid w:val="00971136"/>
    <w:rsid w:val="00987EBF"/>
    <w:rsid w:val="0099124E"/>
    <w:rsid w:val="00991261"/>
    <w:rsid w:val="009967A1"/>
    <w:rsid w:val="00996DEB"/>
    <w:rsid w:val="009A0B38"/>
    <w:rsid w:val="009A2467"/>
    <w:rsid w:val="009A520F"/>
    <w:rsid w:val="009A5F28"/>
    <w:rsid w:val="009A6D43"/>
    <w:rsid w:val="009B0652"/>
    <w:rsid w:val="009B0E6D"/>
    <w:rsid w:val="009B7D27"/>
    <w:rsid w:val="009B7DF8"/>
    <w:rsid w:val="009C3671"/>
    <w:rsid w:val="009C36EB"/>
    <w:rsid w:val="009C57DA"/>
    <w:rsid w:val="009D0389"/>
    <w:rsid w:val="009D688C"/>
    <w:rsid w:val="009E2BD1"/>
    <w:rsid w:val="009E60A0"/>
    <w:rsid w:val="009F0F06"/>
    <w:rsid w:val="009F19A8"/>
    <w:rsid w:val="009F7F2C"/>
    <w:rsid w:val="00A03EB1"/>
    <w:rsid w:val="00A04323"/>
    <w:rsid w:val="00A07128"/>
    <w:rsid w:val="00A07269"/>
    <w:rsid w:val="00A1427D"/>
    <w:rsid w:val="00A14F60"/>
    <w:rsid w:val="00A16A89"/>
    <w:rsid w:val="00A16D82"/>
    <w:rsid w:val="00A17144"/>
    <w:rsid w:val="00A239AB"/>
    <w:rsid w:val="00A37D91"/>
    <w:rsid w:val="00A43707"/>
    <w:rsid w:val="00A57926"/>
    <w:rsid w:val="00A6285D"/>
    <w:rsid w:val="00A63075"/>
    <w:rsid w:val="00A67565"/>
    <w:rsid w:val="00A72F22"/>
    <w:rsid w:val="00A748A6"/>
    <w:rsid w:val="00A7547B"/>
    <w:rsid w:val="00A75EC9"/>
    <w:rsid w:val="00A80B7C"/>
    <w:rsid w:val="00A849B1"/>
    <w:rsid w:val="00A86FB7"/>
    <w:rsid w:val="00A879A4"/>
    <w:rsid w:val="00A904E6"/>
    <w:rsid w:val="00A90BFE"/>
    <w:rsid w:val="00AA090A"/>
    <w:rsid w:val="00AA163A"/>
    <w:rsid w:val="00AA6752"/>
    <w:rsid w:val="00AB103E"/>
    <w:rsid w:val="00AB1094"/>
    <w:rsid w:val="00AB681C"/>
    <w:rsid w:val="00AB6E64"/>
    <w:rsid w:val="00AC518F"/>
    <w:rsid w:val="00AD1E7B"/>
    <w:rsid w:val="00AD2541"/>
    <w:rsid w:val="00AD3F0D"/>
    <w:rsid w:val="00AE0568"/>
    <w:rsid w:val="00AE54F4"/>
    <w:rsid w:val="00AF63B1"/>
    <w:rsid w:val="00B062A6"/>
    <w:rsid w:val="00B153B2"/>
    <w:rsid w:val="00B30179"/>
    <w:rsid w:val="00B31ADE"/>
    <w:rsid w:val="00B3317B"/>
    <w:rsid w:val="00B37B2B"/>
    <w:rsid w:val="00B44382"/>
    <w:rsid w:val="00B446CD"/>
    <w:rsid w:val="00B45F43"/>
    <w:rsid w:val="00B5229B"/>
    <w:rsid w:val="00B6429F"/>
    <w:rsid w:val="00B710FA"/>
    <w:rsid w:val="00B73FEA"/>
    <w:rsid w:val="00B75701"/>
    <w:rsid w:val="00B81E12"/>
    <w:rsid w:val="00B93068"/>
    <w:rsid w:val="00B93C47"/>
    <w:rsid w:val="00B965F2"/>
    <w:rsid w:val="00B9672F"/>
    <w:rsid w:val="00B96C70"/>
    <w:rsid w:val="00BA1D7B"/>
    <w:rsid w:val="00BA2FED"/>
    <w:rsid w:val="00BA5A48"/>
    <w:rsid w:val="00BB2B9D"/>
    <w:rsid w:val="00BC311A"/>
    <w:rsid w:val="00BC46ED"/>
    <w:rsid w:val="00BC498D"/>
    <w:rsid w:val="00BC5429"/>
    <w:rsid w:val="00BC74E9"/>
    <w:rsid w:val="00BD4AEC"/>
    <w:rsid w:val="00BD7462"/>
    <w:rsid w:val="00BE0A65"/>
    <w:rsid w:val="00BE3C13"/>
    <w:rsid w:val="00BE618E"/>
    <w:rsid w:val="00BF7A1A"/>
    <w:rsid w:val="00C02B2A"/>
    <w:rsid w:val="00C03AAF"/>
    <w:rsid w:val="00C05117"/>
    <w:rsid w:val="00C0646D"/>
    <w:rsid w:val="00C16149"/>
    <w:rsid w:val="00C17DB1"/>
    <w:rsid w:val="00C279E5"/>
    <w:rsid w:val="00C302B4"/>
    <w:rsid w:val="00C3224A"/>
    <w:rsid w:val="00C33088"/>
    <w:rsid w:val="00C36BD9"/>
    <w:rsid w:val="00C41106"/>
    <w:rsid w:val="00C4315F"/>
    <w:rsid w:val="00C463DD"/>
    <w:rsid w:val="00C51B63"/>
    <w:rsid w:val="00C55E68"/>
    <w:rsid w:val="00C56BF7"/>
    <w:rsid w:val="00C62213"/>
    <w:rsid w:val="00C622ED"/>
    <w:rsid w:val="00C62F76"/>
    <w:rsid w:val="00C6321A"/>
    <w:rsid w:val="00C71249"/>
    <w:rsid w:val="00C745C3"/>
    <w:rsid w:val="00C75DEB"/>
    <w:rsid w:val="00C75FFB"/>
    <w:rsid w:val="00C833AA"/>
    <w:rsid w:val="00C8384C"/>
    <w:rsid w:val="00C918F4"/>
    <w:rsid w:val="00CB4BB2"/>
    <w:rsid w:val="00CB54F7"/>
    <w:rsid w:val="00CC04D5"/>
    <w:rsid w:val="00CC12CC"/>
    <w:rsid w:val="00CC2702"/>
    <w:rsid w:val="00CC78A6"/>
    <w:rsid w:val="00CD3225"/>
    <w:rsid w:val="00CD64B5"/>
    <w:rsid w:val="00CD7976"/>
    <w:rsid w:val="00CD7A0A"/>
    <w:rsid w:val="00CE12A9"/>
    <w:rsid w:val="00CE4A8F"/>
    <w:rsid w:val="00CE6425"/>
    <w:rsid w:val="00CE729A"/>
    <w:rsid w:val="00CF3CBA"/>
    <w:rsid w:val="00CF714F"/>
    <w:rsid w:val="00D019C1"/>
    <w:rsid w:val="00D1076A"/>
    <w:rsid w:val="00D11267"/>
    <w:rsid w:val="00D13EA7"/>
    <w:rsid w:val="00D2031B"/>
    <w:rsid w:val="00D20EF4"/>
    <w:rsid w:val="00D25FE2"/>
    <w:rsid w:val="00D30E58"/>
    <w:rsid w:val="00D31317"/>
    <w:rsid w:val="00D34C69"/>
    <w:rsid w:val="00D43252"/>
    <w:rsid w:val="00D44D4B"/>
    <w:rsid w:val="00D44DDA"/>
    <w:rsid w:val="00D52364"/>
    <w:rsid w:val="00D65404"/>
    <w:rsid w:val="00D70410"/>
    <w:rsid w:val="00D70BC8"/>
    <w:rsid w:val="00D753D8"/>
    <w:rsid w:val="00D75DBB"/>
    <w:rsid w:val="00D80A99"/>
    <w:rsid w:val="00D96CC5"/>
    <w:rsid w:val="00D978C6"/>
    <w:rsid w:val="00DA17EA"/>
    <w:rsid w:val="00DA5F0B"/>
    <w:rsid w:val="00DA67AD"/>
    <w:rsid w:val="00DB0CF8"/>
    <w:rsid w:val="00DB3885"/>
    <w:rsid w:val="00DC5FBA"/>
    <w:rsid w:val="00DD37E0"/>
    <w:rsid w:val="00DE6BC8"/>
    <w:rsid w:val="00DF2772"/>
    <w:rsid w:val="00E02013"/>
    <w:rsid w:val="00E114F7"/>
    <w:rsid w:val="00E130AB"/>
    <w:rsid w:val="00E14834"/>
    <w:rsid w:val="00E14DB4"/>
    <w:rsid w:val="00E17A8C"/>
    <w:rsid w:val="00E241E1"/>
    <w:rsid w:val="00E2585F"/>
    <w:rsid w:val="00E31D55"/>
    <w:rsid w:val="00E34130"/>
    <w:rsid w:val="00E45799"/>
    <w:rsid w:val="00E45EA8"/>
    <w:rsid w:val="00E47423"/>
    <w:rsid w:val="00E5268C"/>
    <w:rsid w:val="00E549B7"/>
    <w:rsid w:val="00E5644E"/>
    <w:rsid w:val="00E631DD"/>
    <w:rsid w:val="00E6387D"/>
    <w:rsid w:val="00E653B2"/>
    <w:rsid w:val="00E7260F"/>
    <w:rsid w:val="00E77EB3"/>
    <w:rsid w:val="00E84943"/>
    <w:rsid w:val="00E8535A"/>
    <w:rsid w:val="00E858B7"/>
    <w:rsid w:val="00E95503"/>
    <w:rsid w:val="00E96630"/>
    <w:rsid w:val="00EA2E89"/>
    <w:rsid w:val="00EA30DA"/>
    <w:rsid w:val="00EA772F"/>
    <w:rsid w:val="00EB0465"/>
    <w:rsid w:val="00EB1EC4"/>
    <w:rsid w:val="00EB6832"/>
    <w:rsid w:val="00EC702A"/>
    <w:rsid w:val="00ED3645"/>
    <w:rsid w:val="00ED49D3"/>
    <w:rsid w:val="00ED7A2A"/>
    <w:rsid w:val="00EE5771"/>
    <w:rsid w:val="00EF1D7F"/>
    <w:rsid w:val="00EF44A7"/>
    <w:rsid w:val="00F02DB8"/>
    <w:rsid w:val="00F14A47"/>
    <w:rsid w:val="00F14AAA"/>
    <w:rsid w:val="00F14D34"/>
    <w:rsid w:val="00F16818"/>
    <w:rsid w:val="00F1720B"/>
    <w:rsid w:val="00F2107F"/>
    <w:rsid w:val="00F23A8E"/>
    <w:rsid w:val="00F260D8"/>
    <w:rsid w:val="00F274E2"/>
    <w:rsid w:val="00F30DC6"/>
    <w:rsid w:val="00F31984"/>
    <w:rsid w:val="00F332AD"/>
    <w:rsid w:val="00F366EF"/>
    <w:rsid w:val="00F40E75"/>
    <w:rsid w:val="00F45BD8"/>
    <w:rsid w:val="00F518F7"/>
    <w:rsid w:val="00F532F9"/>
    <w:rsid w:val="00F54674"/>
    <w:rsid w:val="00F645B4"/>
    <w:rsid w:val="00F7172C"/>
    <w:rsid w:val="00F729F2"/>
    <w:rsid w:val="00F778FA"/>
    <w:rsid w:val="00F82DD7"/>
    <w:rsid w:val="00F8442F"/>
    <w:rsid w:val="00F85DBE"/>
    <w:rsid w:val="00F85FA3"/>
    <w:rsid w:val="00F94A28"/>
    <w:rsid w:val="00F94A93"/>
    <w:rsid w:val="00FB06BF"/>
    <w:rsid w:val="00FC495C"/>
    <w:rsid w:val="00FC5F7F"/>
    <w:rsid w:val="00FC653E"/>
    <w:rsid w:val="00FC68B7"/>
    <w:rsid w:val="00FD047F"/>
    <w:rsid w:val="00FD1BD9"/>
    <w:rsid w:val="00FD3622"/>
    <w:rsid w:val="00FD3CF2"/>
    <w:rsid w:val="00FD6B2B"/>
    <w:rsid w:val="00FF03BB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DC5FBA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  <w:rPr>
      <w:lang w:val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Nummerierung1">
    <w:name w:val="Nummerierung 1"/>
    <w:basedOn w:val="Normal"/>
    <w:rsid w:val="0022446F"/>
    <w:pPr>
      <w:numPr>
        <w:numId w:val="16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22446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A0D51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locked/>
    <w:rsid w:val="001A0D51"/>
    <w:rPr>
      <w:lang w:val="en-GB" w:eastAsia="en-US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1A0D51"/>
    <w:rPr>
      <w:b/>
      <w:sz w:val="18"/>
      <w:lang w:val="en-GB" w:eastAsia="en-US" w:bidi="ar-SA"/>
    </w:rPr>
  </w:style>
  <w:style w:type="paragraph" w:customStyle="1" w:styleId="Normalcentr">
    <w:name w:val="Normal centré"/>
    <w:basedOn w:val="Normal"/>
    <w:rsid w:val="0000447A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H1GChar">
    <w:name w:val="_ H_1_G Char"/>
    <w:link w:val="H1G"/>
    <w:rsid w:val="003F1EDB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7A509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A5095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D75DB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11A9"/>
    <w:rPr>
      <w:b/>
      <w:bCs/>
    </w:rPr>
  </w:style>
  <w:style w:type="character" w:customStyle="1" w:styleId="CommentTextChar">
    <w:name w:val="Comment Text Char"/>
    <w:link w:val="CommentText"/>
    <w:semiHidden/>
    <w:rsid w:val="009311A9"/>
    <w:rPr>
      <w:lang w:eastAsia="en-US"/>
    </w:rPr>
  </w:style>
  <w:style w:type="character" w:customStyle="1" w:styleId="CommentSubjectChar">
    <w:name w:val="Comment Subject Char"/>
    <w:link w:val="CommentSubject"/>
    <w:rsid w:val="009311A9"/>
    <w:rPr>
      <w:b/>
      <w:bCs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AB103E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E21F2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DC5FBA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  <w:rPr>
      <w:lang w:val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Nummerierung1">
    <w:name w:val="Nummerierung 1"/>
    <w:basedOn w:val="Normal"/>
    <w:rsid w:val="0022446F"/>
    <w:pPr>
      <w:numPr>
        <w:numId w:val="16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22446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A0D51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locked/>
    <w:rsid w:val="001A0D51"/>
    <w:rPr>
      <w:lang w:val="en-GB" w:eastAsia="en-US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1A0D51"/>
    <w:rPr>
      <w:b/>
      <w:sz w:val="18"/>
      <w:lang w:val="en-GB" w:eastAsia="en-US" w:bidi="ar-SA"/>
    </w:rPr>
  </w:style>
  <w:style w:type="paragraph" w:customStyle="1" w:styleId="Normalcentr">
    <w:name w:val="Normal centré"/>
    <w:basedOn w:val="Normal"/>
    <w:rsid w:val="0000447A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H1GChar">
    <w:name w:val="_ H_1_G Char"/>
    <w:link w:val="H1G"/>
    <w:rsid w:val="003F1EDB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7A509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A5095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D75DB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11A9"/>
    <w:rPr>
      <w:b/>
      <w:bCs/>
    </w:rPr>
  </w:style>
  <w:style w:type="character" w:customStyle="1" w:styleId="CommentTextChar">
    <w:name w:val="Comment Text Char"/>
    <w:link w:val="CommentText"/>
    <w:semiHidden/>
    <w:rsid w:val="009311A9"/>
    <w:rPr>
      <w:lang w:eastAsia="en-US"/>
    </w:rPr>
  </w:style>
  <w:style w:type="character" w:customStyle="1" w:styleId="CommentSubjectChar">
    <w:name w:val="Comment Subject Char"/>
    <w:link w:val="CommentSubject"/>
    <w:rsid w:val="009311A9"/>
    <w:rPr>
      <w:b/>
      <w:bCs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AB103E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E21F2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unece.org/trans/danger/publi/adr/country-info_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06AF-3503-4EEF-AC19-16ECD42B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1678</Words>
  <Characters>9566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Laurence Berthet</cp:lastModifiedBy>
  <cp:revision>6</cp:revision>
  <cp:lastPrinted>2015-11-18T13:12:00Z</cp:lastPrinted>
  <dcterms:created xsi:type="dcterms:W3CDTF">2015-11-18T13:01:00Z</dcterms:created>
  <dcterms:modified xsi:type="dcterms:W3CDTF">2015-11-18T15:34:00Z</dcterms:modified>
</cp:coreProperties>
</file>