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7848" w:rsidRPr="00405521" w:rsidTr="00DD37E0">
        <w:trPr>
          <w:trHeight w:val="851"/>
        </w:trPr>
        <w:tc>
          <w:tcPr>
            <w:tcW w:w="1259" w:type="dxa"/>
            <w:tcBorders>
              <w:top w:val="nil"/>
              <w:left w:val="nil"/>
              <w:bottom w:val="single" w:sz="4" w:space="0" w:color="auto"/>
              <w:right w:val="nil"/>
            </w:tcBorders>
            <w:shd w:val="clear" w:color="auto" w:fill="auto"/>
          </w:tcPr>
          <w:p w:rsidR="00967848" w:rsidRPr="005C54F5" w:rsidRDefault="00967848" w:rsidP="00967848">
            <w:pPr>
              <w:spacing w:after="80" w:line="340" w:lineRule="exact"/>
              <w:rPr>
                <w:lang w:val="en-US"/>
              </w:rPr>
            </w:pPr>
            <w:bookmarkStart w:id="0" w:name="_GoBack"/>
            <w:bookmarkEnd w:id="0"/>
          </w:p>
        </w:tc>
        <w:tc>
          <w:tcPr>
            <w:tcW w:w="2236" w:type="dxa"/>
            <w:tcBorders>
              <w:top w:val="nil"/>
              <w:left w:val="nil"/>
              <w:bottom w:val="single" w:sz="4" w:space="0" w:color="auto"/>
              <w:right w:val="nil"/>
            </w:tcBorders>
            <w:shd w:val="clear" w:color="auto" w:fill="auto"/>
            <w:vAlign w:val="bottom"/>
          </w:tcPr>
          <w:p w:rsidR="00967848" w:rsidRPr="005C54F5" w:rsidRDefault="00967848" w:rsidP="00967848">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rsidR="00AB103E" w:rsidRPr="00405521" w:rsidRDefault="00AB103E" w:rsidP="00AB103E">
            <w:pPr>
              <w:jc w:val="right"/>
              <w:rPr>
                <w:b/>
                <w:sz w:val="40"/>
                <w:szCs w:val="40"/>
                <w:lang w:val="en-US"/>
              </w:rPr>
            </w:pPr>
            <w:r w:rsidRPr="00405521">
              <w:rPr>
                <w:b/>
                <w:sz w:val="40"/>
                <w:szCs w:val="40"/>
                <w:lang w:val="en-US"/>
              </w:rPr>
              <w:t>UN/SCETDG/4</w:t>
            </w:r>
            <w:r w:rsidR="001E3573">
              <w:rPr>
                <w:b/>
                <w:sz w:val="40"/>
                <w:szCs w:val="40"/>
                <w:lang w:val="en-US"/>
              </w:rPr>
              <w:t>8</w:t>
            </w:r>
            <w:r w:rsidRPr="00405521">
              <w:rPr>
                <w:b/>
                <w:sz w:val="40"/>
                <w:szCs w:val="40"/>
                <w:lang w:val="en-US"/>
              </w:rPr>
              <w:t>/INF.</w:t>
            </w:r>
            <w:r w:rsidR="00DB3885">
              <w:rPr>
                <w:b/>
                <w:sz w:val="40"/>
                <w:szCs w:val="40"/>
                <w:lang w:val="en-US"/>
              </w:rPr>
              <w:t>2</w:t>
            </w:r>
            <w:r w:rsidR="007E21F2">
              <w:rPr>
                <w:b/>
                <w:sz w:val="40"/>
                <w:szCs w:val="40"/>
                <w:lang w:val="en-US"/>
              </w:rPr>
              <w:t>2</w:t>
            </w:r>
          </w:p>
          <w:p w:rsidR="00967848" w:rsidRPr="00405521" w:rsidRDefault="00967848" w:rsidP="00967848">
            <w:pPr>
              <w:jc w:val="right"/>
              <w:rPr>
                <w:highlight w:val="yellow"/>
                <w:lang w:val="en-US"/>
              </w:rPr>
            </w:pPr>
          </w:p>
        </w:tc>
      </w:tr>
    </w:tbl>
    <w:p w:rsidR="00AB103E" w:rsidRPr="006500BA" w:rsidRDefault="00AB103E" w:rsidP="00AB103E">
      <w:pPr>
        <w:spacing w:before="120" w:after="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A90BFE">
        <w:rPr>
          <w:b/>
          <w:sz w:val="24"/>
          <w:szCs w:val="24"/>
        </w:rPr>
        <w:tab/>
      </w:r>
      <w:r w:rsidR="001E3573" w:rsidRPr="00DB3885">
        <w:rPr>
          <w:b/>
        </w:rPr>
        <w:t>1</w:t>
      </w:r>
      <w:r w:rsidR="007E21F2">
        <w:rPr>
          <w:b/>
        </w:rPr>
        <w:t>8</w:t>
      </w:r>
      <w:r w:rsidR="00844A7A" w:rsidRPr="00DB3885">
        <w:rPr>
          <w:b/>
        </w:rPr>
        <w:t xml:space="preserve"> </w:t>
      </w:r>
      <w:r w:rsidR="001E3573" w:rsidRPr="00DB3885">
        <w:rPr>
          <w:b/>
        </w:rPr>
        <w:t>November</w:t>
      </w:r>
      <w:r w:rsidR="00844A7A" w:rsidRPr="00DB3885">
        <w:rPr>
          <w:b/>
        </w:rPr>
        <w:t xml:space="preserve"> 2015</w:t>
      </w:r>
    </w:p>
    <w:tbl>
      <w:tblPr>
        <w:tblW w:w="9639" w:type="dxa"/>
        <w:tblLayout w:type="fixed"/>
        <w:tblCellMar>
          <w:left w:w="0" w:type="dxa"/>
          <w:right w:w="0" w:type="dxa"/>
        </w:tblCellMar>
        <w:tblLook w:val="01E0" w:firstRow="1" w:lastRow="1" w:firstColumn="1" w:lastColumn="1" w:noHBand="0" w:noVBand="0"/>
      </w:tblPr>
      <w:tblGrid>
        <w:gridCol w:w="4593"/>
        <w:gridCol w:w="2353"/>
        <w:gridCol w:w="2693"/>
      </w:tblGrid>
      <w:tr w:rsidR="00AB103E" w:rsidTr="003D0D10">
        <w:tc>
          <w:tcPr>
            <w:tcW w:w="6946" w:type="dxa"/>
            <w:gridSpan w:val="2"/>
            <w:shd w:val="clear" w:color="auto" w:fill="auto"/>
          </w:tcPr>
          <w:p w:rsidR="00AB103E" w:rsidRPr="006D12B1" w:rsidRDefault="00AB103E" w:rsidP="003D0D10">
            <w:pPr>
              <w:spacing w:before="120" w:after="120"/>
              <w:ind w:right="57"/>
              <w:rPr>
                <w:b/>
              </w:rPr>
            </w:pPr>
            <w:r w:rsidRPr="006D12B1">
              <w:rPr>
                <w:b/>
              </w:rPr>
              <w:t xml:space="preserve">Sub-Committee of Experts on the Transport of Dangerous Goods </w:t>
            </w:r>
          </w:p>
        </w:tc>
        <w:tc>
          <w:tcPr>
            <w:tcW w:w="2693" w:type="dxa"/>
            <w:shd w:val="clear" w:color="auto" w:fill="auto"/>
          </w:tcPr>
          <w:p w:rsidR="00AB103E" w:rsidRPr="006D12B1" w:rsidRDefault="00AB103E" w:rsidP="0043243F">
            <w:pPr>
              <w:spacing w:before="120" w:after="120"/>
              <w:rPr>
                <w:b/>
              </w:rPr>
            </w:pPr>
          </w:p>
        </w:tc>
      </w:tr>
      <w:tr w:rsidR="003D0D10" w:rsidTr="003D0D10">
        <w:tc>
          <w:tcPr>
            <w:tcW w:w="6946" w:type="dxa"/>
            <w:gridSpan w:val="2"/>
            <w:shd w:val="clear" w:color="auto" w:fill="auto"/>
          </w:tcPr>
          <w:p w:rsidR="003D0D10" w:rsidRPr="006D12B1" w:rsidRDefault="003D0D10" w:rsidP="00894D34">
            <w:pPr>
              <w:spacing w:after="120"/>
              <w:ind w:right="57"/>
              <w:rPr>
                <w:b/>
              </w:rPr>
            </w:pPr>
            <w:r>
              <w:rPr>
                <w:b/>
              </w:rPr>
              <w:t>Forty-eight</w:t>
            </w:r>
            <w:r w:rsidR="00DB3885">
              <w:rPr>
                <w:b/>
              </w:rPr>
              <w:t>h</w:t>
            </w:r>
            <w:r w:rsidRPr="006D12B1">
              <w:rPr>
                <w:b/>
              </w:rPr>
              <w:t xml:space="preserve"> session</w:t>
            </w:r>
          </w:p>
        </w:tc>
        <w:tc>
          <w:tcPr>
            <w:tcW w:w="2693" w:type="dxa"/>
            <w:shd w:val="clear" w:color="auto" w:fill="auto"/>
          </w:tcPr>
          <w:p w:rsidR="003D0D10" w:rsidRPr="006D12B1" w:rsidRDefault="003D0D10" w:rsidP="0043243F">
            <w:pPr>
              <w:rPr>
                <w:b/>
              </w:rPr>
            </w:pPr>
          </w:p>
        </w:tc>
      </w:tr>
      <w:tr w:rsidR="003D0D10" w:rsidTr="0043243F">
        <w:tc>
          <w:tcPr>
            <w:tcW w:w="4593" w:type="dxa"/>
            <w:shd w:val="clear" w:color="auto" w:fill="auto"/>
          </w:tcPr>
          <w:p w:rsidR="003D0D10" w:rsidRPr="00976143" w:rsidRDefault="003D0D10" w:rsidP="00894D34">
            <w:pPr>
              <w:ind w:right="57"/>
            </w:pPr>
            <w:r w:rsidRPr="00976143">
              <w:t xml:space="preserve">Geneva, </w:t>
            </w:r>
            <w:r>
              <w:t xml:space="preserve">30 November </w:t>
            </w:r>
            <w:r>
              <w:rPr>
                <w:rFonts w:ascii="Courier New" w:hAnsi="Courier New" w:cs="Courier New"/>
              </w:rPr>
              <w:t>–</w:t>
            </w:r>
            <w:r>
              <w:t xml:space="preserve"> 9 December 2015</w:t>
            </w:r>
          </w:p>
          <w:p w:rsidR="003D0D10" w:rsidRPr="00BB027F" w:rsidRDefault="003D0D10" w:rsidP="00894D34">
            <w:pPr>
              <w:ind w:right="57"/>
            </w:pPr>
            <w:r w:rsidRPr="00BB027F">
              <w:t>Item</w:t>
            </w:r>
            <w:r>
              <w:t xml:space="preserve"> </w:t>
            </w:r>
            <w:r w:rsidR="007E21F2">
              <w:t>2 (c</w:t>
            </w:r>
            <w:r>
              <w:t>)</w:t>
            </w:r>
            <w:r w:rsidRPr="00BB027F">
              <w:t xml:space="preserve"> of the provisional agenda</w:t>
            </w:r>
          </w:p>
          <w:p w:rsidR="003D0D10" w:rsidRPr="007E21F2" w:rsidRDefault="007E21F2" w:rsidP="00894D34">
            <w:pPr>
              <w:spacing w:after="120"/>
              <w:ind w:right="57"/>
              <w:rPr>
                <w:b/>
              </w:rPr>
            </w:pPr>
            <w:r w:rsidRPr="007E21F2">
              <w:rPr>
                <w:b/>
              </w:rPr>
              <w:t>Explosives and related matters</w:t>
            </w:r>
            <w:r w:rsidRPr="007E21F2">
              <w:rPr>
                <w:b/>
              </w:rPr>
              <w:t>: r</w:t>
            </w:r>
            <w:r w:rsidRPr="007E21F2">
              <w:rPr>
                <w:b/>
              </w:rPr>
              <w:t>eview of tests in parts I and II of the Manual of Tests and Criteria</w:t>
            </w:r>
          </w:p>
        </w:tc>
        <w:tc>
          <w:tcPr>
            <w:tcW w:w="5046" w:type="dxa"/>
            <w:gridSpan w:val="2"/>
            <w:shd w:val="clear" w:color="auto" w:fill="auto"/>
          </w:tcPr>
          <w:p w:rsidR="003D0D10" w:rsidRPr="006B20F6" w:rsidRDefault="003D0D10" w:rsidP="0043243F">
            <w:pPr>
              <w:spacing w:after="120"/>
              <w:rPr>
                <w:b/>
                <w:strike/>
              </w:rPr>
            </w:pPr>
          </w:p>
        </w:tc>
      </w:tr>
    </w:tbl>
    <w:p w:rsidR="007E21F2" w:rsidRPr="009F5FAB" w:rsidRDefault="007E21F2" w:rsidP="007E21F2">
      <w:pPr>
        <w:pStyle w:val="HChG"/>
        <w:ind w:right="566" w:firstLine="0"/>
      </w:pPr>
      <w:r w:rsidRPr="009F5FAB">
        <w:t>On the use of the minimum burning pressure test as a replacement for Tests 8 (c) and 8 (d)</w:t>
      </w:r>
    </w:p>
    <w:p w:rsidR="007E21F2" w:rsidRPr="009F5FAB" w:rsidRDefault="007E21F2" w:rsidP="007E21F2">
      <w:pPr>
        <w:pStyle w:val="H1G"/>
        <w:ind w:right="566" w:firstLine="0"/>
      </w:pPr>
      <w:r w:rsidRPr="009F5FAB">
        <w:t xml:space="preserve">Transmitted by the expert from Spain </w:t>
      </w:r>
    </w:p>
    <w:p w:rsidR="007E21F2" w:rsidRPr="009F5FAB" w:rsidRDefault="007E21F2" w:rsidP="007E21F2">
      <w:pPr>
        <w:pStyle w:val="HChG"/>
        <w:ind w:right="566" w:firstLine="0"/>
      </w:pPr>
      <w:r w:rsidRPr="009F5FAB">
        <w:t>Introduction</w:t>
      </w:r>
    </w:p>
    <w:p w:rsidR="007E21F2" w:rsidRPr="009F5FAB" w:rsidRDefault="007E21F2" w:rsidP="007E21F2">
      <w:pPr>
        <w:pStyle w:val="SingleTxtG"/>
        <w:tabs>
          <w:tab w:val="left" w:pos="1701"/>
        </w:tabs>
        <w:ind w:right="566"/>
      </w:pPr>
      <w:r w:rsidRPr="009F5FAB">
        <w:t>1.</w:t>
      </w:r>
      <w:r w:rsidRPr="009F5FAB">
        <w:tab/>
        <w:t>The expert from Canada has presented the document ST/SG/AC.10/C.3/2015/41, proposing:</w:t>
      </w:r>
    </w:p>
    <w:p w:rsidR="007E21F2" w:rsidRPr="009F5FAB" w:rsidRDefault="007E21F2" w:rsidP="007E21F2">
      <w:pPr>
        <w:pStyle w:val="SingleTxtG"/>
        <w:tabs>
          <w:tab w:val="left" w:pos="1701"/>
        </w:tabs>
        <w:ind w:left="1701" w:right="566"/>
      </w:pPr>
      <w:proofErr w:type="gramStart"/>
      <w:r>
        <w:t>“T</w:t>
      </w:r>
      <w:r w:rsidRPr="009F5FAB">
        <w:t xml:space="preserve">o amend Test Series 8 in order to replace the current Tests 8 (c) (Section 18.6.1 </w:t>
      </w:r>
      <w:proofErr w:type="spellStart"/>
      <w:r w:rsidRPr="009F5FAB">
        <w:t>Koenen</w:t>
      </w:r>
      <w:proofErr w:type="spellEnd"/>
      <w:r w:rsidRPr="009F5FAB">
        <w:t xml:space="preserve"> Test) and 8 (d) (Section 18.7.1 Vented Pipe Test and Section 18.7.2 Modified Vented Pipe Test) with the CERL MBP Test described below in the annex.</w:t>
      </w:r>
      <w:proofErr w:type="gramEnd"/>
      <w:r w:rsidRPr="009F5FAB">
        <w:t xml:space="preserve"> It is further proposed that inclusion in the UN 3375 and Division 5.1 be restricted to those products having a MBP above 5.6 </w:t>
      </w:r>
      <w:proofErr w:type="spellStart"/>
      <w:r w:rsidRPr="009F5FAB">
        <w:t>MPa</w:t>
      </w:r>
      <w:proofErr w:type="spellEnd"/>
      <w:r w:rsidRPr="009F5FAB">
        <w:t xml:space="preserve"> (800 psig).”</w:t>
      </w:r>
    </w:p>
    <w:p w:rsidR="007E21F2" w:rsidRPr="009F5FAB" w:rsidRDefault="007E21F2" w:rsidP="007E21F2">
      <w:pPr>
        <w:pStyle w:val="SingleTxtG"/>
        <w:tabs>
          <w:tab w:val="left" w:pos="1701"/>
        </w:tabs>
        <w:ind w:right="566"/>
      </w:pPr>
      <w:r w:rsidRPr="009F5FAB">
        <w:t>2.</w:t>
      </w:r>
      <w:r w:rsidRPr="009F5FAB">
        <w:tab/>
        <w:t>The expert from Spain does not consider this proposal appropriate.</w:t>
      </w:r>
    </w:p>
    <w:p w:rsidR="007E21F2" w:rsidRPr="009F5FAB" w:rsidRDefault="007E21F2" w:rsidP="007E21F2">
      <w:pPr>
        <w:pStyle w:val="HChG"/>
        <w:tabs>
          <w:tab w:val="left" w:pos="1701"/>
        </w:tabs>
        <w:ind w:right="566" w:firstLine="0"/>
      </w:pPr>
      <w:r w:rsidRPr="009F5FAB">
        <w:t>Background</w:t>
      </w:r>
    </w:p>
    <w:p w:rsidR="007E21F2" w:rsidRPr="009F5FAB" w:rsidRDefault="007E21F2" w:rsidP="007E21F2">
      <w:pPr>
        <w:pStyle w:val="SingleTxtG"/>
        <w:tabs>
          <w:tab w:val="left" w:pos="1701"/>
        </w:tabs>
        <w:ind w:right="566"/>
      </w:pPr>
      <w:r w:rsidRPr="009F5FAB">
        <w:t>3.</w:t>
      </w:r>
      <w:r w:rsidRPr="009F5FAB">
        <w:tab/>
        <w:t xml:space="preserve">For many years, the experts of the Sub-Committee of Transport of Dangerous Goods have submitted and have worked </w:t>
      </w:r>
      <w:r>
        <w:t>o</w:t>
      </w:r>
      <w:r w:rsidRPr="009F5FAB">
        <w:t>n a huge number of INF’s and working documents in relation to the classification, transport approval in portable tanks and tests of “ANEs”; this included the establishment and development of the test Series 8. This process was carried out following a very meticulous methodology, full of analysis, tests and deliberations.</w:t>
      </w:r>
    </w:p>
    <w:p w:rsidR="007E21F2" w:rsidRPr="009F5FAB" w:rsidRDefault="007E21F2" w:rsidP="007E21F2">
      <w:pPr>
        <w:pStyle w:val="SingleTxtG"/>
        <w:tabs>
          <w:tab w:val="left" w:pos="1701"/>
        </w:tabs>
        <w:ind w:right="566"/>
      </w:pPr>
      <w:r w:rsidRPr="009F5FAB">
        <w:t>4.</w:t>
      </w:r>
      <w:r w:rsidRPr="009F5FAB">
        <w:tab/>
        <w:t>Such effort of the experts of the Sub-Committee of Transport of Dangerous Goods had a comprehensive result: the creation of a new entry (ONU 3375), the establishment of the special provision SP 309 and the inclusion in the Manual of Test and Criteria of a new test Series 8.</w:t>
      </w:r>
    </w:p>
    <w:p w:rsidR="007E21F2" w:rsidRPr="009F5FAB" w:rsidRDefault="007E21F2" w:rsidP="007E21F2">
      <w:pPr>
        <w:pStyle w:val="SingleTxtG"/>
        <w:tabs>
          <w:tab w:val="left" w:pos="1701"/>
        </w:tabs>
        <w:ind w:right="566"/>
      </w:pPr>
      <w:r w:rsidRPr="009F5FAB">
        <w:t>5.</w:t>
      </w:r>
      <w:r w:rsidRPr="009F5FAB">
        <w:tab/>
        <w:t>The Series 8 Test consists of 4 tests:</w:t>
      </w:r>
    </w:p>
    <w:p w:rsidR="007E21F2" w:rsidRPr="009F5FAB" w:rsidRDefault="007E21F2" w:rsidP="007E21F2">
      <w:pPr>
        <w:pStyle w:val="Bullet1G"/>
        <w:numPr>
          <w:ilvl w:val="0"/>
          <w:numId w:val="23"/>
        </w:numPr>
        <w:tabs>
          <w:tab w:val="clear" w:pos="4140"/>
          <w:tab w:val="left" w:pos="1701"/>
        </w:tabs>
        <w:ind w:left="1701" w:right="566"/>
      </w:pPr>
      <w:r w:rsidRPr="009F5FAB">
        <w:t>8 (a), 8 (b) y 8 (c), for the classification of ANEs -with formulations within the SP 309 parameters- as UN 3375</w:t>
      </w:r>
    </w:p>
    <w:p w:rsidR="007E21F2" w:rsidRPr="009F5FAB" w:rsidRDefault="007E21F2" w:rsidP="007E21F2">
      <w:pPr>
        <w:pStyle w:val="Bullet1G"/>
        <w:numPr>
          <w:ilvl w:val="0"/>
          <w:numId w:val="23"/>
        </w:numPr>
        <w:tabs>
          <w:tab w:val="clear" w:pos="4140"/>
          <w:tab w:val="left" w:pos="1701"/>
        </w:tabs>
        <w:ind w:left="1701" w:right="566"/>
      </w:pPr>
      <w:r w:rsidRPr="009F5FAB">
        <w:t>8 (d) test, both, (</w:t>
      </w:r>
      <w:proofErr w:type="spellStart"/>
      <w:r w:rsidRPr="009F5FAB">
        <w:t>i</w:t>
      </w:r>
      <w:proofErr w:type="spellEnd"/>
      <w:r w:rsidRPr="009F5FAB">
        <w:t>) -VPT- and (ii) -MVPT-, which are not for classification, but to state if an ANEs is suitable, or not, for its transport in portable tanks.</w:t>
      </w:r>
    </w:p>
    <w:p w:rsidR="007E21F2" w:rsidRPr="009F5FAB" w:rsidRDefault="007E21F2" w:rsidP="007E21F2">
      <w:pPr>
        <w:pStyle w:val="SingleTxtG"/>
        <w:tabs>
          <w:tab w:val="left" w:pos="1701"/>
        </w:tabs>
        <w:ind w:right="566"/>
      </w:pPr>
      <w:r w:rsidRPr="009F5FAB">
        <w:t>6.</w:t>
      </w:r>
      <w:r w:rsidRPr="009F5FAB">
        <w:tab/>
        <w:t xml:space="preserve">Even though the technical rigor and validity of the above mentioned approach and tests is undeniable, dissatisfaction with the Vented Pipe Test 8 (d) and </w:t>
      </w:r>
      <w:proofErr w:type="spellStart"/>
      <w:r w:rsidRPr="009F5FAB">
        <w:t>Koenen</w:t>
      </w:r>
      <w:proofErr w:type="spellEnd"/>
      <w:r w:rsidRPr="009F5FAB">
        <w:t xml:space="preserve"> test 8 (c) has been expressed in several occasions.</w:t>
      </w:r>
    </w:p>
    <w:p w:rsidR="007E21F2" w:rsidRPr="009F5FAB" w:rsidRDefault="007E21F2" w:rsidP="007E21F2">
      <w:pPr>
        <w:pStyle w:val="SingleTxtG"/>
        <w:tabs>
          <w:tab w:val="left" w:pos="1701"/>
        </w:tabs>
        <w:ind w:right="566"/>
      </w:pPr>
      <w:r w:rsidRPr="009F5FAB">
        <w:lastRenderedPageBreak/>
        <w:t>7.</w:t>
      </w:r>
      <w:r w:rsidRPr="009F5FAB">
        <w:tab/>
        <w:t>During the biennium 2013-2014 new amendments to Series 8 Tests were accomplished, especially to tests 8 (d) (ST/SG/AC.10/42/Add.2).</w:t>
      </w:r>
    </w:p>
    <w:p w:rsidR="007E21F2" w:rsidRPr="009F5FAB" w:rsidRDefault="007E21F2" w:rsidP="007E21F2">
      <w:pPr>
        <w:pStyle w:val="SingleTxtG"/>
        <w:tabs>
          <w:tab w:val="left" w:pos="1701"/>
        </w:tabs>
        <w:ind w:right="566"/>
      </w:pPr>
      <w:r w:rsidRPr="009F5FAB">
        <w:t>8.</w:t>
      </w:r>
      <w:r w:rsidRPr="009F5FAB">
        <w:tab/>
        <w:t xml:space="preserve">At the thirty-seventh session of the Sub-Committee of Experts on the Transport of Dangerous Goods, the expert from Canada proposed </w:t>
      </w:r>
      <w:r w:rsidRPr="009F5FAB">
        <w:rPr>
          <w:i/>
        </w:rPr>
        <w:t xml:space="preserve">that the Working Group considers the potential merit of including the MBP test as an alternative to the current 8(d) test. For example, as an alternative to the 8(d) test, UN 3375 could be restricted to those products with MBP values above 5.6 </w:t>
      </w:r>
      <w:proofErr w:type="spellStart"/>
      <w:r w:rsidRPr="009F5FAB">
        <w:rPr>
          <w:i/>
        </w:rPr>
        <w:t>MPa</w:t>
      </w:r>
      <w:proofErr w:type="spellEnd"/>
      <w:r w:rsidRPr="009F5FAB">
        <w:rPr>
          <w:i/>
        </w:rPr>
        <w:t xml:space="preserve"> (800 psig)</w:t>
      </w:r>
      <w:r w:rsidRPr="009F5FAB">
        <w:t xml:space="preserve"> (</w:t>
      </w:r>
      <w:r>
        <w:t xml:space="preserve">informal document </w:t>
      </w:r>
      <w:r w:rsidRPr="009F5FAB">
        <w:t>INF.41</w:t>
      </w:r>
      <w:r>
        <w:t xml:space="preserve"> (37</w:t>
      </w:r>
      <w:r w:rsidRPr="007E21F2">
        <w:rPr>
          <w:vertAlign w:val="superscript"/>
        </w:rPr>
        <w:t>th</w:t>
      </w:r>
      <w:r>
        <w:t xml:space="preserve"> session)</w:t>
      </w:r>
      <w:r w:rsidRPr="009F5FAB">
        <w:t>).</w:t>
      </w:r>
    </w:p>
    <w:p w:rsidR="007E21F2" w:rsidRPr="009F5FAB" w:rsidRDefault="007E21F2" w:rsidP="007E21F2">
      <w:pPr>
        <w:pStyle w:val="SingleTxtG"/>
        <w:tabs>
          <w:tab w:val="left" w:pos="1701"/>
        </w:tabs>
        <w:ind w:right="566"/>
      </w:pPr>
      <w:r w:rsidRPr="009F5FAB">
        <w:t>9.</w:t>
      </w:r>
      <w:r w:rsidRPr="009F5FAB">
        <w:tab/>
        <w:t>Informal document INF.41</w:t>
      </w:r>
      <w:r>
        <w:t xml:space="preserve"> (37</w:t>
      </w:r>
      <w:r w:rsidRPr="007E21F2">
        <w:rPr>
          <w:vertAlign w:val="superscript"/>
        </w:rPr>
        <w:t>th</w:t>
      </w:r>
      <w:r>
        <w:t xml:space="preserve"> session)</w:t>
      </w:r>
      <w:r w:rsidRPr="009F5FAB">
        <w:t>, transmitted by the expert from Canada, did not provide a</w:t>
      </w:r>
      <w:r>
        <w:t xml:space="preserve"> sufficiently</w:t>
      </w:r>
      <w:r w:rsidRPr="009F5FAB">
        <w:t xml:space="preserve"> detailed description of the tested compositions and was focus</w:t>
      </w:r>
      <w:r>
        <w:t>ed</w:t>
      </w:r>
      <w:r w:rsidRPr="009F5FAB">
        <w:t xml:space="preserve"> ma</w:t>
      </w:r>
      <w:r>
        <w:t>i</w:t>
      </w:r>
      <w:r w:rsidRPr="009F5FAB">
        <w:t>nly on comparing some cartridge emulsions with some bulk ones.</w:t>
      </w:r>
    </w:p>
    <w:p w:rsidR="007E21F2" w:rsidRPr="009F5FAB" w:rsidRDefault="007E21F2" w:rsidP="007E21F2">
      <w:pPr>
        <w:pStyle w:val="Bullet1G"/>
        <w:numPr>
          <w:ilvl w:val="0"/>
          <w:numId w:val="0"/>
        </w:numPr>
        <w:tabs>
          <w:tab w:val="left" w:pos="1701"/>
        </w:tabs>
        <w:ind w:left="1134" w:right="566"/>
      </w:pPr>
      <w:r w:rsidRPr="009F5FAB">
        <w:t>10.</w:t>
      </w:r>
      <w:r w:rsidRPr="009F5FAB">
        <w:tab/>
        <w:t>The Canadian proposal was discussed by the Working Group on Explosives</w:t>
      </w:r>
      <w:r>
        <w:t>,</w:t>
      </w:r>
      <w:r w:rsidRPr="009F5FAB">
        <w:t xml:space="preserve"> but without </w:t>
      </w:r>
      <w:r>
        <w:t>reaching</w:t>
      </w:r>
      <w:r w:rsidRPr="009F5FAB">
        <w:t xml:space="preserve"> a conclusion. Many members offered to perform some tests to help with the further evaluation of the MBP test. The Working Group noted </w:t>
      </w:r>
      <w:r w:rsidRPr="009F5FAB">
        <w:rPr>
          <w:i/>
        </w:rPr>
        <w:t>that it is a basic principle that when evaluating alternative tests, comparability with existing tests is required</w:t>
      </w:r>
      <w:r w:rsidRPr="009F5FAB">
        <w:t xml:space="preserve"> (</w:t>
      </w:r>
      <w:r w:rsidR="002714EF">
        <w:t xml:space="preserve">informal document </w:t>
      </w:r>
      <w:r w:rsidRPr="009F5FAB">
        <w:t>INF.73</w:t>
      </w:r>
      <w:r w:rsidR="002714EF">
        <w:t xml:space="preserve"> (37</w:t>
      </w:r>
      <w:r w:rsidR="002714EF" w:rsidRPr="002714EF">
        <w:rPr>
          <w:vertAlign w:val="superscript"/>
        </w:rPr>
        <w:t>th</w:t>
      </w:r>
      <w:r w:rsidR="002714EF">
        <w:t xml:space="preserve"> session)</w:t>
      </w:r>
      <w:r w:rsidRPr="009F5FAB">
        <w:t>).</w:t>
      </w:r>
    </w:p>
    <w:p w:rsidR="007E21F2" w:rsidRPr="009F5FAB" w:rsidRDefault="007E21F2" w:rsidP="007E21F2">
      <w:pPr>
        <w:pStyle w:val="HChG"/>
        <w:tabs>
          <w:tab w:val="left" w:pos="1701"/>
        </w:tabs>
        <w:ind w:right="566" w:firstLine="0"/>
      </w:pPr>
      <w:r w:rsidRPr="009F5FAB">
        <w:t>Considerations</w:t>
      </w:r>
    </w:p>
    <w:p w:rsidR="007E21F2" w:rsidRPr="009F5FAB" w:rsidRDefault="007E21F2" w:rsidP="007E21F2">
      <w:pPr>
        <w:pStyle w:val="SingleTxtG"/>
        <w:tabs>
          <w:tab w:val="left" w:pos="1701"/>
        </w:tabs>
        <w:ind w:right="566"/>
      </w:pPr>
      <w:r w:rsidRPr="009F5FAB">
        <w:t>1</w:t>
      </w:r>
      <w:r>
        <w:t>1</w:t>
      </w:r>
      <w:r w:rsidRPr="009F5FAB">
        <w:t>.</w:t>
      </w:r>
      <w:r w:rsidRPr="009F5FAB">
        <w:tab/>
        <w:t xml:space="preserve">The </w:t>
      </w:r>
      <w:r>
        <w:t xml:space="preserve">validity of the </w:t>
      </w:r>
      <w:r w:rsidRPr="009F5FAB">
        <w:t xml:space="preserve">Minimum Burning Pressure </w:t>
      </w:r>
      <w:r>
        <w:t>test as a replacement for the current Tests</w:t>
      </w:r>
      <w:r w:rsidR="002714EF">
        <w:t xml:space="preserve"> 8(c</w:t>
      </w:r>
      <w:r>
        <w:t xml:space="preserve">) and 8 (d) presented in </w:t>
      </w:r>
      <w:r w:rsidRPr="009F5FAB">
        <w:t>proposal ST/SG/AC.10/C.3/2015/41 is unclear and, overall, inadequate:</w:t>
      </w:r>
    </w:p>
    <w:p w:rsidR="007E21F2" w:rsidRPr="009F5FAB" w:rsidRDefault="007E21F2" w:rsidP="007E21F2">
      <w:pPr>
        <w:pStyle w:val="Bullet1G"/>
        <w:numPr>
          <w:ilvl w:val="0"/>
          <w:numId w:val="23"/>
        </w:numPr>
        <w:tabs>
          <w:tab w:val="clear" w:pos="4140"/>
          <w:tab w:val="left" w:pos="1701"/>
        </w:tabs>
        <w:ind w:left="1701" w:right="566"/>
      </w:pPr>
      <w:r w:rsidRPr="009F5FAB">
        <w:t xml:space="preserve">Due to its own approach, the MBP test is not an adequate test neither for ANEs classification below UN 3375 </w:t>
      </w:r>
      <w:proofErr w:type="gramStart"/>
      <w:r w:rsidRPr="009F5FAB">
        <w:t>nor</w:t>
      </w:r>
      <w:proofErr w:type="gramEnd"/>
      <w:r w:rsidRPr="009F5FAB">
        <w:t xml:space="preserve"> for its transport approval in portable tanks. The MBP test allows</w:t>
      </w:r>
      <w:r w:rsidRPr="009F5FAB">
        <w:rPr>
          <w:color w:val="FF0000"/>
        </w:rPr>
        <w:t xml:space="preserve"> </w:t>
      </w:r>
      <w:r w:rsidRPr="009F5FAB">
        <w:t>the risk which may occur during a pumping operation</w:t>
      </w:r>
      <w:r>
        <w:t>,</w:t>
      </w:r>
      <w:r w:rsidRPr="009F5FAB">
        <w:t xml:space="preserve"> to be evaluated if a hot spot appears in the pump.</w:t>
      </w:r>
      <w:r w:rsidRPr="009F5FAB">
        <w:rPr>
          <w:szCs w:val="24"/>
          <w:lang w:eastAsia="es-ES"/>
        </w:rPr>
        <w:t xml:space="preserve"> </w:t>
      </w:r>
      <w:r w:rsidRPr="009F5FAB">
        <w:t xml:space="preserve">Whereas </w:t>
      </w:r>
      <w:proofErr w:type="spellStart"/>
      <w:r w:rsidRPr="009F5FAB">
        <w:t>Koenen</w:t>
      </w:r>
      <w:proofErr w:type="spellEnd"/>
      <w:r w:rsidRPr="009F5FAB">
        <w:t xml:space="preserve"> test and vented pipe test deal with a thermal explosion or cook-off phenomenon which is a consequence of a reaction runaway in a chemical system undergoing exothermic reaction. The condition involves the near simultaneous heating of an entire inventory followed by a rapid reaction. Minimum burning pressure test is related with a deflagration phenomenon, which occurs when there is an intense localized internal thermal ignition (hot spot) under pressures sufficiently high to support combustion.</w:t>
      </w:r>
    </w:p>
    <w:p w:rsidR="007E21F2" w:rsidRPr="009F5FAB" w:rsidRDefault="007E21F2" w:rsidP="007E21F2">
      <w:pPr>
        <w:pStyle w:val="Bullet1G"/>
        <w:numPr>
          <w:ilvl w:val="0"/>
          <w:numId w:val="23"/>
        </w:numPr>
        <w:tabs>
          <w:tab w:val="clear" w:pos="4140"/>
          <w:tab w:val="left" w:pos="1701"/>
        </w:tabs>
        <w:ind w:left="1701" w:right="566"/>
      </w:pPr>
      <w:r w:rsidRPr="009F5FAB">
        <w:t xml:space="preserve">The attached report shows a clear relationship between modified vented pipe test and </w:t>
      </w:r>
      <w:proofErr w:type="spellStart"/>
      <w:r w:rsidRPr="009F5FAB">
        <w:t>Koenen</w:t>
      </w:r>
      <w:proofErr w:type="spellEnd"/>
      <w:r w:rsidRPr="009F5FAB">
        <w:t xml:space="preserve"> test, however no relationships between MBPT and </w:t>
      </w:r>
      <w:proofErr w:type="spellStart"/>
      <w:r w:rsidRPr="009F5FAB">
        <w:t>Koenen</w:t>
      </w:r>
      <w:proofErr w:type="spellEnd"/>
      <w:r w:rsidRPr="009F5FAB">
        <w:t xml:space="preserve"> tests, and MBPT and MVPT were found. Experimental data clearly support the above statement</w:t>
      </w:r>
      <w:r>
        <w:t xml:space="preserve"> (Annex: </w:t>
      </w:r>
      <w:proofErr w:type="spellStart"/>
      <w:r w:rsidRPr="009F5FAB">
        <w:t>Maxam's</w:t>
      </w:r>
      <w:proofErr w:type="spellEnd"/>
      <w:r w:rsidRPr="009F5FAB">
        <w:t xml:space="preserve"> technical report: Performance of Minimum Burning Pressure Test (CANMET Procedure) on Ammonium Nitrate Emulsions and Suspensions (ANEs)</w:t>
      </w:r>
      <w:r>
        <w:t>)</w:t>
      </w:r>
      <w:r w:rsidRPr="009F5FAB">
        <w:t>.</w:t>
      </w:r>
    </w:p>
    <w:p w:rsidR="007E21F2" w:rsidRDefault="007E21F2" w:rsidP="007E21F2">
      <w:pPr>
        <w:pStyle w:val="SingleTxtG"/>
        <w:tabs>
          <w:tab w:val="left" w:pos="1701"/>
        </w:tabs>
        <w:ind w:right="566"/>
      </w:pPr>
      <w:r>
        <w:t>12.</w:t>
      </w:r>
      <w:r>
        <w:tab/>
        <w:t xml:space="preserve">The comparability between the present tests, accepted and validated by practice, and any new tests is basic. ANEs classified according to the present tests should maintain their present classification with any new test proposed. </w:t>
      </w:r>
    </w:p>
    <w:p w:rsidR="007E21F2" w:rsidRPr="009F5FAB" w:rsidRDefault="007E21F2" w:rsidP="007E21F2">
      <w:pPr>
        <w:pStyle w:val="HChG"/>
        <w:tabs>
          <w:tab w:val="left" w:pos="1701"/>
        </w:tabs>
        <w:ind w:right="566" w:firstLine="0"/>
      </w:pPr>
      <w:r w:rsidRPr="009F5FAB">
        <w:t>Proposal</w:t>
      </w:r>
    </w:p>
    <w:p w:rsidR="007E21F2" w:rsidRDefault="007E21F2" w:rsidP="007E21F2">
      <w:pPr>
        <w:pStyle w:val="SingleTxtG"/>
        <w:tabs>
          <w:tab w:val="left" w:pos="1701"/>
        </w:tabs>
        <w:ind w:right="566"/>
      </w:pPr>
      <w:r w:rsidRPr="009F5FAB">
        <w:t>13.</w:t>
      </w:r>
      <w:r w:rsidRPr="009F5FAB">
        <w:tab/>
        <w:t xml:space="preserve">The expert from Spain </w:t>
      </w:r>
      <w:r>
        <w:t>does not support</w:t>
      </w:r>
      <w:r w:rsidRPr="009F5FAB">
        <w:t xml:space="preserve"> the minimum burning pressure test as replacement or alternative for Tests 8 (c) and 8 (d)</w:t>
      </w:r>
      <w:r>
        <w:t>,</w:t>
      </w:r>
      <w:r w:rsidRPr="009F5FAB">
        <w:t xml:space="preserve"> because it does not provide the proper information about the hazard considered and it </w:t>
      </w:r>
      <w:r>
        <w:t>h</w:t>
      </w:r>
      <w:r w:rsidRPr="009F5FAB">
        <w:t xml:space="preserve">as </w:t>
      </w:r>
      <w:r>
        <w:t xml:space="preserve">been </w:t>
      </w:r>
      <w:r w:rsidRPr="009F5FAB">
        <w:t xml:space="preserve">shown that MBP outcomes have no relation to those from </w:t>
      </w:r>
      <w:proofErr w:type="spellStart"/>
      <w:r w:rsidRPr="009F5FAB">
        <w:t>Koenen</w:t>
      </w:r>
      <w:proofErr w:type="spellEnd"/>
      <w:r w:rsidRPr="009F5FAB">
        <w:t xml:space="preserve"> and VPT tests.</w:t>
      </w:r>
    </w:p>
    <w:p w:rsidR="007E21F2" w:rsidRPr="009F5FAB" w:rsidRDefault="007E21F2" w:rsidP="007E21F2">
      <w:pPr>
        <w:pStyle w:val="SingleTxtG"/>
        <w:tabs>
          <w:tab w:val="left" w:pos="1701"/>
        </w:tabs>
        <w:spacing w:before="240" w:after="0"/>
        <w:ind w:right="566"/>
        <w:jc w:val="center"/>
        <w:rPr>
          <w:u w:val="single"/>
        </w:rPr>
      </w:pPr>
      <w:r w:rsidRPr="009F5FAB">
        <w:rPr>
          <w:u w:val="single"/>
        </w:rPr>
        <w:tab/>
      </w:r>
      <w:r w:rsidRPr="009F5FAB">
        <w:rPr>
          <w:u w:val="single"/>
        </w:rPr>
        <w:tab/>
      </w:r>
      <w:r w:rsidRPr="009F5FAB">
        <w:rPr>
          <w:u w:val="single"/>
        </w:rPr>
        <w:tab/>
      </w:r>
    </w:p>
    <w:p w:rsidR="007E21F2" w:rsidRPr="009F5FAB" w:rsidRDefault="007E21F2" w:rsidP="007E21F2">
      <w:pPr>
        <w:pStyle w:val="Title"/>
        <w:spacing w:line="360" w:lineRule="auto"/>
        <w:jc w:val="both"/>
        <w:rPr>
          <w:rFonts w:ascii="Times New Roman" w:hAnsi="Times New Roman" w:cs="Times New Roman"/>
          <w:b w:val="0"/>
          <w:bCs w:val="0"/>
          <w:sz w:val="22"/>
        </w:rPr>
      </w:pPr>
    </w:p>
    <w:p w:rsidR="007E21F2" w:rsidRPr="009F5FAB" w:rsidRDefault="007E21F2" w:rsidP="007E21F2">
      <w:pPr>
        <w:pStyle w:val="Title"/>
        <w:rPr>
          <w:sz w:val="36"/>
        </w:rPr>
        <w:sectPr w:rsidR="007E21F2" w:rsidRPr="009F5FAB" w:rsidSect="001A0187">
          <w:headerReference w:type="even" r:id="rId9"/>
          <w:footerReference w:type="even" r:id="rId10"/>
          <w:footerReference w:type="default" r:id="rId11"/>
          <w:headerReference w:type="first" r:id="rId12"/>
          <w:footerReference w:type="first" r:id="rId13"/>
          <w:pgSz w:w="11906" w:h="16838" w:code="9"/>
          <w:pgMar w:top="1701" w:right="1134" w:bottom="2268" w:left="1134" w:header="851" w:footer="851" w:gutter="0"/>
          <w:pgNumType w:start="1"/>
          <w:cols w:space="708"/>
          <w:titlePg/>
          <w:docGrid w:linePitch="360"/>
        </w:sectPr>
      </w:pPr>
    </w:p>
    <w:p w:rsidR="007E21F2" w:rsidRPr="009F5FAB" w:rsidRDefault="007E21F2" w:rsidP="007E21F2">
      <w:pPr>
        <w:pStyle w:val="Title"/>
      </w:pPr>
      <w:r w:rsidRPr="009F5FAB">
        <w:lastRenderedPageBreak/>
        <w:t>Performance</w:t>
      </w:r>
    </w:p>
    <w:p w:rsidR="007E21F2" w:rsidRPr="009F5FAB" w:rsidRDefault="007E21F2" w:rsidP="007E21F2">
      <w:pPr>
        <w:pStyle w:val="Title"/>
      </w:pPr>
      <w:proofErr w:type="gramStart"/>
      <w:r w:rsidRPr="009F5FAB">
        <w:t>of</w:t>
      </w:r>
      <w:proofErr w:type="gramEnd"/>
    </w:p>
    <w:p w:rsidR="007E21F2" w:rsidRPr="009F5FAB" w:rsidRDefault="007E21F2" w:rsidP="007E21F2">
      <w:pPr>
        <w:pStyle w:val="Title"/>
      </w:pPr>
      <w:r w:rsidRPr="009F5FAB">
        <w:t>Minimum Burning Pressure Test (CANMET Procedure)</w:t>
      </w:r>
    </w:p>
    <w:p w:rsidR="007E21F2" w:rsidRPr="009F5FAB" w:rsidRDefault="007E21F2" w:rsidP="007E21F2">
      <w:pPr>
        <w:pStyle w:val="Title"/>
      </w:pPr>
      <w:proofErr w:type="gramStart"/>
      <w:r w:rsidRPr="009F5FAB">
        <w:t>on</w:t>
      </w:r>
      <w:proofErr w:type="gramEnd"/>
    </w:p>
    <w:p w:rsidR="007E21F2" w:rsidRPr="009F5FAB" w:rsidRDefault="007E21F2" w:rsidP="007E21F2">
      <w:pPr>
        <w:pStyle w:val="Title"/>
      </w:pPr>
      <w:r w:rsidRPr="009F5FAB">
        <w:t>Ammonium Nitrate Emulsions and Suspensions (ANEs)</w:t>
      </w:r>
    </w:p>
    <w:p w:rsidR="007E21F2" w:rsidRPr="009F5FAB" w:rsidRDefault="007E21F2" w:rsidP="007E21F2">
      <w:pPr>
        <w:tabs>
          <w:tab w:val="left" w:pos="360"/>
        </w:tabs>
        <w:spacing w:line="480" w:lineRule="auto"/>
        <w:jc w:val="center"/>
        <w:rPr>
          <w:sz w:val="32"/>
        </w:rPr>
      </w:pPr>
    </w:p>
    <w:p w:rsidR="007E21F2" w:rsidRPr="009F5FAB" w:rsidRDefault="007E21F2" w:rsidP="007E21F2">
      <w:pPr>
        <w:tabs>
          <w:tab w:val="left" w:pos="360"/>
        </w:tabs>
        <w:spacing w:line="480" w:lineRule="auto"/>
        <w:jc w:val="center"/>
        <w:rPr>
          <w:sz w:val="32"/>
        </w:rPr>
      </w:pPr>
    </w:p>
    <w:p w:rsidR="007E21F2" w:rsidRPr="009F5FAB" w:rsidRDefault="007E21F2" w:rsidP="007E21F2">
      <w:pPr>
        <w:tabs>
          <w:tab w:val="left" w:pos="360"/>
        </w:tabs>
        <w:spacing w:line="480" w:lineRule="auto"/>
        <w:jc w:val="center"/>
        <w:rPr>
          <w:sz w:val="28"/>
        </w:rPr>
      </w:pPr>
    </w:p>
    <w:p w:rsidR="007E21F2" w:rsidRPr="009F5FAB" w:rsidRDefault="007E21F2" w:rsidP="007E21F2">
      <w:pPr>
        <w:tabs>
          <w:tab w:val="left" w:pos="360"/>
        </w:tabs>
        <w:spacing w:line="480" w:lineRule="auto"/>
        <w:jc w:val="center"/>
        <w:rPr>
          <w:sz w:val="28"/>
        </w:rPr>
      </w:pPr>
    </w:p>
    <w:p w:rsidR="007E21F2" w:rsidRPr="009F5FAB" w:rsidRDefault="007E21F2" w:rsidP="007E21F2">
      <w:pPr>
        <w:tabs>
          <w:tab w:val="left" w:pos="360"/>
        </w:tabs>
        <w:spacing w:line="480" w:lineRule="auto"/>
        <w:jc w:val="center"/>
        <w:outlineLvl w:val="0"/>
        <w:rPr>
          <w:sz w:val="28"/>
        </w:rPr>
      </w:pPr>
      <w:r w:rsidRPr="009F5FAB">
        <w:rPr>
          <w:sz w:val="28"/>
        </w:rPr>
        <w:t>MAXAM</w:t>
      </w:r>
    </w:p>
    <w:p w:rsidR="007E21F2" w:rsidRPr="009F5FAB" w:rsidRDefault="007E21F2" w:rsidP="007E21F2">
      <w:pPr>
        <w:tabs>
          <w:tab w:val="left" w:pos="360"/>
        </w:tabs>
        <w:spacing w:line="480" w:lineRule="auto"/>
        <w:jc w:val="center"/>
        <w:outlineLvl w:val="0"/>
      </w:pPr>
      <w:r w:rsidRPr="009F5FAB">
        <w:t>November 2015</w:t>
      </w:r>
    </w:p>
    <w:p w:rsidR="007E21F2" w:rsidRPr="009F5FAB" w:rsidRDefault="007E21F2" w:rsidP="007E21F2">
      <w:pPr>
        <w:tabs>
          <w:tab w:val="left" w:pos="360"/>
        </w:tabs>
        <w:spacing w:line="480" w:lineRule="auto"/>
        <w:jc w:val="center"/>
      </w:pPr>
    </w:p>
    <w:p w:rsidR="007E21F2" w:rsidRPr="009F5FAB" w:rsidRDefault="007E21F2" w:rsidP="007E21F2">
      <w:pPr>
        <w:tabs>
          <w:tab w:val="left" w:pos="360"/>
        </w:tabs>
        <w:spacing w:line="480" w:lineRule="auto"/>
        <w:jc w:val="center"/>
      </w:pPr>
    </w:p>
    <w:p w:rsidR="007E21F2" w:rsidRPr="009F5FAB" w:rsidRDefault="007E21F2" w:rsidP="007E21F2">
      <w:pPr>
        <w:tabs>
          <w:tab w:val="left" w:pos="360"/>
        </w:tabs>
        <w:spacing w:line="480" w:lineRule="auto"/>
        <w:jc w:val="center"/>
      </w:pPr>
    </w:p>
    <w:p w:rsidR="007E21F2" w:rsidRPr="009F5FAB" w:rsidRDefault="007E21F2" w:rsidP="007E21F2">
      <w:pPr>
        <w:tabs>
          <w:tab w:val="left" w:pos="360"/>
        </w:tabs>
        <w:spacing w:line="480" w:lineRule="auto"/>
        <w:jc w:val="both"/>
      </w:pPr>
    </w:p>
    <w:p w:rsidR="007E21F2" w:rsidRPr="009F5FAB" w:rsidRDefault="007E21F2" w:rsidP="007E21F2">
      <w:pPr>
        <w:tabs>
          <w:tab w:val="left" w:pos="360"/>
        </w:tabs>
        <w:spacing w:line="360" w:lineRule="auto"/>
        <w:jc w:val="center"/>
      </w:pPr>
      <w:r w:rsidRPr="009F5FAB">
        <w:t>José R. Quintana</w:t>
      </w:r>
    </w:p>
    <w:p w:rsidR="007E21F2" w:rsidRPr="009F5FAB" w:rsidRDefault="007E21F2" w:rsidP="007E21F2">
      <w:pPr>
        <w:tabs>
          <w:tab w:val="left" w:pos="360"/>
        </w:tabs>
        <w:spacing w:line="360" w:lineRule="auto"/>
        <w:jc w:val="center"/>
      </w:pPr>
      <w:r w:rsidRPr="009F5FAB">
        <w:t>R&amp;D Department</w:t>
      </w:r>
    </w:p>
    <w:p w:rsidR="007E21F2" w:rsidRPr="009F5FAB" w:rsidRDefault="007E21F2" w:rsidP="007E21F2">
      <w:pPr>
        <w:tabs>
          <w:tab w:val="left" w:pos="360"/>
        </w:tabs>
        <w:spacing w:line="360" w:lineRule="auto"/>
        <w:jc w:val="center"/>
      </w:pPr>
      <w:proofErr w:type="spellStart"/>
      <w:r w:rsidRPr="009F5FAB">
        <w:t>MaxamCorp</w:t>
      </w:r>
      <w:proofErr w:type="spellEnd"/>
      <w:r w:rsidRPr="009F5FAB">
        <w:t xml:space="preserve"> Holding</w:t>
      </w:r>
    </w:p>
    <w:p w:rsidR="007E21F2" w:rsidRPr="009F5FAB" w:rsidRDefault="007E21F2" w:rsidP="007E21F2">
      <w:pPr>
        <w:tabs>
          <w:tab w:val="left" w:pos="360"/>
        </w:tabs>
        <w:spacing w:line="360" w:lineRule="auto"/>
        <w:jc w:val="both"/>
        <w:rPr>
          <w:sz w:val="22"/>
        </w:rPr>
      </w:pPr>
      <w:r w:rsidRPr="009F5FAB">
        <w:rPr>
          <w:sz w:val="18"/>
        </w:rPr>
        <w:br w:type="page"/>
      </w:r>
    </w:p>
    <w:p w:rsidR="007E21F2" w:rsidRPr="009F5FAB" w:rsidRDefault="007E21F2" w:rsidP="007E21F2">
      <w:pPr>
        <w:tabs>
          <w:tab w:val="right" w:leader="dot" w:pos="7938"/>
        </w:tabs>
        <w:spacing w:line="360" w:lineRule="auto"/>
        <w:jc w:val="both"/>
        <w:rPr>
          <w:b/>
          <w:bCs/>
        </w:rPr>
      </w:pPr>
      <w:r w:rsidRPr="009F5FAB">
        <w:rPr>
          <w:b/>
          <w:bCs/>
        </w:rPr>
        <w:lastRenderedPageBreak/>
        <w:t>CONTENTS</w:t>
      </w:r>
    </w:p>
    <w:p w:rsidR="007E21F2" w:rsidRPr="009F5FAB" w:rsidRDefault="007E21F2" w:rsidP="007E21F2">
      <w:pPr>
        <w:tabs>
          <w:tab w:val="right" w:leader="dot" w:pos="7938"/>
        </w:tabs>
        <w:spacing w:line="360" w:lineRule="auto"/>
        <w:jc w:val="both"/>
        <w:rPr>
          <w:sz w:val="22"/>
        </w:rPr>
      </w:pPr>
    </w:p>
    <w:p w:rsidR="007E21F2" w:rsidRPr="009F5FAB" w:rsidRDefault="007E21F2" w:rsidP="007E21F2">
      <w:pPr>
        <w:tabs>
          <w:tab w:val="right" w:leader="dot" w:pos="7938"/>
        </w:tabs>
        <w:spacing w:line="360" w:lineRule="auto"/>
        <w:jc w:val="both"/>
        <w:rPr>
          <w:sz w:val="22"/>
        </w:rPr>
      </w:pPr>
    </w:p>
    <w:p w:rsidR="007E21F2" w:rsidRPr="009F5FAB" w:rsidRDefault="007E21F2" w:rsidP="007E21F2">
      <w:pPr>
        <w:tabs>
          <w:tab w:val="right" w:leader="dot" w:pos="7938"/>
        </w:tabs>
        <w:spacing w:line="360" w:lineRule="auto"/>
        <w:jc w:val="both"/>
        <w:rPr>
          <w:sz w:val="22"/>
        </w:rPr>
      </w:pPr>
    </w:p>
    <w:p w:rsidR="007E21F2" w:rsidRPr="009F5FAB" w:rsidRDefault="007E21F2" w:rsidP="007E21F2">
      <w:pPr>
        <w:tabs>
          <w:tab w:val="right" w:leader="dot" w:pos="7938"/>
        </w:tabs>
        <w:spacing w:line="360" w:lineRule="auto"/>
        <w:jc w:val="both"/>
        <w:rPr>
          <w:sz w:val="22"/>
        </w:rPr>
      </w:pPr>
    </w:p>
    <w:p w:rsidR="007E21F2" w:rsidRPr="009F5FAB" w:rsidRDefault="007E21F2" w:rsidP="007E21F2">
      <w:pPr>
        <w:tabs>
          <w:tab w:val="right" w:pos="8820"/>
        </w:tabs>
        <w:spacing w:line="360" w:lineRule="auto"/>
        <w:jc w:val="both"/>
        <w:rPr>
          <w:sz w:val="22"/>
        </w:rPr>
      </w:pPr>
      <w:r w:rsidRPr="009F5FAB">
        <w:rPr>
          <w:sz w:val="22"/>
        </w:rPr>
        <w:tab/>
        <w:t>Page no.</w:t>
      </w:r>
    </w:p>
    <w:p w:rsidR="007E21F2" w:rsidRPr="009F5FAB" w:rsidRDefault="007E21F2" w:rsidP="007E21F2">
      <w:pPr>
        <w:tabs>
          <w:tab w:val="left" w:pos="900"/>
          <w:tab w:val="right" w:leader="dot" w:pos="8460"/>
        </w:tabs>
        <w:spacing w:line="360" w:lineRule="auto"/>
        <w:jc w:val="both"/>
        <w:rPr>
          <w:sz w:val="22"/>
        </w:rPr>
      </w:pPr>
    </w:p>
    <w:p w:rsidR="007E21F2" w:rsidRPr="009F5FAB" w:rsidRDefault="007E21F2" w:rsidP="007E21F2">
      <w:pPr>
        <w:tabs>
          <w:tab w:val="left" w:pos="900"/>
          <w:tab w:val="right" w:leader="dot" w:pos="8460"/>
        </w:tabs>
        <w:spacing w:line="360" w:lineRule="auto"/>
        <w:jc w:val="both"/>
        <w:rPr>
          <w:sz w:val="22"/>
        </w:rPr>
      </w:pPr>
      <w:r w:rsidRPr="009F5FAB">
        <w:rPr>
          <w:sz w:val="22"/>
        </w:rPr>
        <w:t>0.  SUMMARY AND CONCLUSIONS</w:t>
      </w:r>
      <w:r w:rsidRPr="009F5FAB">
        <w:rPr>
          <w:sz w:val="22"/>
        </w:rPr>
        <w:tab/>
        <w:t>3</w:t>
      </w:r>
    </w:p>
    <w:p w:rsidR="007E21F2" w:rsidRPr="009F5FAB" w:rsidRDefault="007E21F2" w:rsidP="007E21F2">
      <w:pPr>
        <w:tabs>
          <w:tab w:val="left" w:pos="900"/>
          <w:tab w:val="right" w:leader="dot" w:pos="8460"/>
        </w:tabs>
        <w:spacing w:line="360" w:lineRule="auto"/>
        <w:jc w:val="both"/>
        <w:rPr>
          <w:sz w:val="22"/>
        </w:rPr>
      </w:pPr>
    </w:p>
    <w:p w:rsidR="007E21F2" w:rsidRPr="009F5FAB" w:rsidRDefault="007E21F2" w:rsidP="007E21F2">
      <w:pPr>
        <w:tabs>
          <w:tab w:val="left" w:pos="900"/>
          <w:tab w:val="right" w:leader="dot" w:pos="8460"/>
        </w:tabs>
        <w:spacing w:line="360" w:lineRule="auto"/>
        <w:jc w:val="both"/>
        <w:rPr>
          <w:sz w:val="22"/>
        </w:rPr>
      </w:pPr>
      <w:r w:rsidRPr="009F5FAB">
        <w:rPr>
          <w:sz w:val="22"/>
        </w:rPr>
        <w:t>1.  INTRODUCTION</w:t>
      </w:r>
      <w:r w:rsidRPr="009F5FAB">
        <w:rPr>
          <w:sz w:val="22"/>
        </w:rPr>
        <w:tab/>
        <w:t>4</w:t>
      </w:r>
    </w:p>
    <w:p w:rsidR="007E21F2" w:rsidRPr="009F5FAB" w:rsidRDefault="007E21F2" w:rsidP="007E21F2">
      <w:pPr>
        <w:tabs>
          <w:tab w:val="left" w:pos="900"/>
          <w:tab w:val="right" w:leader="dot" w:pos="8460"/>
        </w:tabs>
        <w:spacing w:line="360" w:lineRule="auto"/>
        <w:jc w:val="both"/>
        <w:rPr>
          <w:sz w:val="22"/>
        </w:rPr>
      </w:pPr>
    </w:p>
    <w:p w:rsidR="007E21F2" w:rsidRPr="009F5FAB" w:rsidRDefault="007E21F2" w:rsidP="007E21F2">
      <w:pPr>
        <w:pStyle w:val="BodyText3"/>
        <w:tabs>
          <w:tab w:val="left" w:pos="900"/>
          <w:tab w:val="right" w:leader="dot" w:pos="8460"/>
        </w:tabs>
        <w:rPr>
          <w:b/>
          <w:sz w:val="22"/>
        </w:rPr>
      </w:pPr>
      <w:r w:rsidRPr="009F5FAB">
        <w:rPr>
          <w:b/>
          <w:sz w:val="22"/>
        </w:rPr>
        <w:t>2.  EXPERIMENTAL</w:t>
      </w:r>
      <w:r w:rsidRPr="009F5FAB">
        <w:rPr>
          <w:b/>
          <w:sz w:val="22"/>
        </w:rPr>
        <w:tab/>
        <w:t>6</w:t>
      </w:r>
    </w:p>
    <w:p w:rsidR="007E21F2" w:rsidRPr="009F5FAB" w:rsidRDefault="007E21F2" w:rsidP="007E21F2">
      <w:pPr>
        <w:tabs>
          <w:tab w:val="left" w:pos="900"/>
          <w:tab w:val="right" w:leader="dot" w:pos="8460"/>
        </w:tabs>
        <w:spacing w:line="360" w:lineRule="auto"/>
        <w:jc w:val="both"/>
        <w:rPr>
          <w:sz w:val="22"/>
        </w:rPr>
      </w:pPr>
    </w:p>
    <w:p w:rsidR="007E21F2" w:rsidRPr="009F5FAB" w:rsidRDefault="007E21F2" w:rsidP="007E21F2">
      <w:pPr>
        <w:tabs>
          <w:tab w:val="left" w:pos="900"/>
          <w:tab w:val="right" w:leader="dot" w:pos="8460"/>
        </w:tabs>
        <w:spacing w:line="360" w:lineRule="auto"/>
        <w:jc w:val="both"/>
        <w:rPr>
          <w:sz w:val="22"/>
        </w:rPr>
      </w:pPr>
      <w:r w:rsidRPr="009F5FAB">
        <w:rPr>
          <w:sz w:val="22"/>
        </w:rPr>
        <w:t>3.  RESULTS</w:t>
      </w:r>
      <w:r w:rsidRPr="009F5FAB">
        <w:rPr>
          <w:sz w:val="22"/>
        </w:rPr>
        <w:tab/>
        <w:t>9</w:t>
      </w:r>
    </w:p>
    <w:p w:rsidR="007E21F2" w:rsidRPr="009F5FAB" w:rsidRDefault="007E21F2" w:rsidP="007E21F2">
      <w:pPr>
        <w:tabs>
          <w:tab w:val="left" w:pos="900"/>
          <w:tab w:val="right" w:leader="dot" w:pos="8460"/>
        </w:tabs>
        <w:spacing w:line="360" w:lineRule="auto"/>
        <w:jc w:val="both"/>
        <w:rPr>
          <w:sz w:val="22"/>
        </w:rPr>
      </w:pPr>
    </w:p>
    <w:p w:rsidR="007E21F2" w:rsidRPr="009F5FAB" w:rsidRDefault="007E21F2" w:rsidP="007E21F2">
      <w:pPr>
        <w:pStyle w:val="BodyText3"/>
        <w:tabs>
          <w:tab w:val="left" w:pos="0"/>
          <w:tab w:val="left" w:pos="900"/>
          <w:tab w:val="right" w:leader="dot" w:pos="8460"/>
        </w:tabs>
        <w:ind w:right="1151"/>
        <w:rPr>
          <w:b/>
          <w:sz w:val="22"/>
        </w:rPr>
      </w:pPr>
      <w:r w:rsidRPr="009F5FAB">
        <w:rPr>
          <w:b/>
          <w:sz w:val="22"/>
        </w:rPr>
        <w:t>4.  DISCUSSION</w:t>
      </w:r>
      <w:r w:rsidRPr="009F5FAB">
        <w:rPr>
          <w:b/>
          <w:sz w:val="22"/>
        </w:rPr>
        <w:tab/>
        <w:t>10</w:t>
      </w:r>
    </w:p>
    <w:p w:rsidR="007E21F2" w:rsidRPr="009F5FAB" w:rsidRDefault="007E21F2" w:rsidP="007E21F2">
      <w:pPr>
        <w:tabs>
          <w:tab w:val="left" w:pos="900"/>
          <w:tab w:val="right" w:leader="dot" w:pos="8460"/>
        </w:tabs>
        <w:spacing w:line="360" w:lineRule="auto"/>
        <w:jc w:val="both"/>
        <w:rPr>
          <w:sz w:val="22"/>
        </w:rPr>
      </w:pPr>
    </w:p>
    <w:p w:rsidR="007E21F2" w:rsidRPr="009F5FAB" w:rsidRDefault="007E21F2" w:rsidP="007E21F2">
      <w:pPr>
        <w:tabs>
          <w:tab w:val="left" w:pos="900"/>
          <w:tab w:val="right" w:leader="dot" w:pos="8460"/>
        </w:tabs>
        <w:spacing w:line="360" w:lineRule="auto"/>
        <w:jc w:val="both"/>
        <w:rPr>
          <w:sz w:val="22"/>
        </w:rPr>
      </w:pPr>
      <w:r w:rsidRPr="009F5FAB">
        <w:rPr>
          <w:sz w:val="22"/>
        </w:rPr>
        <w:t>5.  REFERENCES</w:t>
      </w:r>
      <w:r w:rsidRPr="009F5FAB">
        <w:rPr>
          <w:sz w:val="22"/>
        </w:rPr>
        <w:tab/>
        <w:t>18</w:t>
      </w:r>
    </w:p>
    <w:p w:rsidR="007E21F2" w:rsidRPr="009F5FAB" w:rsidRDefault="007E21F2" w:rsidP="007E21F2">
      <w:pPr>
        <w:tabs>
          <w:tab w:val="left" w:pos="360"/>
          <w:tab w:val="right" w:leader="dot" w:pos="8460"/>
        </w:tabs>
        <w:spacing w:line="360" w:lineRule="auto"/>
        <w:jc w:val="both"/>
        <w:rPr>
          <w:sz w:val="18"/>
        </w:rPr>
      </w:pPr>
    </w:p>
    <w:p w:rsidR="007E21F2" w:rsidRPr="009F5FAB" w:rsidRDefault="007E21F2" w:rsidP="007E21F2">
      <w:pPr>
        <w:tabs>
          <w:tab w:val="left" w:pos="360"/>
        </w:tabs>
        <w:spacing w:line="360" w:lineRule="auto"/>
        <w:jc w:val="both"/>
        <w:rPr>
          <w:sz w:val="22"/>
        </w:rPr>
      </w:pPr>
      <w:r w:rsidRPr="009F5FAB">
        <w:rPr>
          <w:sz w:val="18"/>
        </w:rPr>
        <w:br w:type="page"/>
      </w:r>
    </w:p>
    <w:p w:rsidR="007E21F2" w:rsidRPr="009F5FAB" w:rsidRDefault="007E21F2" w:rsidP="007E21F2">
      <w:pPr>
        <w:tabs>
          <w:tab w:val="left" w:pos="360"/>
        </w:tabs>
        <w:spacing w:line="360" w:lineRule="auto"/>
        <w:jc w:val="both"/>
        <w:rPr>
          <w:b/>
          <w:bCs/>
          <w:sz w:val="22"/>
        </w:rPr>
      </w:pPr>
      <w:r w:rsidRPr="009F5FAB">
        <w:rPr>
          <w:b/>
          <w:bCs/>
          <w:sz w:val="22"/>
        </w:rPr>
        <w:lastRenderedPageBreak/>
        <w:t>0.  SUMMARY AND CONCLUSIONS</w:t>
      </w:r>
    </w:p>
    <w:p w:rsidR="007E21F2" w:rsidRPr="009F5FAB" w:rsidRDefault="007E21F2" w:rsidP="007E21F2">
      <w:pPr>
        <w:spacing w:before="240" w:line="360" w:lineRule="auto"/>
        <w:ind w:firstLine="709"/>
        <w:jc w:val="both"/>
      </w:pPr>
      <w:r w:rsidRPr="009F5FAB">
        <w:t>The minimum burning pressure test (MBPT) has been applied to a series of ammonium nitrate matrices, both emulsions and suspensions, in accordance with the methodology developed by CANMET. The substances tested have been chosen to cover a wide range of compositions with the aim of assessing how useful the test is to establish whether an ammonium nitrate emulsion, suspension or gel, intermediate for blasting explosives (ANE), can be assigned to Division 5.1 (UN 3375) and the suitability of the substance for its transport in tanks.</w:t>
      </w:r>
    </w:p>
    <w:p w:rsidR="007E21F2" w:rsidRPr="009F5FAB" w:rsidRDefault="007E21F2" w:rsidP="007E21F2">
      <w:pPr>
        <w:pStyle w:val="BodyText"/>
        <w:spacing w:before="240" w:line="360" w:lineRule="auto"/>
        <w:ind w:firstLine="709"/>
        <w:rPr>
          <w:rFonts w:ascii="Arial" w:hAnsi="Arial"/>
        </w:rPr>
      </w:pPr>
      <w:r w:rsidRPr="009F5FAB">
        <w:rPr>
          <w:rFonts w:ascii="Arial" w:hAnsi="Arial"/>
        </w:rPr>
        <w:t xml:space="preserve">The chosen compositions are those already used in a previous study on the modified vented pipe test (MVPT), whose results were reported in document UN/SCETDG/25/INF.74. </w:t>
      </w:r>
      <w:proofErr w:type="spellStart"/>
      <w:r w:rsidRPr="009F5FAB">
        <w:rPr>
          <w:rFonts w:ascii="Arial" w:hAnsi="Arial"/>
        </w:rPr>
        <w:t>Koenen</w:t>
      </w:r>
      <w:proofErr w:type="spellEnd"/>
      <w:r w:rsidRPr="009F5FAB">
        <w:rPr>
          <w:rFonts w:ascii="Arial" w:hAnsi="Arial"/>
        </w:rPr>
        <w:t xml:space="preserve"> test results for the same compositions were also reported in the document. This way, the possibility of comparing results of the three tests was achieve</w:t>
      </w:r>
      <w:r>
        <w:rPr>
          <w:rFonts w:ascii="Arial" w:hAnsi="Arial"/>
        </w:rPr>
        <w:t>d</w:t>
      </w:r>
      <w:r w:rsidRPr="009F5FAB">
        <w:rPr>
          <w:rFonts w:ascii="Arial" w:hAnsi="Arial"/>
        </w:rPr>
        <w:t>. So, apart from evaluating the MBP results as a function of the components of the ANE candidates, the relationships between the three tests were established.</w:t>
      </w:r>
    </w:p>
    <w:p w:rsidR="007E21F2" w:rsidRPr="009F5FAB" w:rsidRDefault="007E21F2" w:rsidP="007E21F2">
      <w:pPr>
        <w:pStyle w:val="BodyText"/>
        <w:spacing w:before="240" w:line="360" w:lineRule="auto"/>
        <w:ind w:firstLine="709"/>
        <w:rPr>
          <w:rFonts w:ascii="Arial" w:hAnsi="Arial"/>
        </w:rPr>
      </w:pPr>
      <w:r w:rsidRPr="009F5FAB">
        <w:rPr>
          <w:rFonts w:ascii="Arial" w:hAnsi="Arial"/>
        </w:rPr>
        <w:t xml:space="preserve">Whereas a clear relationship between modified vented pipe test and </w:t>
      </w:r>
      <w:proofErr w:type="spellStart"/>
      <w:r w:rsidRPr="009F5FAB">
        <w:rPr>
          <w:rFonts w:ascii="Arial" w:hAnsi="Arial"/>
        </w:rPr>
        <w:t>Koenen</w:t>
      </w:r>
      <w:proofErr w:type="spellEnd"/>
      <w:r w:rsidRPr="009F5FAB">
        <w:rPr>
          <w:rFonts w:ascii="Arial" w:hAnsi="Arial"/>
        </w:rPr>
        <w:t xml:space="preserve"> tests was found, no relationships between MBPT and </w:t>
      </w:r>
      <w:proofErr w:type="spellStart"/>
      <w:r w:rsidRPr="009F5FAB">
        <w:rPr>
          <w:rFonts w:ascii="Arial" w:hAnsi="Arial"/>
        </w:rPr>
        <w:t>Koenen</w:t>
      </w:r>
      <w:proofErr w:type="spellEnd"/>
      <w:r w:rsidRPr="009F5FAB">
        <w:rPr>
          <w:rFonts w:ascii="Arial" w:hAnsi="Arial"/>
        </w:rPr>
        <w:t xml:space="preserve"> test, and MBPT and MVPT were observed.</w:t>
      </w:r>
    </w:p>
    <w:p w:rsidR="007E21F2" w:rsidRPr="009F5FAB" w:rsidRDefault="007E21F2" w:rsidP="007E21F2">
      <w:pPr>
        <w:pStyle w:val="BodyText"/>
        <w:spacing w:before="240" w:line="360" w:lineRule="auto"/>
        <w:ind w:firstLine="709"/>
        <w:rPr>
          <w:rFonts w:ascii="Arial" w:hAnsi="Arial"/>
        </w:rPr>
      </w:pPr>
      <w:r w:rsidRPr="009F5FAB">
        <w:rPr>
          <w:rFonts w:ascii="Arial" w:hAnsi="Arial"/>
        </w:rPr>
        <w:t xml:space="preserve">On the other hand, the MBP results as a function of the different components of the tested substance showed a remarkable contrary pattern to </w:t>
      </w:r>
      <w:proofErr w:type="spellStart"/>
      <w:r w:rsidRPr="009F5FAB">
        <w:rPr>
          <w:rFonts w:ascii="Arial" w:hAnsi="Arial"/>
        </w:rPr>
        <w:t>Koenen</w:t>
      </w:r>
      <w:proofErr w:type="spellEnd"/>
      <w:r w:rsidRPr="009F5FAB">
        <w:rPr>
          <w:rFonts w:ascii="Arial" w:hAnsi="Arial"/>
        </w:rPr>
        <w:t xml:space="preserve"> test and MVPT results. The presence of sodium nitrate in the substance causes a decrease in the MBP (more severe result), contrary to the </w:t>
      </w:r>
      <w:proofErr w:type="spellStart"/>
      <w:r w:rsidRPr="009F5FAB">
        <w:rPr>
          <w:rFonts w:ascii="Arial" w:hAnsi="Arial"/>
        </w:rPr>
        <w:t>Koenen</w:t>
      </w:r>
      <w:proofErr w:type="spellEnd"/>
      <w:r w:rsidRPr="009F5FAB">
        <w:rPr>
          <w:rFonts w:ascii="Arial" w:hAnsi="Arial"/>
        </w:rPr>
        <w:t xml:space="preserve"> test and MVPT results, where a decrease in the limiting diameters (less severe result) was observed. On the other hand, no different MBP results were observed between substances containing sodium nitrate or sodium perchlorate, whereas the substitution of sodium nitrate by sodium perchlorate lead to higher limiting diameters in </w:t>
      </w:r>
      <w:proofErr w:type="spellStart"/>
      <w:r w:rsidRPr="009F5FAB">
        <w:rPr>
          <w:rFonts w:ascii="Arial" w:hAnsi="Arial"/>
        </w:rPr>
        <w:t>Koenen</w:t>
      </w:r>
      <w:proofErr w:type="spellEnd"/>
      <w:r w:rsidRPr="009F5FAB">
        <w:rPr>
          <w:rFonts w:ascii="Arial" w:hAnsi="Arial"/>
        </w:rPr>
        <w:t xml:space="preserve"> test and MVPT.</w:t>
      </w:r>
    </w:p>
    <w:p w:rsidR="007E21F2" w:rsidRPr="009F5FAB" w:rsidRDefault="007E21F2" w:rsidP="007E21F2">
      <w:pPr>
        <w:pStyle w:val="BodyText"/>
        <w:spacing w:before="240" w:line="360" w:lineRule="auto"/>
        <w:ind w:firstLine="709"/>
        <w:rPr>
          <w:rFonts w:ascii="Arial" w:hAnsi="Arial"/>
        </w:rPr>
      </w:pPr>
      <w:r w:rsidRPr="009F5FAB">
        <w:rPr>
          <w:rFonts w:ascii="Arial" w:hAnsi="Arial"/>
        </w:rPr>
        <w:t xml:space="preserve">From the results obtained in this study, we can conclude that MBP test is not an alternative test to </w:t>
      </w:r>
      <w:proofErr w:type="spellStart"/>
      <w:r w:rsidRPr="009F5FAB">
        <w:rPr>
          <w:rFonts w:ascii="Arial" w:hAnsi="Arial"/>
        </w:rPr>
        <w:t>Koenen</w:t>
      </w:r>
      <w:proofErr w:type="spellEnd"/>
      <w:r w:rsidRPr="009F5FAB">
        <w:rPr>
          <w:rFonts w:ascii="Arial" w:hAnsi="Arial"/>
        </w:rPr>
        <w:t xml:space="preserve"> and modified vented pipe tests. This conclusion is not surprising if the phenomena associated with these tests are taking into account.</w:t>
      </w:r>
    </w:p>
    <w:p w:rsidR="007E21F2" w:rsidRPr="009F5FAB" w:rsidRDefault="007E21F2" w:rsidP="007E21F2">
      <w:pPr>
        <w:spacing w:before="240" w:line="360" w:lineRule="auto"/>
        <w:ind w:firstLine="709"/>
        <w:jc w:val="both"/>
      </w:pPr>
      <w:r w:rsidRPr="009F5FAB">
        <w:t xml:space="preserve">Whereas </w:t>
      </w:r>
      <w:proofErr w:type="spellStart"/>
      <w:r w:rsidRPr="009F5FAB">
        <w:t>Koenen</w:t>
      </w:r>
      <w:proofErr w:type="spellEnd"/>
      <w:r w:rsidRPr="009F5FAB">
        <w:t xml:space="preserve"> test and vented pipe test deal with a thermal explosion or cook-off phenomenon, which is a consequence of a reaction runaway in a chemical system undergoing exothermic reaction. The condition involves the near simultaneous heating of an entire inventory followed by a rapid reaction. Minimum burning pressure test is related with a deflagration phenomenon which occurs when there is an intense localized internal thermal ignition (hot spot) under pressures sufficiently high to support combustion.</w:t>
      </w:r>
    </w:p>
    <w:p w:rsidR="007E21F2" w:rsidRPr="009F5FAB" w:rsidRDefault="007E21F2" w:rsidP="007E21F2">
      <w:pPr>
        <w:tabs>
          <w:tab w:val="left" w:pos="360"/>
        </w:tabs>
        <w:spacing w:before="240" w:line="480" w:lineRule="auto"/>
        <w:jc w:val="both"/>
        <w:rPr>
          <w:b/>
          <w:bCs/>
          <w:sz w:val="22"/>
        </w:rPr>
      </w:pPr>
      <w:r w:rsidRPr="009F5FAB">
        <w:rPr>
          <w:sz w:val="18"/>
        </w:rPr>
        <w:br w:type="page"/>
      </w:r>
      <w:r w:rsidRPr="009F5FAB">
        <w:rPr>
          <w:b/>
          <w:bCs/>
          <w:sz w:val="22"/>
        </w:rPr>
        <w:lastRenderedPageBreak/>
        <w:t>1.  INTRODUCTION</w:t>
      </w:r>
    </w:p>
    <w:p w:rsidR="007E21F2" w:rsidRPr="00D374F3" w:rsidRDefault="007E21F2" w:rsidP="007E21F2">
      <w:pPr>
        <w:spacing w:before="240" w:line="360" w:lineRule="auto"/>
        <w:ind w:firstLine="709"/>
        <w:jc w:val="both"/>
      </w:pPr>
      <w:r w:rsidRPr="00D374F3">
        <w:t xml:space="preserve">It is well known that water-based explosives or precursors can sustain combustion only when the ambient pressure is held above some threshold value which is denominated minimum burning pressure (MBP). The pumping operations are frequent on manufacturing and use of these energetic materials, so the product can be undergone to high pressures. Accordingly, knowing the MBP of the involved material is very useful in order to evaluate the risk on the pumping operations. Therefore, substantial efforts have been carried out to have a suitable test to determine the minimum burning pressure of a substance. </w:t>
      </w:r>
    </w:p>
    <w:p w:rsidR="007E21F2" w:rsidRPr="009F5FAB" w:rsidRDefault="007E21F2" w:rsidP="007E21F2">
      <w:pPr>
        <w:spacing w:before="240" w:line="360" w:lineRule="auto"/>
        <w:ind w:firstLine="709"/>
        <w:jc w:val="both"/>
      </w:pPr>
      <w:r w:rsidRPr="00D374F3">
        <w:t>At the th</w:t>
      </w:r>
      <w:r w:rsidRPr="009F5FAB">
        <w:t xml:space="preserve">irty-seventh session of the Sub-Committee of Experts on the Transport of Dangerous Goods, the expert from Canada presented the document UN/SCETDG/37/INF.41 ‘On the use of the minimum burning pressure test as an alternative Series 8 Test’ </w:t>
      </w:r>
      <w:r w:rsidRPr="009F5FAB">
        <w:rPr>
          <w:b/>
        </w:rPr>
        <w:t>(1)</w:t>
      </w:r>
      <w:r w:rsidRPr="009F5FAB">
        <w:t>. The document revealed some comparative data between bulk and cartridge emulsions, although the detailed composition</w:t>
      </w:r>
      <w:r>
        <w:t>s</w:t>
      </w:r>
      <w:r w:rsidRPr="009F5FAB">
        <w:t xml:space="preserve"> w</w:t>
      </w:r>
      <w:r>
        <w:t>ere</w:t>
      </w:r>
      <w:r w:rsidRPr="009F5FAB">
        <w:t xml:space="preserve"> not described, concluding that the water content of the substance had an important effect on the test results.  That document included a proposal saying: </w:t>
      </w:r>
    </w:p>
    <w:p w:rsidR="007E21F2" w:rsidRPr="009F5FAB" w:rsidRDefault="007E21F2" w:rsidP="007E21F2">
      <w:pPr>
        <w:spacing w:before="240" w:line="360" w:lineRule="auto"/>
        <w:jc w:val="both"/>
      </w:pPr>
      <w:r w:rsidRPr="009F5FAB">
        <w:rPr>
          <w:i/>
        </w:rPr>
        <w:t xml:space="preserve">That the Working Group considers the potential merit of including the MBP test as an alternative to the current 8(d) test. For example, as an alternative to the 8(d) test, UN 3375 could be restricted to those products with MBP values above 5.6 </w:t>
      </w:r>
      <w:proofErr w:type="spellStart"/>
      <w:r w:rsidRPr="009F5FAB">
        <w:rPr>
          <w:i/>
        </w:rPr>
        <w:t>MPa</w:t>
      </w:r>
      <w:proofErr w:type="spellEnd"/>
      <w:r w:rsidRPr="009F5FAB">
        <w:rPr>
          <w:i/>
        </w:rPr>
        <w:t xml:space="preserve"> (800 psig)</w:t>
      </w:r>
      <w:r w:rsidRPr="009F5FAB">
        <w:t>.</w:t>
      </w:r>
    </w:p>
    <w:p w:rsidR="007E21F2" w:rsidRPr="009F5FAB" w:rsidRDefault="007E21F2" w:rsidP="007E21F2">
      <w:pPr>
        <w:spacing w:before="240" w:line="360" w:lineRule="auto"/>
        <w:ind w:firstLine="709"/>
        <w:jc w:val="both"/>
      </w:pPr>
      <w:r w:rsidRPr="009F5FAB">
        <w:t xml:space="preserve">During the discussion of this document at the Working Group on Explosives </w:t>
      </w:r>
      <w:r w:rsidRPr="009F5FAB">
        <w:rPr>
          <w:b/>
        </w:rPr>
        <w:t xml:space="preserve">(2), </w:t>
      </w:r>
      <w:r w:rsidRPr="009F5FAB">
        <w:t>comparative results between the proposed test as alternative (MBPT) and current 8(d) tests were not given.  The working group noted that it was a basic principle that when evaluating alternative tests, comparability with existing tests was required. The conclusion of the working group was:</w:t>
      </w:r>
    </w:p>
    <w:p w:rsidR="007E21F2" w:rsidRPr="009F5FAB" w:rsidRDefault="007E21F2" w:rsidP="007E21F2">
      <w:pPr>
        <w:spacing w:before="240" w:line="360" w:lineRule="auto"/>
        <w:jc w:val="both"/>
      </w:pPr>
      <w:r w:rsidRPr="009F5FAB">
        <w:rPr>
          <w:i/>
        </w:rPr>
        <w:t>The working group agreed that the MBP test might be a good way forward in evaluating the hazards associated with tank transportation of ANEs. Many members offered to perform some tests to help with the further evaluation of the MBP test</w:t>
      </w:r>
      <w:r w:rsidRPr="009F5FAB">
        <w:t>.</w:t>
      </w:r>
    </w:p>
    <w:p w:rsidR="007E21F2" w:rsidRPr="009F5FAB" w:rsidRDefault="007E21F2" w:rsidP="007E21F2">
      <w:pPr>
        <w:spacing w:before="240" w:line="360" w:lineRule="auto"/>
        <w:ind w:firstLine="709"/>
        <w:jc w:val="both"/>
      </w:pPr>
      <w:r w:rsidRPr="009F5FAB">
        <w:t xml:space="preserve">Due to the lack of existing data to perform a comparative study between different tests, </w:t>
      </w:r>
      <w:proofErr w:type="spellStart"/>
      <w:r w:rsidRPr="009F5FAB">
        <w:t>Maxam</w:t>
      </w:r>
      <w:proofErr w:type="spellEnd"/>
      <w:r w:rsidRPr="009F5FAB">
        <w:t xml:space="preserve"> undertook a project to determine the MBP values for all emulsions and suspensions used on the development of 8(d) (ii) Test, the modified vent pipe test </w:t>
      </w:r>
      <w:r w:rsidRPr="009F5FAB">
        <w:rPr>
          <w:b/>
        </w:rPr>
        <w:t xml:space="preserve">(3). </w:t>
      </w:r>
      <w:r>
        <w:t>T</w:t>
      </w:r>
      <w:r w:rsidRPr="009F5FAB">
        <w:t xml:space="preserve">he results of limiting vent diameter (LD) of the modified vent pipe test and the </w:t>
      </w:r>
      <w:proofErr w:type="spellStart"/>
      <w:r w:rsidRPr="009F5FAB">
        <w:t>Koenen</w:t>
      </w:r>
      <w:proofErr w:type="spellEnd"/>
      <w:r w:rsidRPr="009F5FAB">
        <w:t xml:space="preserve"> test for 15 bulk emulsions and 7 bulk suspensions with diverse components</w:t>
      </w:r>
      <w:r w:rsidRPr="009F5FAB">
        <w:rPr>
          <w:b/>
        </w:rPr>
        <w:t xml:space="preserve"> </w:t>
      </w:r>
      <w:r w:rsidRPr="009F5FAB">
        <w:t>were described</w:t>
      </w:r>
      <w:r w:rsidRPr="009F5FAB">
        <w:rPr>
          <w:b/>
        </w:rPr>
        <w:t xml:space="preserve"> </w:t>
      </w:r>
      <w:r>
        <w:t>a</w:t>
      </w:r>
      <w:r w:rsidRPr="009F5FAB">
        <w:t>t the document</w:t>
      </w:r>
      <w:r w:rsidRPr="009F5FAB">
        <w:rPr>
          <w:b/>
        </w:rPr>
        <w:t xml:space="preserve"> </w:t>
      </w:r>
      <w:r w:rsidRPr="009F5FAB">
        <w:t xml:space="preserve">UN/SCETDG/25/INF.74 </w:t>
      </w:r>
      <w:r w:rsidRPr="009F5FAB">
        <w:rPr>
          <w:b/>
        </w:rPr>
        <w:t>(3)</w:t>
      </w:r>
      <w:r w:rsidRPr="009F5FAB">
        <w:t>.</w:t>
      </w:r>
    </w:p>
    <w:p w:rsidR="007E21F2" w:rsidRPr="009F5FAB" w:rsidRDefault="007E21F2" w:rsidP="007E21F2">
      <w:pPr>
        <w:spacing w:before="240" w:line="360" w:lineRule="auto"/>
        <w:ind w:firstLine="709"/>
        <w:jc w:val="both"/>
      </w:pPr>
      <w:r w:rsidRPr="009F5FAB">
        <w:t>.</w:t>
      </w:r>
    </w:p>
    <w:p w:rsidR="007E21F2" w:rsidRPr="009F5FAB" w:rsidRDefault="007E21F2" w:rsidP="007E21F2">
      <w:pPr>
        <w:spacing w:before="240" w:line="360" w:lineRule="auto"/>
        <w:ind w:firstLine="709"/>
        <w:jc w:val="both"/>
      </w:pPr>
      <w:r w:rsidRPr="009F5FAB">
        <w:t xml:space="preserve">In order to obtain conclusive data determining the minimum burning pressure for the different considered ANEs, the same equipment and procedure, established by the CANMET, has been used.  </w:t>
      </w:r>
      <w:r w:rsidRPr="00122482">
        <w:t xml:space="preserve">To this end, </w:t>
      </w:r>
      <w:r w:rsidRPr="00122482">
        <w:lastRenderedPageBreak/>
        <w:t>several conversations were held with technical staff of the site, and also comparative tests were carried out, verifying similar results.</w:t>
      </w:r>
    </w:p>
    <w:p w:rsidR="007E21F2" w:rsidRPr="009F5FAB" w:rsidRDefault="007E21F2" w:rsidP="007E21F2">
      <w:pPr>
        <w:spacing w:before="240" w:line="360" w:lineRule="auto"/>
        <w:ind w:firstLine="709"/>
        <w:jc w:val="both"/>
      </w:pPr>
      <w:r w:rsidRPr="009F5FAB">
        <w:t xml:space="preserve">The possible correlations between the three tests have been </w:t>
      </w:r>
      <w:proofErr w:type="gramStart"/>
      <w:r w:rsidRPr="009F5FAB">
        <w:t>studied  with</w:t>
      </w:r>
      <w:proofErr w:type="gramEnd"/>
      <w:r w:rsidRPr="009F5FAB">
        <w:t xml:space="preserve"> the results obtained in the MBP measures and those corresponding to the </w:t>
      </w:r>
      <w:proofErr w:type="spellStart"/>
      <w:r w:rsidRPr="009F5FAB">
        <w:t>Koenen</w:t>
      </w:r>
      <w:proofErr w:type="spellEnd"/>
      <w:r w:rsidRPr="009F5FAB">
        <w:t xml:space="preserve"> test and modified vented pipe test, already described at the document UN/SCETDG/25/INF.74 </w:t>
      </w:r>
      <w:r w:rsidRPr="00F02E38">
        <w:rPr>
          <w:b/>
        </w:rPr>
        <w:t>(3)</w:t>
      </w:r>
      <w:r w:rsidRPr="009F5FAB">
        <w:t>.</w:t>
      </w:r>
    </w:p>
    <w:p w:rsidR="007E21F2" w:rsidRPr="009F5FAB" w:rsidRDefault="007E21F2" w:rsidP="007E21F2">
      <w:pPr>
        <w:spacing w:before="240" w:line="360" w:lineRule="auto"/>
        <w:jc w:val="both"/>
        <w:rPr>
          <w:b/>
          <w:bCs/>
          <w:sz w:val="22"/>
        </w:rPr>
      </w:pPr>
      <w:r w:rsidRPr="009F5FAB">
        <w:br w:type="page"/>
      </w:r>
      <w:r w:rsidR="002714EF">
        <w:rPr>
          <w:b/>
          <w:bCs/>
          <w:sz w:val="22"/>
        </w:rPr>
        <w:lastRenderedPageBreak/>
        <w:t xml:space="preserve">2. </w:t>
      </w:r>
      <w:r w:rsidRPr="009F5FAB">
        <w:rPr>
          <w:b/>
          <w:bCs/>
          <w:sz w:val="22"/>
        </w:rPr>
        <w:t>EXPERIMENTAL</w:t>
      </w:r>
    </w:p>
    <w:p w:rsidR="007E21F2" w:rsidRPr="009F5FAB" w:rsidRDefault="002714EF" w:rsidP="007E21F2">
      <w:pPr>
        <w:spacing w:before="240" w:line="360" w:lineRule="auto"/>
        <w:jc w:val="both"/>
        <w:rPr>
          <w:b/>
          <w:sz w:val="22"/>
        </w:rPr>
      </w:pPr>
      <w:r>
        <w:rPr>
          <w:b/>
          <w:sz w:val="22"/>
        </w:rPr>
        <w:t xml:space="preserve">2.1. </w:t>
      </w:r>
      <w:r w:rsidR="007E21F2" w:rsidRPr="009F5FAB">
        <w:rPr>
          <w:b/>
          <w:sz w:val="22"/>
        </w:rPr>
        <w:t>Apparatus and procedure</w:t>
      </w:r>
    </w:p>
    <w:p w:rsidR="007E21F2" w:rsidRPr="009F5FAB" w:rsidRDefault="007E21F2" w:rsidP="007E21F2">
      <w:pPr>
        <w:spacing w:before="240" w:line="360" w:lineRule="auto"/>
        <w:ind w:firstLine="709"/>
        <w:jc w:val="both"/>
      </w:pPr>
      <w:r w:rsidRPr="009F5FAB">
        <w:t xml:space="preserve">The MBP for every sample was determined using the methodology developed by CANMET </w:t>
      </w:r>
      <w:r w:rsidRPr="009F5FAB">
        <w:rPr>
          <w:b/>
        </w:rPr>
        <w:t>(4, 5)</w:t>
      </w:r>
      <w:r w:rsidRPr="009F5FAB">
        <w:t xml:space="preserve">. Measurements were performed in a 4 L pressure vessel (Autoclave Engineers, 4 </w:t>
      </w:r>
      <w:proofErr w:type="spellStart"/>
      <w:r w:rsidRPr="009F5FAB">
        <w:t>Liter</w:t>
      </w:r>
      <w:proofErr w:type="spellEnd"/>
      <w:r w:rsidRPr="009F5FAB">
        <w:t xml:space="preserve"> EZE-Seal General Arrangement, model 401A-9344) with no venting during testing. Purging and pressurizing were performed by using high pressure nitrogen cylinders.</w:t>
      </w:r>
    </w:p>
    <w:p w:rsidR="007E21F2" w:rsidRPr="009F5FAB" w:rsidRDefault="007E21F2" w:rsidP="007E21F2">
      <w:pPr>
        <w:spacing w:before="240" w:line="360" w:lineRule="auto"/>
        <w:jc w:val="both"/>
      </w:pPr>
    </w:p>
    <w:tbl>
      <w:tblPr>
        <w:tblW w:w="9411" w:type="dxa"/>
        <w:tblLook w:val="04A0" w:firstRow="1" w:lastRow="0" w:firstColumn="1" w:lastColumn="0" w:noHBand="0" w:noVBand="1"/>
      </w:tblPr>
      <w:tblGrid>
        <w:gridCol w:w="4876"/>
        <w:gridCol w:w="4535"/>
      </w:tblGrid>
      <w:tr w:rsidR="007E21F2" w:rsidRPr="009F5FAB" w:rsidTr="00F742DF">
        <w:trPr>
          <w:trHeight w:val="3458"/>
        </w:trPr>
        <w:tc>
          <w:tcPr>
            <w:tcW w:w="4876" w:type="dxa"/>
            <w:vMerge w:val="restart"/>
            <w:shd w:val="clear" w:color="auto" w:fill="auto"/>
          </w:tcPr>
          <w:p w:rsidR="007E21F2" w:rsidRPr="009F5FAB" w:rsidRDefault="007E21F2" w:rsidP="00F742DF">
            <w:pPr>
              <w:spacing w:before="240" w:line="360" w:lineRule="auto"/>
              <w:jc w:val="both"/>
              <w:rPr>
                <w:sz w:val="22"/>
              </w:rPr>
            </w:pPr>
            <w:r>
              <w:rPr>
                <w:noProof/>
                <w:sz w:val="22"/>
                <w:lang w:eastAsia="en-GB"/>
              </w:rPr>
              <w:drawing>
                <wp:inline distT="0" distB="0" distL="0" distR="0">
                  <wp:extent cx="2486660" cy="3664585"/>
                  <wp:effectExtent l="0" t="0" r="8890" b="0"/>
                  <wp:docPr id="7" name="Picture 7" descr="P000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066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660" cy="3664585"/>
                          </a:xfrm>
                          <a:prstGeom prst="rect">
                            <a:avLst/>
                          </a:prstGeom>
                          <a:noFill/>
                          <a:ln>
                            <a:noFill/>
                          </a:ln>
                        </pic:spPr>
                      </pic:pic>
                    </a:graphicData>
                  </a:graphic>
                </wp:inline>
              </w:drawing>
            </w:r>
          </w:p>
        </w:tc>
        <w:tc>
          <w:tcPr>
            <w:tcW w:w="4535" w:type="dxa"/>
            <w:shd w:val="clear" w:color="auto" w:fill="auto"/>
            <w:vAlign w:val="bottom"/>
          </w:tcPr>
          <w:p w:rsidR="007E21F2" w:rsidRPr="009F5FAB" w:rsidRDefault="007E21F2" w:rsidP="00F742DF">
            <w:pPr>
              <w:spacing w:before="240" w:line="360" w:lineRule="auto"/>
              <w:jc w:val="center"/>
              <w:rPr>
                <w:sz w:val="22"/>
              </w:rPr>
            </w:pPr>
            <w:r>
              <w:rPr>
                <w:noProof/>
                <w:sz w:val="22"/>
                <w:lang w:eastAsia="en-GB"/>
              </w:rPr>
              <w:drawing>
                <wp:inline distT="0" distB="0" distL="0" distR="0">
                  <wp:extent cx="2694940" cy="1406525"/>
                  <wp:effectExtent l="0" t="0" r="0" b="3175"/>
                  <wp:docPr id="6" name="Picture 6" descr="Muest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estra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4940" cy="1406525"/>
                          </a:xfrm>
                          <a:prstGeom prst="rect">
                            <a:avLst/>
                          </a:prstGeom>
                          <a:noFill/>
                          <a:ln>
                            <a:noFill/>
                          </a:ln>
                        </pic:spPr>
                      </pic:pic>
                    </a:graphicData>
                  </a:graphic>
                </wp:inline>
              </w:drawing>
            </w:r>
          </w:p>
        </w:tc>
      </w:tr>
      <w:tr w:rsidR="007E21F2" w:rsidRPr="009F5FAB" w:rsidTr="00F742DF">
        <w:trPr>
          <w:trHeight w:val="1984"/>
        </w:trPr>
        <w:tc>
          <w:tcPr>
            <w:tcW w:w="4876" w:type="dxa"/>
            <w:vMerge/>
            <w:shd w:val="clear" w:color="auto" w:fill="auto"/>
          </w:tcPr>
          <w:p w:rsidR="007E21F2" w:rsidRPr="009F5FAB" w:rsidRDefault="007E21F2" w:rsidP="00F742DF">
            <w:pPr>
              <w:spacing w:before="240" w:line="360" w:lineRule="auto"/>
              <w:jc w:val="both"/>
              <w:rPr>
                <w:sz w:val="22"/>
              </w:rPr>
            </w:pPr>
          </w:p>
        </w:tc>
        <w:tc>
          <w:tcPr>
            <w:tcW w:w="4535" w:type="dxa"/>
            <w:shd w:val="clear" w:color="auto" w:fill="auto"/>
            <w:vAlign w:val="bottom"/>
          </w:tcPr>
          <w:p w:rsidR="007E21F2" w:rsidRPr="009F5FAB" w:rsidRDefault="007E21F2" w:rsidP="00F742DF">
            <w:pPr>
              <w:spacing w:before="240" w:line="360" w:lineRule="auto"/>
              <w:jc w:val="center"/>
              <w:rPr>
                <w:sz w:val="22"/>
              </w:rPr>
            </w:pPr>
            <w:r>
              <w:rPr>
                <w:noProof/>
                <w:sz w:val="22"/>
                <w:lang w:eastAsia="en-GB"/>
              </w:rPr>
              <w:drawing>
                <wp:inline distT="0" distB="0" distL="0" distR="0">
                  <wp:extent cx="2680970" cy="1330325"/>
                  <wp:effectExtent l="0" t="0" r="5080" b="3175"/>
                  <wp:docPr id="5" name="Picture 5" descr="Muest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stra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0970" cy="1330325"/>
                          </a:xfrm>
                          <a:prstGeom prst="rect">
                            <a:avLst/>
                          </a:prstGeom>
                          <a:noFill/>
                          <a:ln>
                            <a:noFill/>
                          </a:ln>
                        </pic:spPr>
                      </pic:pic>
                    </a:graphicData>
                  </a:graphic>
                </wp:inline>
              </w:drawing>
            </w:r>
          </w:p>
        </w:tc>
      </w:tr>
      <w:tr w:rsidR="007E21F2" w:rsidRPr="009F5FAB" w:rsidTr="00F742DF">
        <w:tc>
          <w:tcPr>
            <w:tcW w:w="4876" w:type="dxa"/>
            <w:shd w:val="clear" w:color="auto" w:fill="auto"/>
          </w:tcPr>
          <w:p w:rsidR="007E21F2" w:rsidRPr="009F5FAB" w:rsidRDefault="007E21F2" w:rsidP="00F742DF">
            <w:pPr>
              <w:spacing w:before="240" w:line="360" w:lineRule="auto"/>
              <w:jc w:val="both"/>
              <w:rPr>
                <w:b/>
                <w:sz w:val="18"/>
                <w:szCs w:val="18"/>
              </w:rPr>
            </w:pPr>
            <w:r w:rsidRPr="009F5FAB">
              <w:rPr>
                <w:b/>
                <w:sz w:val="18"/>
                <w:szCs w:val="18"/>
              </w:rPr>
              <w:t>Figure 1. Pressure vessel</w:t>
            </w:r>
          </w:p>
        </w:tc>
        <w:tc>
          <w:tcPr>
            <w:tcW w:w="4535" w:type="dxa"/>
            <w:shd w:val="clear" w:color="auto" w:fill="auto"/>
          </w:tcPr>
          <w:p w:rsidR="007E21F2" w:rsidRPr="009F5FAB" w:rsidRDefault="007E21F2" w:rsidP="00F742DF">
            <w:pPr>
              <w:spacing w:before="240" w:line="360" w:lineRule="auto"/>
              <w:rPr>
                <w:b/>
                <w:sz w:val="18"/>
                <w:szCs w:val="18"/>
              </w:rPr>
            </w:pPr>
            <w:r w:rsidRPr="009F5FAB">
              <w:rPr>
                <w:b/>
                <w:sz w:val="18"/>
                <w:szCs w:val="18"/>
              </w:rPr>
              <w:t>Figure 2. Test cell</w:t>
            </w:r>
          </w:p>
        </w:tc>
      </w:tr>
    </w:tbl>
    <w:p w:rsidR="007E21F2" w:rsidRPr="009F5FAB" w:rsidRDefault="007E21F2" w:rsidP="007E21F2">
      <w:pPr>
        <w:spacing w:before="240" w:line="360" w:lineRule="auto"/>
        <w:ind w:firstLine="709"/>
        <w:jc w:val="both"/>
      </w:pPr>
      <w:r w:rsidRPr="009F5FAB">
        <w:t>The sample was introduced into a cylindrical stainless steel cell which was placed horizontally. The steel tube had an inner diameter of 13.2 mm and a length of 70 mm. The tube had a slit machined along the top portion of the tube with a width of 3 mm and a length of 53 mm.</w:t>
      </w:r>
    </w:p>
    <w:p w:rsidR="007E21F2" w:rsidRPr="009F5FAB" w:rsidRDefault="007E21F2" w:rsidP="007E21F2">
      <w:pPr>
        <w:spacing w:before="240" w:line="360" w:lineRule="auto"/>
        <w:ind w:firstLine="709"/>
        <w:jc w:val="both"/>
      </w:pPr>
      <w:r w:rsidRPr="009F5FAB">
        <w:t xml:space="preserve">The sample was ignited at room temperature, using a straight length of </w:t>
      </w:r>
      <w:proofErr w:type="spellStart"/>
      <w:r w:rsidRPr="009F5FAB">
        <w:t>nichrome</w:t>
      </w:r>
      <w:proofErr w:type="spellEnd"/>
      <w:r w:rsidRPr="009F5FAB">
        <w:t xml:space="preserve"> wire (</w:t>
      </w:r>
      <w:proofErr w:type="spellStart"/>
      <w:r w:rsidRPr="009F5FAB">
        <w:t>Thyssenkrupp</w:t>
      </w:r>
      <w:proofErr w:type="spellEnd"/>
      <w:r w:rsidRPr="009F5FAB">
        <w:t xml:space="preserve"> Ni/Cr 60/15) having a diameter of 0.5 mm, a length of 50 mm and a nominal resistance of 5.731 </w:t>
      </w:r>
      <w:r w:rsidRPr="009F5FAB">
        <w:sym w:font="Symbol" w:char="F057"/>
      </w:r>
      <w:r w:rsidRPr="009F5FAB">
        <w:t>.m</w:t>
      </w:r>
      <w:r w:rsidRPr="009F5FAB">
        <w:rPr>
          <w:vertAlign w:val="superscript"/>
        </w:rPr>
        <w:t>-1</w:t>
      </w:r>
      <w:r w:rsidRPr="009F5FAB">
        <w:t xml:space="preserve">. When the pressure vessel was set to the desired initial pressure, a constant current of 10 A was supplied to the hot wire. </w:t>
      </w:r>
      <w:r w:rsidRPr="009F5FAB">
        <w:lastRenderedPageBreak/>
        <w:t xml:space="preserve">This current was provided by a TTI DC power supply unit, model TSX 1820. Usually, the wire melted before 10 s.  In cases in which the </w:t>
      </w:r>
      <w:r>
        <w:t>wire</w:t>
      </w:r>
      <w:r w:rsidRPr="009F5FAB">
        <w:t xml:space="preserve"> did not come to melt, the power supply unit was switched off after 20 seconds.</w:t>
      </w:r>
    </w:p>
    <w:p w:rsidR="007E21F2" w:rsidRPr="009F5FAB" w:rsidRDefault="007E21F2" w:rsidP="007E21F2">
      <w:pPr>
        <w:spacing w:before="240" w:line="360" w:lineRule="auto"/>
        <w:ind w:firstLine="709"/>
        <w:jc w:val="both"/>
      </w:pPr>
      <w:r w:rsidRPr="009F5FAB">
        <w:t xml:space="preserve">The pressure in the vessel was monitored using a </w:t>
      </w:r>
      <w:proofErr w:type="spellStart"/>
      <w:r w:rsidRPr="009F5FAB">
        <w:t>Setra</w:t>
      </w:r>
      <w:proofErr w:type="spellEnd"/>
      <w:r w:rsidRPr="009F5FAB">
        <w:t xml:space="preserve"> pressure transmitter model C206 (0-20.68 </w:t>
      </w:r>
      <w:proofErr w:type="spellStart"/>
      <w:r w:rsidRPr="009F5FAB">
        <w:t>MPa</w:t>
      </w:r>
      <w:proofErr w:type="spellEnd"/>
      <w:r w:rsidRPr="009F5FAB">
        <w:t xml:space="preserve">) and the data acquisition system consisted of a </w:t>
      </w:r>
      <w:proofErr w:type="spellStart"/>
      <w:r w:rsidRPr="009F5FAB">
        <w:t>Testo</w:t>
      </w:r>
      <w:proofErr w:type="spellEnd"/>
      <w:r w:rsidRPr="009F5FAB">
        <w:t xml:space="preserve"> </w:t>
      </w:r>
      <w:proofErr w:type="spellStart"/>
      <w:r w:rsidRPr="009F5FAB">
        <w:t>datalogger</w:t>
      </w:r>
      <w:proofErr w:type="spellEnd"/>
      <w:r w:rsidRPr="009F5FAB">
        <w:t xml:space="preserve"> model 175-S1, which was connected to a PC by a RS232 interface.</w:t>
      </w:r>
    </w:p>
    <w:p w:rsidR="007E21F2" w:rsidRPr="009F5FAB" w:rsidRDefault="007E21F2" w:rsidP="007E21F2">
      <w:pPr>
        <w:spacing w:before="240" w:line="360" w:lineRule="auto"/>
        <w:ind w:firstLine="709"/>
        <w:jc w:val="both"/>
      </w:pPr>
      <w:r w:rsidRPr="009F5FAB">
        <w:t>The procedure to perform the MBP measurements was based on classifying the outcomes as “go“ or “no-go”, considering a “go” outcome when at least a 70 % in weight of the sample was consumed. If the result was a “go”, the initial pressure was lowered for the following test. If the result was a “no-go”, the initial pressure was increased. This process was repeated several times until the MBP was got with the required accuracy.</w:t>
      </w:r>
    </w:p>
    <w:p w:rsidR="007E21F2" w:rsidRPr="009F5FAB" w:rsidRDefault="007E21F2" w:rsidP="007E21F2">
      <w:pPr>
        <w:spacing w:before="240" w:line="360" w:lineRule="auto"/>
        <w:jc w:val="both"/>
        <w:rPr>
          <w:b/>
          <w:sz w:val="22"/>
        </w:rPr>
      </w:pPr>
      <w:r w:rsidRPr="009F5FAB">
        <w:rPr>
          <w:b/>
          <w:sz w:val="22"/>
        </w:rPr>
        <w:t>2.2. Tested substances</w:t>
      </w:r>
    </w:p>
    <w:p w:rsidR="007E21F2" w:rsidRPr="009F5FAB" w:rsidRDefault="007E21F2" w:rsidP="007E21F2">
      <w:pPr>
        <w:pStyle w:val="BodyText"/>
        <w:spacing w:before="240" w:line="360" w:lineRule="auto"/>
        <w:ind w:firstLine="708"/>
        <w:rPr>
          <w:rFonts w:ascii="Arial" w:hAnsi="Arial"/>
        </w:rPr>
      </w:pPr>
      <w:r w:rsidRPr="009F5FAB">
        <w:rPr>
          <w:rFonts w:ascii="Arial" w:hAnsi="Arial"/>
        </w:rPr>
        <w:t>With the objective of assessing whether this test can distinguish between different substances from the point of view of risk during transport, a series of compositions have been chosen that cover a wide range of emulsions, as well as suspensions. These compositions were once used to evaluate the modified vented pipe test, as well as to analy</w:t>
      </w:r>
      <w:r>
        <w:rPr>
          <w:rFonts w:ascii="Arial" w:hAnsi="Arial"/>
        </w:rPr>
        <w:t>s</w:t>
      </w:r>
      <w:r w:rsidRPr="009F5FAB">
        <w:rPr>
          <w:rFonts w:ascii="Arial" w:hAnsi="Arial"/>
        </w:rPr>
        <w:t xml:space="preserve">e its correlation with the </w:t>
      </w:r>
      <w:proofErr w:type="spellStart"/>
      <w:r w:rsidRPr="009F5FAB">
        <w:rPr>
          <w:rFonts w:ascii="Arial" w:hAnsi="Arial"/>
        </w:rPr>
        <w:t>Koenen</w:t>
      </w:r>
      <w:proofErr w:type="spellEnd"/>
      <w:r w:rsidRPr="009F5FAB">
        <w:rPr>
          <w:rFonts w:ascii="Arial" w:hAnsi="Arial"/>
        </w:rPr>
        <w:t xml:space="preserve"> Test </w:t>
      </w:r>
      <w:r w:rsidRPr="009F5FAB">
        <w:rPr>
          <w:rFonts w:ascii="Arial" w:hAnsi="Arial"/>
          <w:b/>
        </w:rPr>
        <w:t>(3)</w:t>
      </w:r>
      <w:r w:rsidRPr="009F5FAB">
        <w:rPr>
          <w:rFonts w:ascii="Arial" w:hAnsi="Arial"/>
        </w:rPr>
        <w:t>.</w:t>
      </w:r>
    </w:p>
    <w:p w:rsidR="007E21F2" w:rsidRPr="009F5FAB" w:rsidRDefault="007E21F2" w:rsidP="007E21F2">
      <w:pPr>
        <w:spacing w:before="240" w:line="360" w:lineRule="auto"/>
        <w:ind w:firstLine="708"/>
        <w:jc w:val="both"/>
      </w:pPr>
      <w:r w:rsidRPr="009F5FAB">
        <w:t>Twelve different emulsions were tested that included different water content, the presence of sodium perchlorate and sodium nitrate, together with different types and percentages of emulsifiers (PIBSA and SMO types).</w:t>
      </w:r>
    </w:p>
    <w:p w:rsidR="007E21F2" w:rsidRPr="009F5FAB" w:rsidRDefault="007E21F2" w:rsidP="007E21F2">
      <w:pPr>
        <w:spacing w:before="240" w:line="360" w:lineRule="auto"/>
        <w:ind w:firstLine="708"/>
        <w:jc w:val="both"/>
      </w:pPr>
      <w:r w:rsidRPr="009F5FAB">
        <w:t>With the same criteria in the compositions, seven suspension formulations have been chosen. Compositions with sodium perchlorate, methylamine nitrate, and hexamine nitrate were included, as well as one without any of those components.</w:t>
      </w:r>
    </w:p>
    <w:p w:rsidR="007E21F2" w:rsidRPr="009F5FAB" w:rsidRDefault="007E21F2" w:rsidP="007E21F2">
      <w:pPr>
        <w:pStyle w:val="BodyText"/>
        <w:spacing w:before="240" w:line="360" w:lineRule="auto"/>
        <w:ind w:firstLine="708"/>
        <w:rPr>
          <w:rFonts w:ascii="Arial" w:hAnsi="Arial"/>
        </w:rPr>
      </w:pPr>
      <w:r w:rsidRPr="009F5FAB">
        <w:rPr>
          <w:rFonts w:ascii="Arial" w:hAnsi="Arial"/>
        </w:rPr>
        <w:t>The specified compositions of the substances, used in this study, are shown in Table 1. In all cases the viscosity was found to be between 30 and 60 Pa</w:t>
      </w:r>
      <w:r w:rsidRPr="009F5FAB">
        <w:rPr>
          <w:rFonts w:ascii="Arial" w:hAnsi="Arial"/>
        </w:rPr>
        <w:sym w:font="Symbol" w:char="F0D7"/>
      </w:r>
      <w:r w:rsidRPr="009F5FAB">
        <w:rPr>
          <w:rFonts w:ascii="Arial" w:hAnsi="Arial"/>
        </w:rPr>
        <w:t>s.</w:t>
      </w:r>
    </w:p>
    <w:p w:rsidR="007E21F2" w:rsidRPr="009F5FAB" w:rsidRDefault="007E21F2" w:rsidP="007E21F2">
      <w:pPr>
        <w:spacing w:line="360" w:lineRule="auto"/>
        <w:jc w:val="both"/>
        <w:rPr>
          <w:sz w:val="22"/>
        </w:rPr>
      </w:pPr>
    </w:p>
    <w:p w:rsidR="007E21F2" w:rsidRPr="009F5FAB" w:rsidRDefault="007E21F2" w:rsidP="007E21F2">
      <w:pPr>
        <w:spacing w:line="360" w:lineRule="auto"/>
        <w:jc w:val="both"/>
        <w:rPr>
          <w:sz w:val="22"/>
        </w:rPr>
        <w:sectPr w:rsidR="007E21F2" w:rsidRPr="009F5FAB" w:rsidSect="00600498">
          <w:headerReference w:type="default" r:id="rId17"/>
          <w:footerReference w:type="default" r:id="rId18"/>
          <w:headerReference w:type="first" r:id="rId19"/>
          <w:footerReference w:type="first" r:id="rId20"/>
          <w:pgSz w:w="11906" w:h="16838" w:code="9"/>
          <w:pgMar w:top="2268" w:right="1134" w:bottom="1418" w:left="1701" w:header="851" w:footer="851" w:gutter="0"/>
          <w:pgNumType w:start="1"/>
          <w:cols w:space="708"/>
          <w:docGrid w:linePitch="360"/>
        </w:sectPr>
      </w:pPr>
    </w:p>
    <w:p w:rsidR="007E21F2" w:rsidRPr="009F5FAB" w:rsidRDefault="007E21F2" w:rsidP="007E21F2">
      <w:pPr>
        <w:spacing w:line="360" w:lineRule="auto"/>
        <w:jc w:val="center"/>
        <w:rPr>
          <w:b/>
          <w:bCs/>
          <w:sz w:val="16"/>
          <w:szCs w:val="16"/>
        </w:rPr>
      </w:pPr>
    </w:p>
    <w:p w:rsidR="007E21F2" w:rsidRPr="009F5FAB" w:rsidRDefault="007E21F2" w:rsidP="007E21F2">
      <w:pPr>
        <w:spacing w:line="360" w:lineRule="auto"/>
        <w:ind w:left="567"/>
        <w:rPr>
          <w:b/>
          <w:bCs/>
        </w:rPr>
      </w:pPr>
      <w:proofErr w:type="gramStart"/>
      <w:r w:rsidRPr="009F5FAB">
        <w:rPr>
          <w:b/>
          <w:bCs/>
        </w:rPr>
        <w:t>Table 1.</w:t>
      </w:r>
      <w:proofErr w:type="gramEnd"/>
      <w:r w:rsidRPr="009F5FAB">
        <w:rPr>
          <w:b/>
          <w:bCs/>
        </w:rPr>
        <w:t xml:space="preserve"> Substances tested</w:t>
      </w:r>
    </w:p>
    <w:p w:rsidR="007E21F2" w:rsidRPr="009F5FAB" w:rsidRDefault="007E21F2" w:rsidP="007E21F2">
      <w:pPr>
        <w:spacing w:line="360" w:lineRule="auto"/>
        <w:jc w:val="center"/>
        <w:rPr>
          <w:b/>
          <w:bCs/>
          <w:sz w:val="16"/>
        </w:rPr>
      </w:pPr>
    </w:p>
    <w:tbl>
      <w:tblPr>
        <w:tblW w:w="0" w:type="auto"/>
        <w:jc w:val="center"/>
        <w:tblBorders>
          <w:top w:val="single" w:sz="8" w:space="0" w:color="auto"/>
          <w:bottom w:val="single" w:sz="8" w:space="0" w:color="auto"/>
        </w:tblBorders>
        <w:tblLayout w:type="fixed"/>
        <w:tblLook w:val="0000" w:firstRow="0" w:lastRow="0" w:firstColumn="0" w:lastColumn="0" w:noHBand="0" w:noVBand="0"/>
      </w:tblPr>
      <w:tblGrid>
        <w:gridCol w:w="2268"/>
        <w:gridCol w:w="964"/>
        <w:gridCol w:w="964"/>
        <w:gridCol w:w="964"/>
        <w:gridCol w:w="964"/>
        <w:gridCol w:w="964"/>
        <w:gridCol w:w="964"/>
        <w:gridCol w:w="964"/>
        <w:gridCol w:w="964"/>
        <w:gridCol w:w="964"/>
        <w:gridCol w:w="964"/>
        <w:gridCol w:w="964"/>
        <w:gridCol w:w="964"/>
      </w:tblGrid>
      <w:tr w:rsidR="007E21F2" w:rsidRPr="009F5FAB" w:rsidTr="00F742DF">
        <w:tblPrEx>
          <w:tblCellMar>
            <w:top w:w="0" w:type="dxa"/>
            <w:bottom w:w="0" w:type="dxa"/>
          </w:tblCellMar>
        </w:tblPrEx>
        <w:trPr>
          <w:trHeight w:hRule="exact" w:val="454"/>
          <w:jc w:val="center"/>
        </w:trPr>
        <w:tc>
          <w:tcPr>
            <w:tcW w:w="2268"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rPr>
                <w:b/>
                <w:bCs/>
                <w:sz w:val="18"/>
                <w:szCs w:val="32"/>
              </w:rPr>
            </w:pPr>
            <w:r w:rsidRPr="009F5FAB">
              <w:rPr>
                <w:b/>
                <w:bCs/>
                <w:sz w:val="18"/>
                <w:szCs w:val="32"/>
              </w:rPr>
              <w:t>Emulsions</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EM1</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EM2</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EM3</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EM4</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EM5</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EM6</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EM10</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EM11</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EM12</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EM13</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EM14</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pPr>
            <w:r w:rsidRPr="009F5FAB">
              <w:rPr>
                <w:b/>
                <w:bCs/>
                <w:sz w:val="18"/>
              </w:rPr>
              <w:t>EM15</w:t>
            </w:r>
          </w:p>
        </w:tc>
      </w:tr>
      <w:tr w:rsidR="007E21F2" w:rsidRPr="009F5FAB" w:rsidTr="00F742DF">
        <w:tblPrEx>
          <w:tblCellMar>
            <w:top w:w="0" w:type="dxa"/>
            <w:bottom w:w="0" w:type="dxa"/>
          </w:tblCellMar>
        </w:tblPrEx>
        <w:trPr>
          <w:trHeight w:val="20"/>
          <w:jc w:val="center"/>
        </w:trPr>
        <w:tc>
          <w:tcPr>
            <w:tcW w:w="2268" w:type="dxa"/>
            <w:tcBorders>
              <w:top w:val="single" w:sz="8" w:space="0" w:color="auto"/>
            </w:tcBorders>
            <w:tcMar>
              <w:top w:w="85" w:type="dxa"/>
              <w:left w:w="57" w:type="dxa"/>
              <w:bottom w:w="85" w:type="dxa"/>
              <w:right w:w="57" w:type="dxa"/>
            </w:tcMar>
            <w:vAlign w:val="center"/>
          </w:tcPr>
          <w:p w:rsidR="007E21F2" w:rsidRPr="009F5FAB" w:rsidRDefault="007E21F2" w:rsidP="00F742DF">
            <w:pPr>
              <w:rPr>
                <w:sz w:val="18"/>
              </w:rPr>
            </w:pPr>
            <w:r w:rsidRPr="009F5FAB">
              <w:rPr>
                <w:sz w:val="18"/>
              </w:rPr>
              <w:t>Ammonium nitrate</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76.0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82.1</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74.9</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67.7</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66.0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84.0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72.0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74.0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74.0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76.0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76.0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76.0</w:t>
            </w: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Sodium nitrate</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12.2</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12.0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Sodium perchlorate</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9.7</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10.0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10.0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10.0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Water</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17.0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12.3</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9.0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14.1</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17.0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9.0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9.0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9.0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9.0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17.0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17.0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17.0</w:t>
            </w: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Paraffin oil</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4.2</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3.7</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4.8</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4.2</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6.6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4.2</w:t>
            </w: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PIBSA emulsifier</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2.7</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1.2</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2.0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2.8</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0.4</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r>
      <w:tr w:rsidR="007E21F2" w:rsidRPr="009F5FAB" w:rsidTr="00F742DF">
        <w:tblPrEx>
          <w:tblCellMar>
            <w:top w:w="0" w:type="dxa"/>
            <w:bottom w:w="0" w:type="dxa"/>
          </w:tblCellMar>
        </w:tblPrEx>
        <w:trPr>
          <w:trHeight w:val="20"/>
          <w:jc w:val="center"/>
        </w:trPr>
        <w:tc>
          <w:tcPr>
            <w:tcW w:w="2268" w:type="dxa"/>
            <w:tcBorders>
              <w:bottom w:val="single" w:sz="8" w:space="0" w:color="auto"/>
            </w:tcBorders>
            <w:tcMar>
              <w:top w:w="85" w:type="dxa"/>
              <w:left w:w="57" w:type="dxa"/>
              <w:bottom w:w="85" w:type="dxa"/>
              <w:right w:w="57" w:type="dxa"/>
            </w:tcMar>
            <w:vAlign w:val="center"/>
          </w:tcPr>
          <w:p w:rsidR="007E21F2" w:rsidRPr="009F5FAB" w:rsidRDefault="007E21F2" w:rsidP="00F742DF">
            <w:pPr>
              <w:rPr>
                <w:sz w:val="18"/>
              </w:rPr>
            </w:pPr>
            <w:r w:rsidRPr="009F5FAB">
              <w:rPr>
                <w:sz w:val="18"/>
              </w:rPr>
              <w:t>SMO emulsifier</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Borders>
              <w:bottom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2.8</w:t>
            </w:r>
          </w:p>
        </w:tc>
      </w:tr>
      <w:tr w:rsidR="007E21F2" w:rsidRPr="009F5FAB" w:rsidTr="00F742DF">
        <w:tblPrEx>
          <w:tblCellMar>
            <w:top w:w="0" w:type="dxa"/>
            <w:bottom w:w="0" w:type="dxa"/>
          </w:tblCellMar>
        </w:tblPrEx>
        <w:trPr>
          <w:trHeight w:hRule="exact" w:val="454"/>
          <w:jc w:val="center"/>
        </w:trPr>
        <w:tc>
          <w:tcPr>
            <w:tcW w:w="2268"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rPr>
                <w:b/>
                <w:bCs/>
                <w:sz w:val="18"/>
                <w:szCs w:val="32"/>
              </w:rPr>
            </w:pPr>
            <w:r w:rsidRPr="009F5FAB">
              <w:rPr>
                <w:b/>
                <w:bCs/>
                <w:sz w:val="18"/>
                <w:szCs w:val="32"/>
              </w:rPr>
              <w:t>Suspensions</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SP1</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SP2</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SP3</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SP4</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SP5</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SP6</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r w:rsidRPr="009F5FAB">
              <w:rPr>
                <w:b/>
                <w:bCs/>
                <w:sz w:val="18"/>
              </w:rPr>
              <w:t>SP7</w:t>
            </w: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p>
        </w:tc>
        <w:tc>
          <w:tcPr>
            <w:tcW w:w="964" w:type="dxa"/>
            <w:tcBorders>
              <w:top w:val="single" w:sz="8" w:space="0" w:color="auto"/>
              <w:bottom w:val="single" w:sz="8" w:space="0" w:color="auto"/>
            </w:tcBorders>
            <w:tcMar>
              <w:top w:w="85" w:type="dxa"/>
              <w:left w:w="57" w:type="dxa"/>
              <w:bottom w:w="85" w:type="dxa"/>
              <w:right w:w="57" w:type="dxa"/>
            </w:tcMar>
            <w:vAlign w:val="center"/>
          </w:tcPr>
          <w:p w:rsidR="007E21F2" w:rsidRPr="009F5FAB" w:rsidRDefault="007E21F2" w:rsidP="00F742DF">
            <w:pPr>
              <w:jc w:val="center"/>
              <w:rPr>
                <w:b/>
                <w:bCs/>
                <w:sz w:val="18"/>
              </w:rPr>
            </w:pPr>
          </w:p>
        </w:tc>
      </w:tr>
      <w:tr w:rsidR="007E21F2" w:rsidRPr="009F5FAB" w:rsidTr="00F742DF">
        <w:tblPrEx>
          <w:tblCellMar>
            <w:top w:w="0" w:type="dxa"/>
            <w:bottom w:w="0" w:type="dxa"/>
          </w:tblCellMar>
        </w:tblPrEx>
        <w:trPr>
          <w:trHeight w:val="20"/>
          <w:jc w:val="center"/>
        </w:trPr>
        <w:tc>
          <w:tcPr>
            <w:tcW w:w="2268" w:type="dxa"/>
            <w:tcBorders>
              <w:top w:val="single" w:sz="8" w:space="0" w:color="auto"/>
            </w:tcBorders>
            <w:tcMar>
              <w:top w:w="85" w:type="dxa"/>
              <w:left w:w="57" w:type="dxa"/>
              <w:bottom w:w="85" w:type="dxa"/>
              <w:right w:w="57" w:type="dxa"/>
            </w:tcMar>
            <w:vAlign w:val="center"/>
          </w:tcPr>
          <w:p w:rsidR="007E21F2" w:rsidRPr="009F5FAB" w:rsidRDefault="007E21F2" w:rsidP="00F742DF">
            <w:pPr>
              <w:rPr>
                <w:sz w:val="18"/>
              </w:rPr>
            </w:pPr>
            <w:r w:rsidRPr="009F5FAB">
              <w:rPr>
                <w:sz w:val="18"/>
              </w:rPr>
              <w:t>Ammonium nitrate</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62.3</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55.0</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67.4</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71.4</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66.4</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68.4</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56.4</w:t>
            </w: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Borders>
              <w:top w:val="single" w:sz="8" w:space="0" w:color="auto"/>
            </w:tcBorders>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Sodium nitrate</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8.0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15.0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Sodium perchlorate</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11.0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8.0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8.0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Methylamine nitrate</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15.0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10.0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Hexamine nitrate</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14.0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7.0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Water</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13.0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14.0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12.0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14.0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12.0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13.0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15.0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Glycol</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13.0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14.0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5.0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6.0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8.0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13.0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trHeight w:val="20"/>
          <w:jc w:val="center"/>
        </w:trPr>
        <w:tc>
          <w:tcPr>
            <w:tcW w:w="2268" w:type="dxa"/>
            <w:tcMar>
              <w:top w:w="85" w:type="dxa"/>
              <w:left w:w="57" w:type="dxa"/>
              <w:bottom w:w="85" w:type="dxa"/>
              <w:right w:w="57" w:type="dxa"/>
            </w:tcMar>
            <w:vAlign w:val="center"/>
          </w:tcPr>
          <w:p w:rsidR="007E21F2" w:rsidRPr="009F5FAB" w:rsidRDefault="007E21F2" w:rsidP="00F742DF">
            <w:pPr>
              <w:rPr>
                <w:sz w:val="18"/>
              </w:rPr>
            </w:pPr>
            <w:r w:rsidRPr="009F5FAB">
              <w:rPr>
                <w:sz w:val="18"/>
              </w:rPr>
              <w:t>Thickener</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0.7</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1.0</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r w:rsidRPr="009F5FAB">
              <w:rPr>
                <w:sz w:val="18"/>
              </w:rPr>
              <w:t xml:space="preserve"> 0.6</w:t>
            </w: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c>
          <w:tcPr>
            <w:tcW w:w="964" w:type="dxa"/>
            <w:tcMar>
              <w:top w:w="85" w:type="dxa"/>
              <w:left w:w="57" w:type="dxa"/>
              <w:bottom w:w="85" w:type="dxa"/>
              <w:right w:w="57" w:type="dxa"/>
            </w:tcMar>
            <w:vAlign w:val="center"/>
          </w:tcPr>
          <w:p w:rsidR="007E21F2" w:rsidRPr="009F5FAB" w:rsidRDefault="007E21F2" w:rsidP="00F742DF">
            <w:pPr>
              <w:jc w:val="center"/>
              <w:rPr>
                <w:sz w:val="18"/>
              </w:rPr>
            </w:pPr>
          </w:p>
        </w:tc>
      </w:tr>
    </w:tbl>
    <w:p w:rsidR="007E21F2" w:rsidRPr="009F5FAB" w:rsidRDefault="007E21F2" w:rsidP="007E21F2">
      <w:pPr>
        <w:spacing w:line="360" w:lineRule="auto"/>
        <w:jc w:val="both"/>
      </w:pPr>
    </w:p>
    <w:p w:rsidR="007E21F2" w:rsidRPr="009F5FAB" w:rsidRDefault="007E21F2" w:rsidP="007E21F2">
      <w:pPr>
        <w:spacing w:line="360" w:lineRule="auto"/>
        <w:jc w:val="both"/>
        <w:rPr>
          <w:sz w:val="22"/>
        </w:rPr>
        <w:sectPr w:rsidR="007E21F2" w:rsidRPr="009F5FAB">
          <w:headerReference w:type="first" r:id="rId21"/>
          <w:footerReference w:type="first" r:id="rId22"/>
          <w:pgSz w:w="16838" w:h="11906" w:orient="landscape" w:code="9"/>
          <w:pgMar w:top="1985" w:right="851" w:bottom="851" w:left="1134" w:header="567" w:footer="851" w:gutter="0"/>
          <w:cols w:space="708"/>
          <w:titlePg/>
          <w:docGrid w:linePitch="360"/>
        </w:sectPr>
      </w:pPr>
    </w:p>
    <w:p w:rsidR="007E21F2" w:rsidRPr="009F5FAB" w:rsidRDefault="002714EF" w:rsidP="002714EF">
      <w:pPr>
        <w:spacing w:line="360" w:lineRule="auto"/>
        <w:jc w:val="both"/>
        <w:outlineLvl w:val="0"/>
        <w:rPr>
          <w:b/>
          <w:sz w:val="22"/>
        </w:rPr>
      </w:pPr>
      <w:r>
        <w:rPr>
          <w:b/>
          <w:sz w:val="22"/>
        </w:rPr>
        <w:lastRenderedPageBreak/>
        <w:t xml:space="preserve">3. </w:t>
      </w:r>
      <w:r w:rsidR="007E21F2" w:rsidRPr="009F5FAB">
        <w:rPr>
          <w:b/>
          <w:sz w:val="22"/>
        </w:rPr>
        <w:t>RESULTS</w:t>
      </w:r>
    </w:p>
    <w:p w:rsidR="007E21F2" w:rsidRPr="009F5FAB" w:rsidRDefault="007E21F2" w:rsidP="002714EF">
      <w:pPr>
        <w:spacing w:before="120" w:line="360" w:lineRule="auto"/>
        <w:ind w:firstLine="709"/>
        <w:jc w:val="both"/>
      </w:pPr>
      <w:r w:rsidRPr="009F5FAB">
        <w:t>The results obtained of minimum burning pressure measurements for different emulsions and suspensions are shown in Table 2. The initial pressure of the lowest “go” event is shown in the column “go”, and the initial pressure of the highest “no-go” event, but lower than above “go” event is shown in the column “no-go”. The MBP was determined as the mean of both pressures.</w:t>
      </w:r>
    </w:p>
    <w:p w:rsidR="007E21F2" w:rsidRPr="009F5FAB" w:rsidRDefault="007E21F2" w:rsidP="002714EF">
      <w:pPr>
        <w:spacing w:before="120"/>
        <w:ind w:left="284"/>
        <w:rPr>
          <w:b/>
          <w:bCs/>
        </w:rPr>
      </w:pPr>
      <w:proofErr w:type="gramStart"/>
      <w:r w:rsidRPr="009F5FAB">
        <w:rPr>
          <w:b/>
          <w:bCs/>
        </w:rPr>
        <w:t>Table 2.</w:t>
      </w:r>
      <w:proofErr w:type="gramEnd"/>
      <w:r w:rsidRPr="009F5FAB">
        <w:rPr>
          <w:b/>
          <w:bCs/>
        </w:rPr>
        <w:t xml:space="preserve"> MBP results</w:t>
      </w:r>
    </w:p>
    <w:p w:rsidR="007E21F2" w:rsidRPr="009F5FAB" w:rsidRDefault="007E21F2" w:rsidP="007E21F2">
      <w:pPr>
        <w:spacing w:line="360" w:lineRule="auto"/>
        <w:jc w:val="center"/>
        <w:rPr>
          <w:sz w:val="16"/>
          <w:szCs w:val="16"/>
        </w:rPr>
      </w:pPr>
    </w:p>
    <w:tbl>
      <w:tblPr>
        <w:tblW w:w="8561" w:type="dxa"/>
        <w:jc w:val="center"/>
        <w:tblCellMar>
          <w:left w:w="70" w:type="dxa"/>
          <w:right w:w="70" w:type="dxa"/>
        </w:tblCellMar>
        <w:tblLook w:val="0000" w:firstRow="0" w:lastRow="0" w:firstColumn="0" w:lastColumn="0" w:noHBand="0" w:noVBand="0"/>
      </w:tblPr>
      <w:tblGrid>
        <w:gridCol w:w="5669"/>
        <w:gridCol w:w="964"/>
        <w:gridCol w:w="964"/>
        <w:gridCol w:w="964"/>
      </w:tblGrid>
      <w:tr w:rsidR="007E21F2" w:rsidRPr="009F5FAB" w:rsidTr="00F742DF">
        <w:tblPrEx>
          <w:tblCellMar>
            <w:top w:w="0" w:type="dxa"/>
            <w:bottom w:w="0" w:type="dxa"/>
          </w:tblCellMar>
        </w:tblPrEx>
        <w:trPr>
          <w:jc w:val="center"/>
        </w:trPr>
        <w:tc>
          <w:tcPr>
            <w:tcW w:w="5669" w:type="dxa"/>
            <w:vMerge w:val="restart"/>
            <w:tcBorders>
              <w:top w:val="single" w:sz="8" w:space="0" w:color="auto"/>
            </w:tcBorders>
            <w:tcMar>
              <w:top w:w="57" w:type="dxa"/>
              <w:left w:w="28" w:type="dxa"/>
              <w:bottom w:w="57" w:type="dxa"/>
              <w:right w:w="28" w:type="dxa"/>
            </w:tcMar>
            <w:vAlign w:val="center"/>
          </w:tcPr>
          <w:p w:rsidR="007E21F2" w:rsidRPr="009F5FAB" w:rsidRDefault="007E21F2" w:rsidP="00F742DF">
            <w:pPr>
              <w:spacing w:line="360" w:lineRule="auto"/>
              <w:rPr>
                <w:b/>
                <w:bCs/>
                <w:sz w:val="18"/>
              </w:rPr>
            </w:pPr>
            <w:r w:rsidRPr="009F5FAB">
              <w:rPr>
                <w:b/>
                <w:bCs/>
                <w:sz w:val="18"/>
              </w:rPr>
              <w:t>Compositions</w:t>
            </w:r>
          </w:p>
        </w:tc>
        <w:tc>
          <w:tcPr>
            <w:tcW w:w="1928" w:type="dxa"/>
            <w:gridSpan w:val="2"/>
            <w:tcBorders>
              <w:top w:val="single" w:sz="8" w:space="0" w:color="auto"/>
            </w:tcBorders>
            <w:tcMar>
              <w:top w:w="57" w:type="dxa"/>
              <w:left w:w="28" w:type="dxa"/>
              <w:bottom w:w="57" w:type="dxa"/>
              <w:right w:w="28" w:type="dxa"/>
            </w:tcMar>
            <w:vAlign w:val="center"/>
          </w:tcPr>
          <w:p w:rsidR="007E21F2" w:rsidRPr="009F5FAB" w:rsidRDefault="007E21F2" w:rsidP="00F742DF">
            <w:pPr>
              <w:spacing w:line="360" w:lineRule="auto"/>
              <w:jc w:val="center"/>
              <w:rPr>
                <w:sz w:val="18"/>
              </w:rPr>
            </w:pPr>
            <w:r w:rsidRPr="009F5FAB">
              <w:rPr>
                <w:b/>
                <w:bCs/>
                <w:sz w:val="18"/>
              </w:rPr>
              <w:t>Pressure (</w:t>
            </w:r>
            <w:proofErr w:type="spellStart"/>
            <w:r w:rsidRPr="009F5FAB">
              <w:rPr>
                <w:b/>
                <w:bCs/>
                <w:sz w:val="18"/>
              </w:rPr>
              <w:t>MPa</w:t>
            </w:r>
            <w:proofErr w:type="spellEnd"/>
            <w:r w:rsidRPr="009F5FAB">
              <w:rPr>
                <w:b/>
                <w:bCs/>
                <w:sz w:val="18"/>
              </w:rPr>
              <w:t>)</w:t>
            </w:r>
          </w:p>
        </w:tc>
        <w:tc>
          <w:tcPr>
            <w:tcW w:w="964" w:type="dxa"/>
            <w:vMerge w:val="restart"/>
            <w:tcBorders>
              <w:top w:val="single" w:sz="8" w:space="0" w:color="auto"/>
            </w:tcBorders>
            <w:tcMar>
              <w:top w:w="57" w:type="dxa"/>
              <w:left w:w="28" w:type="dxa"/>
              <w:bottom w:w="57" w:type="dxa"/>
              <w:right w:w="28" w:type="dxa"/>
            </w:tcMar>
            <w:vAlign w:val="center"/>
          </w:tcPr>
          <w:p w:rsidR="007E21F2" w:rsidRPr="009F5FAB" w:rsidRDefault="007E21F2" w:rsidP="00F742DF">
            <w:pPr>
              <w:jc w:val="center"/>
              <w:rPr>
                <w:b/>
                <w:bCs/>
                <w:sz w:val="18"/>
              </w:rPr>
            </w:pPr>
            <w:r w:rsidRPr="009F5FAB">
              <w:rPr>
                <w:b/>
                <w:bCs/>
                <w:sz w:val="18"/>
              </w:rPr>
              <w:t>MBP</w:t>
            </w:r>
          </w:p>
          <w:p w:rsidR="007E21F2" w:rsidRPr="009F5FAB" w:rsidRDefault="007E21F2" w:rsidP="00F742DF">
            <w:pPr>
              <w:jc w:val="center"/>
              <w:rPr>
                <w:sz w:val="18"/>
              </w:rPr>
            </w:pPr>
            <w:r w:rsidRPr="009F5FAB">
              <w:rPr>
                <w:b/>
                <w:bCs/>
                <w:sz w:val="18"/>
              </w:rPr>
              <w:t>(</w:t>
            </w:r>
            <w:proofErr w:type="spellStart"/>
            <w:r w:rsidRPr="009F5FAB">
              <w:rPr>
                <w:b/>
                <w:bCs/>
                <w:sz w:val="18"/>
              </w:rPr>
              <w:t>MPa</w:t>
            </w:r>
            <w:proofErr w:type="spellEnd"/>
            <w:r w:rsidRPr="009F5FAB">
              <w:rPr>
                <w:b/>
                <w:bCs/>
                <w:sz w:val="18"/>
              </w:rPr>
              <w:t>)</w:t>
            </w:r>
          </w:p>
        </w:tc>
      </w:tr>
      <w:tr w:rsidR="007E21F2" w:rsidRPr="009F5FAB" w:rsidTr="00F742DF">
        <w:tblPrEx>
          <w:tblCellMar>
            <w:top w:w="0" w:type="dxa"/>
            <w:bottom w:w="0" w:type="dxa"/>
          </w:tblCellMar>
        </w:tblPrEx>
        <w:trPr>
          <w:jc w:val="center"/>
        </w:trPr>
        <w:tc>
          <w:tcPr>
            <w:tcW w:w="5669" w:type="dxa"/>
            <w:vMerge/>
            <w:tcMar>
              <w:top w:w="85" w:type="dxa"/>
              <w:left w:w="28" w:type="dxa"/>
              <w:bottom w:w="85" w:type="dxa"/>
              <w:right w:w="28" w:type="dxa"/>
            </w:tcMar>
            <w:vAlign w:val="center"/>
          </w:tcPr>
          <w:p w:rsidR="007E21F2" w:rsidRPr="009F5FAB" w:rsidRDefault="007E21F2" w:rsidP="00F742DF">
            <w:pPr>
              <w:rPr>
                <w:b/>
                <w:bCs/>
                <w:sz w:val="18"/>
              </w:rPr>
            </w:pPr>
          </w:p>
        </w:tc>
        <w:tc>
          <w:tcPr>
            <w:tcW w:w="964" w:type="dxa"/>
            <w:tcBorders>
              <w:top w:val="single" w:sz="8" w:space="0" w:color="auto"/>
            </w:tcBorders>
            <w:tcMar>
              <w:top w:w="57" w:type="dxa"/>
              <w:left w:w="28" w:type="dxa"/>
              <w:bottom w:w="57" w:type="dxa"/>
              <w:right w:w="28" w:type="dxa"/>
            </w:tcMar>
            <w:vAlign w:val="center"/>
          </w:tcPr>
          <w:p w:rsidR="007E21F2" w:rsidRPr="009F5FAB" w:rsidRDefault="007E21F2" w:rsidP="00F742DF">
            <w:pPr>
              <w:spacing w:line="360" w:lineRule="auto"/>
              <w:jc w:val="center"/>
              <w:rPr>
                <w:b/>
                <w:bCs/>
                <w:sz w:val="18"/>
              </w:rPr>
            </w:pPr>
            <w:r w:rsidRPr="009F5FAB">
              <w:rPr>
                <w:b/>
                <w:bCs/>
                <w:sz w:val="18"/>
              </w:rPr>
              <w:t>go</w:t>
            </w:r>
          </w:p>
        </w:tc>
        <w:tc>
          <w:tcPr>
            <w:tcW w:w="964" w:type="dxa"/>
            <w:tcBorders>
              <w:top w:val="single" w:sz="8" w:space="0" w:color="auto"/>
            </w:tcBorders>
            <w:tcMar>
              <w:top w:w="57" w:type="dxa"/>
              <w:left w:w="28" w:type="dxa"/>
              <w:bottom w:w="57" w:type="dxa"/>
              <w:right w:w="28" w:type="dxa"/>
            </w:tcMar>
            <w:vAlign w:val="center"/>
          </w:tcPr>
          <w:p w:rsidR="007E21F2" w:rsidRPr="009F5FAB" w:rsidRDefault="007E21F2" w:rsidP="00F742DF">
            <w:pPr>
              <w:spacing w:line="360" w:lineRule="auto"/>
              <w:jc w:val="center"/>
              <w:rPr>
                <w:b/>
                <w:bCs/>
                <w:sz w:val="18"/>
              </w:rPr>
            </w:pPr>
            <w:r w:rsidRPr="009F5FAB">
              <w:rPr>
                <w:b/>
                <w:bCs/>
                <w:sz w:val="18"/>
              </w:rPr>
              <w:t>no-go</w:t>
            </w:r>
          </w:p>
        </w:tc>
        <w:tc>
          <w:tcPr>
            <w:tcW w:w="964" w:type="dxa"/>
            <w:vMerge/>
            <w:tcMar>
              <w:top w:w="85" w:type="dxa"/>
              <w:left w:w="28" w:type="dxa"/>
              <w:bottom w:w="85" w:type="dxa"/>
              <w:right w:w="28" w:type="dxa"/>
            </w:tcMar>
            <w:vAlign w:val="center"/>
          </w:tcPr>
          <w:p w:rsidR="007E21F2" w:rsidRPr="009F5FAB" w:rsidRDefault="007E21F2" w:rsidP="00F742DF">
            <w:pPr>
              <w:jc w:val="center"/>
              <w:rPr>
                <w:sz w:val="18"/>
              </w:rPr>
            </w:pPr>
          </w:p>
        </w:tc>
      </w:tr>
      <w:tr w:rsidR="007E21F2" w:rsidRPr="009F5FAB" w:rsidTr="00F742DF">
        <w:tblPrEx>
          <w:tblCellMar>
            <w:top w:w="0" w:type="dxa"/>
            <w:bottom w:w="0" w:type="dxa"/>
          </w:tblCellMar>
        </w:tblPrEx>
        <w:trPr>
          <w:jc w:val="center"/>
        </w:trPr>
        <w:tc>
          <w:tcPr>
            <w:tcW w:w="5669" w:type="dxa"/>
            <w:tcBorders>
              <w:top w:val="single" w:sz="8" w:space="0" w:color="auto"/>
            </w:tcBorders>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EM1</w:t>
            </w:r>
            <w:r w:rsidRPr="009F5FAB">
              <w:rPr>
                <w:sz w:val="18"/>
              </w:rPr>
              <w:t xml:space="preserve"> AN 76.0%, W 17.0%, PO 5.6%, PIBSA 1.4%</w:t>
            </w:r>
          </w:p>
        </w:tc>
        <w:tc>
          <w:tcPr>
            <w:tcW w:w="964" w:type="dxa"/>
            <w:tcBorders>
              <w:top w:val="single" w:sz="8" w:space="0" w:color="auto"/>
            </w:tcBorders>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12.20</w:t>
            </w:r>
          </w:p>
        </w:tc>
        <w:tc>
          <w:tcPr>
            <w:tcW w:w="964" w:type="dxa"/>
            <w:tcBorders>
              <w:top w:val="single" w:sz="8" w:space="0" w:color="auto"/>
            </w:tcBorders>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11.83</w:t>
            </w:r>
          </w:p>
        </w:tc>
        <w:tc>
          <w:tcPr>
            <w:tcW w:w="964" w:type="dxa"/>
            <w:tcBorders>
              <w:top w:val="single" w:sz="8" w:space="0" w:color="auto"/>
            </w:tcBorders>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12.02</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EM2</w:t>
            </w:r>
            <w:r w:rsidRPr="009F5FAB">
              <w:rPr>
                <w:sz w:val="18"/>
              </w:rPr>
              <w:t xml:space="preserve"> AN 82.1%, W 12.3%, PO 4.2%, PIBSA 1.4%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6.93</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6.37</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6.65</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EM3</w:t>
            </w:r>
            <w:r w:rsidRPr="009F5FAB">
              <w:rPr>
                <w:sz w:val="18"/>
              </w:rPr>
              <w:t xml:space="preserve"> AN 74.9%, SP 9.7%,W 9.0%, PO 3.7%, PIBSA 2.7%</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3.28</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3.00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3.14</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EM4</w:t>
            </w:r>
            <w:r w:rsidRPr="009F5FAB">
              <w:rPr>
                <w:sz w:val="18"/>
              </w:rPr>
              <w:t xml:space="preserve"> AN 67.7%, SN 12.2%, W 14.1%, PO 4.8%, PIBSA 1.2%</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4.77</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4.70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4.74</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sz w:val="18"/>
              </w:rPr>
            </w:pPr>
            <w:r w:rsidRPr="009F5FAB">
              <w:rPr>
                <w:b/>
                <w:bCs/>
                <w:sz w:val="18"/>
              </w:rPr>
              <w:t>EM5</w:t>
            </w:r>
            <w:r w:rsidRPr="009F5FAB">
              <w:rPr>
                <w:sz w:val="18"/>
              </w:rPr>
              <w:t xml:space="preserve"> AN 66.0%, SP 10.0%, W 17.0%, PO 5.6%, PIBSA 1.4%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5.45</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5.35</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5.40</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sz w:val="18"/>
              </w:rPr>
            </w:pPr>
            <w:r w:rsidRPr="009F5FAB">
              <w:rPr>
                <w:b/>
                <w:bCs/>
                <w:sz w:val="18"/>
              </w:rPr>
              <w:t>EM6</w:t>
            </w:r>
            <w:r w:rsidRPr="009F5FAB">
              <w:rPr>
                <w:sz w:val="18"/>
              </w:rPr>
              <w:t xml:space="preserve"> AN 84.0%, Water 9.0%, PO 5.6%, PIBSA 1.4%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3.44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3.04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3.24</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EM10</w:t>
            </w:r>
            <w:r w:rsidRPr="009F5FAB">
              <w:rPr>
                <w:sz w:val="18"/>
              </w:rPr>
              <w:t xml:space="preserve"> AN 72.0%, SN 12.0%,W 9.0%, PO 5.6%, PIBSA 1.4%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2.92</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2.58</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2.75</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EM11</w:t>
            </w:r>
            <w:r w:rsidRPr="009F5FAB">
              <w:rPr>
                <w:sz w:val="18"/>
              </w:rPr>
              <w:t xml:space="preserve"> AN 74.0%, SP 10.0%, Water 9.0%, PO 5.0%, PIBSA 2.0%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3.42</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3.05</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3.24</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EM12</w:t>
            </w:r>
            <w:r w:rsidRPr="009F5FAB">
              <w:rPr>
                <w:sz w:val="18"/>
              </w:rPr>
              <w:t xml:space="preserve"> AN 74.0%, SP 10.0%, Water 9.0%, PO 5.6%, PIBSA 1.4%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2.76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2.56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2.66</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EM13</w:t>
            </w:r>
            <w:r w:rsidRPr="009F5FAB">
              <w:rPr>
                <w:sz w:val="18"/>
              </w:rPr>
              <w:t xml:space="preserve"> AN 76.0%, W 17.0%, PO 4.2%, PIBSA 2.8%</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14.61</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13.82</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14.22</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sz w:val="18"/>
              </w:rPr>
            </w:pPr>
            <w:r w:rsidRPr="009F5FAB">
              <w:rPr>
                <w:b/>
                <w:bCs/>
                <w:sz w:val="18"/>
              </w:rPr>
              <w:t>EM14</w:t>
            </w:r>
            <w:r w:rsidRPr="009F5FAB">
              <w:rPr>
                <w:sz w:val="18"/>
              </w:rPr>
              <w:t xml:space="preserve"> AN 76.0%, W 17.0%, PO 6.6%, PIBSA 0.4%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12.91</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12.70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12.81</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EM15</w:t>
            </w:r>
            <w:r w:rsidRPr="009F5FAB">
              <w:rPr>
                <w:sz w:val="18"/>
              </w:rPr>
              <w:t xml:space="preserve"> AN 76.0%, W 17.0%, PO 4.2%, SMO 2.8%</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11.80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11.50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11.65</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SP1</w:t>
            </w:r>
            <w:r w:rsidRPr="009F5FAB">
              <w:rPr>
                <w:bCs/>
                <w:sz w:val="18"/>
              </w:rPr>
              <w:t xml:space="preserve"> AN 62.3%, SP 11.0%, W 13.0%, G 13.0%, T 0.7%</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5.29</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5.05</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5.17</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SP2</w:t>
            </w:r>
            <w:r w:rsidRPr="009F5FAB">
              <w:rPr>
                <w:sz w:val="18"/>
              </w:rPr>
              <w:t xml:space="preserve">  AN 55.0%, SP 8.0%, SN 8.0%, W 14.0%, G 14.0%, T 1.0%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6.41</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6.11</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6.26</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SP3</w:t>
            </w:r>
            <w:r w:rsidRPr="009F5FAB">
              <w:rPr>
                <w:sz w:val="18"/>
              </w:rPr>
              <w:t xml:space="preserve"> AN 67.4%, MAN 15.0%, W 12.0%, G 5.0%, T 0.6%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9.06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8.74</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8.90</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SP4</w:t>
            </w:r>
            <w:r w:rsidRPr="009F5FAB">
              <w:rPr>
                <w:sz w:val="18"/>
              </w:rPr>
              <w:t xml:space="preserve"> AN 71.4%, HN 14.0%, W 14.0%, T 0.6%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1.55</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1.53</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1.54</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sz w:val="18"/>
              </w:rPr>
            </w:pPr>
            <w:r w:rsidRPr="009F5FAB">
              <w:rPr>
                <w:b/>
                <w:bCs/>
                <w:sz w:val="18"/>
              </w:rPr>
              <w:t>SP5</w:t>
            </w:r>
            <w:r w:rsidRPr="009F5FAB">
              <w:rPr>
                <w:sz w:val="18"/>
              </w:rPr>
              <w:t xml:space="preserve"> AN 66.4%, SP 8.0%, HN 7.0%, W 12.0%, G 6.0%, T 0.6%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0.70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0.63</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0.67</w:t>
            </w:r>
          </w:p>
        </w:tc>
      </w:tr>
      <w:tr w:rsidR="007E21F2" w:rsidRPr="009F5FAB" w:rsidTr="00F742DF">
        <w:tblPrEx>
          <w:tblCellMar>
            <w:top w:w="0" w:type="dxa"/>
            <w:bottom w:w="0" w:type="dxa"/>
          </w:tblCellMar>
        </w:tblPrEx>
        <w:trPr>
          <w:jc w:val="center"/>
        </w:trPr>
        <w:tc>
          <w:tcPr>
            <w:tcW w:w="5669" w:type="dxa"/>
            <w:tcMar>
              <w:top w:w="102" w:type="dxa"/>
              <w:left w:w="28" w:type="dxa"/>
              <w:bottom w:w="102" w:type="dxa"/>
              <w:right w:w="28" w:type="dxa"/>
            </w:tcMar>
            <w:vAlign w:val="center"/>
          </w:tcPr>
          <w:p w:rsidR="007E21F2" w:rsidRPr="009F5FAB" w:rsidRDefault="007E21F2" w:rsidP="00F742DF">
            <w:pPr>
              <w:rPr>
                <w:sz w:val="18"/>
              </w:rPr>
            </w:pPr>
            <w:r w:rsidRPr="009F5FAB">
              <w:rPr>
                <w:b/>
                <w:bCs/>
                <w:sz w:val="18"/>
              </w:rPr>
              <w:t>SP6</w:t>
            </w:r>
            <w:r w:rsidRPr="009F5FAB">
              <w:rPr>
                <w:sz w:val="18"/>
              </w:rPr>
              <w:t xml:space="preserve"> AN 68.4%, MAN 10.0%, W 13.0%, G 8.0%, T 0.6%</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7.90</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7.52</w:t>
            </w:r>
          </w:p>
        </w:tc>
        <w:tc>
          <w:tcPr>
            <w:tcW w:w="964" w:type="dxa"/>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7.71</w:t>
            </w:r>
          </w:p>
        </w:tc>
      </w:tr>
      <w:tr w:rsidR="007E21F2" w:rsidRPr="009F5FAB" w:rsidTr="00F742DF">
        <w:tblPrEx>
          <w:tblCellMar>
            <w:top w:w="0" w:type="dxa"/>
            <w:bottom w:w="0" w:type="dxa"/>
          </w:tblCellMar>
        </w:tblPrEx>
        <w:trPr>
          <w:jc w:val="center"/>
        </w:trPr>
        <w:tc>
          <w:tcPr>
            <w:tcW w:w="5669" w:type="dxa"/>
            <w:tcBorders>
              <w:bottom w:val="single" w:sz="8" w:space="0" w:color="auto"/>
            </w:tcBorders>
            <w:tcMar>
              <w:top w:w="102" w:type="dxa"/>
              <w:left w:w="28" w:type="dxa"/>
              <w:bottom w:w="102" w:type="dxa"/>
              <w:right w:w="28" w:type="dxa"/>
            </w:tcMar>
            <w:vAlign w:val="center"/>
          </w:tcPr>
          <w:p w:rsidR="007E21F2" w:rsidRPr="009F5FAB" w:rsidRDefault="007E21F2" w:rsidP="00F742DF">
            <w:pPr>
              <w:rPr>
                <w:b/>
                <w:bCs/>
                <w:sz w:val="18"/>
              </w:rPr>
            </w:pPr>
            <w:r w:rsidRPr="009F5FAB">
              <w:rPr>
                <w:b/>
                <w:bCs/>
                <w:sz w:val="18"/>
              </w:rPr>
              <w:t>SP7</w:t>
            </w:r>
            <w:r w:rsidRPr="009F5FAB">
              <w:rPr>
                <w:sz w:val="18"/>
              </w:rPr>
              <w:t xml:space="preserve"> AN 56.4%, SN 15.0%, W 15.0%, G 13.0%, T 0.6%</w:t>
            </w:r>
          </w:p>
        </w:tc>
        <w:tc>
          <w:tcPr>
            <w:tcW w:w="964" w:type="dxa"/>
            <w:tcBorders>
              <w:bottom w:val="single" w:sz="8" w:space="0" w:color="auto"/>
            </w:tcBorders>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7.18</w:t>
            </w:r>
          </w:p>
        </w:tc>
        <w:tc>
          <w:tcPr>
            <w:tcW w:w="964" w:type="dxa"/>
            <w:tcBorders>
              <w:bottom w:val="single" w:sz="8" w:space="0" w:color="auto"/>
            </w:tcBorders>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7.09</w:t>
            </w:r>
          </w:p>
        </w:tc>
        <w:tc>
          <w:tcPr>
            <w:tcW w:w="964" w:type="dxa"/>
            <w:tcBorders>
              <w:bottom w:val="single" w:sz="8" w:space="0" w:color="auto"/>
            </w:tcBorders>
            <w:tcMar>
              <w:top w:w="102" w:type="dxa"/>
              <w:left w:w="28" w:type="dxa"/>
              <w:bottom w:w="102" w:type="dxa"/>
              <w:right w:w="28" w:type="dxa"/>
            </w:tcMar>
            <w:vAlign w:val="center"/>
          </w:tcPr>
          <w:p w:rsidR="007E21F2" w:rsidRPr="009F5FAB" w:rsidRDefault="007E21F2" w:rsidP="00F742DF">
            <w:pPr>
              <w:jc w:val="center"/>
              <w:rPr>
                <w:sz w:val="18"/>
              </w:rPr>
            </w:pPr>
            <w:r w:rsidRPr="009F5FAB">
              <w:rPr>
                <w:sz w:val="18"/>
              </w:rPr>
              <w:t xml:space="preserve"> 7.14</w:t>
            </w:r>
          </w:p>
        </w:tc>
      </w:tr>
    </w:tbl>
    <w:p w:rsidR="007E21F2" w:rsidRPr="009F5FAB" w:rsidRDefault="007E21F2" w:rsidP="007E21F2">
      <w:pPr>
        <w:spacing w:before="240"/>
        <w:ind w:left="284" w:right="282"/>
        <w:jc w:val="both"/>
      </w:pPr>
      <w:r w:rsidRPr="009F5FAB">
        <w:rPr>
          <w:b/>
          <w:bCs/>
          <w:sz w:val="18"/>
        </w:rPr>
        <w:t>NOTA:</w:t>
      </w:r>
      <w:r w:rsidRPr="009F5FAB">
        <w:rPr>
          <w:sz w:val="18"/>
        </w:rPr>
        <w:t xml:space="preserve"> AN: ammonium nitrate, SP: sodium perchlorate, SN: sodium nitrate, W: water, PO: paraffin oil, PIBSA: PIBSA emulsifier, SMO: </w:t>
      </w:r>
      <w:proofErr w:type="spellStart"/>
      <w:r w:rsidRPr="009F5FAB">
        <w:rPr>
          <w:sz w:val="18"/>
        </w:rPr>
        <w:t>sorbitan</w:t>
      </w:r>
      <w:proofErr w:type="spellEnd"/>
      <w:r w:rsidRPr="009F5FAB">
        <w:rPr>
          <w:sz w:val="18"/>
        </w:rPr>
        <w:t xml:space="preserve"> </w:t>
      </w:r>
      <w:proofErr w:type="spellStart"/>
      <w:r w:rsidRPr="009F5FAB">
        <w:rPr>
          <w:sz w:val="18"/>
        </w:rPr>
        <w:t>monoleate</w:t>
      </w:r>
      <w:proofErr w:type="spellEnd"/>
      <w:r w:rsidRPr="009F5FAB">
        <w:rPr>
          <w:sz w:val="18"/>
        </w:rPr>
        <w:t>, HN: hexamine nitrate, MAN: methylamine nitrate, G: glycol, T: thickener</w:t>
      </w:r>
    </w:p>
    <w:p w:rsidR="007E21F2" w:rsidRPr="009F5FAB" w:rsidRDefault="007E21F2" w:rsidP="007E21F2">
      <w:pPr>
        <w:spacing w:line="360" w:lineRule="auto"/>
        <w:jc w:val="both"/>
        <w:rPr>
          <w:b/>
          <w:bCs/>
          <w:sz w:val="22"/>
        </w:rPr>
      </w:pPr>
      <w:r w:rsidRPr="009F5FAB">
        <w:br w:type="page"/>
      </w:r>
      <w:r w:rsidRPr="009F5FAB">
        <w:rPr>
          <w:b/>
          <w:bCs/>
          <w:sz w:val="22"/>
        </w:rPr>
        <w:lastRenderedPageBreak/>
        <w:t>4.  DISCUSSION</w:t>
      </w:r>
    </w:p>
    <w:p w:rsidR="007E21F2" w:rsidRPr="009F5FAB" w:rsidRDefault="007E21F2" w:rsidP="002714EF">
      <w:pPr>
        <w:spacing w:before="120" w:after="120" w:line="360" w:lineRule="auto"/>
        <w:ind w:firstLine="709"/>
        <w:jc w:val="both"/>
      </w:pPr>
      <w:r w:rsidRPr="009F5FAB">
        <w:rPr>
          <w:bCs/>
        </w:rPr>
        <w:t xml:space="preserve">Table 3 shows the values of the limiting diameter obtained in the </w:t>
      </w:r>
      <w:proofErr w:type="spellStart"/>
      <w:r w:rsidRPr="009F5FAB">
        <w:rPr>
          <w:bCs/>
        </w:rPr>
        <w:t>Koenen</w:t>
      </w:r>
      <w:proofErr w:type="spellEnd"/>
      <w:r w:rsidRPr="009F5FAB">
        <w:rPr>
          <w:bCs/>
        </w:rPr>
        <w:t xml:space="preserve"> test and the modified vented pipe test, from a previous study </w:t>
      </w:r>
      <w:r w:rsidRPr="00716BBE">
        <w:rPr>
          <w:b/>
          <w:bCs/>
        </w:rPr>
        <w:t>(3)</w:t>
      </w:r>
      <w:r w:rsidRPr="009F5FAB">
        <w:rPr>
          <w:bCs/>
        </w:rPr>
        <w:t>, and the minimum burning pressure values obtained in the present study for a series of emulsions and suspensions. Limiting diameter correspond</w:t>
      </w:r>
      <w:r>
        <w:rPr>
          <w:bCs/>
        </w:rPr>
        <w:t>s</w:t>
      </w:r>
      <w:r w:rsidRPr="009F5FAB">
        <w:rPr>
          <w:bCs/>
        </w:rPr>
        <w:t xml:space="preserve"> to the maximum venting diameter at which an explosion occurred.</w:t>
      </w:r>
    </w:p>
    <w:p w:rsidR="007E21F2" w:rsidRPr="002714EF" w:rsidRDefault="007E21F2" w:rsidP="002714EF">
      <w:pPr>
        <w:spacing w:line="360" w:lineRule="auto"/>
        <w:rPr>
          <w:b/>
          <w:bCs/>
        </w:rPr>
      </w:pPr>
      <w:proofErr w:type="gramStart"/>
      <w:r w:rsidRPr="009F5FAB">
        <w:rPr>
          <w:b/>
          <w:bCs/>
        </w:rPr>
        <w:t>Table 3.</w:t>
      </w:r>
      <w:proofErr w:type="gramEnd"/>
      <w:r w:rsidRPr="009F5FAB">
        <w:rPr>
          <w:b/>
          <w:bCs/>
        </w:rPr>
        <w:t xml:space="preserve"> Limiting diameters (LD) for </w:t>
      </w:r>
      <w:proofErr w:type="spellStart"/>
      <w:r w:rsidRPr="009F5FAB">
        <w:rPr>
          <w:b/>
          <w:bCs/>
        </w:rPr>
        <w:t>Koenen</w:t>
      </w:r>
      <w:proofErr w:type="spellEnd"/>
      <w:r w:rsidRPr="009F5FAB">
        <w:rPr>
          <w:b/>
          <w:bCs/>
        </w:rPr>
        <w:t xml:space="preserve"> and modified vented pipe tests (3) and minim</w:t>
      </w:r>
      <w:r>
        <w:rPr>
          <w:b/>
          <w:bCs/>
        </w:rPr>
        <w:t>u</w:t>
      </w:r>
      <w:r w:rsidRPr="009F5FAB">
        <w:rPr>
          <w:b/>
          <w:bCs/>
        </w:rPr>
        <w:t>m burning pressure (MBP) for the different emul</w:t>
      </w:r>
      <w:r w:rsidR="002714EF">
        <w:rPr>
          <w:b/>
          <w:bCs/>
        </w:rPr>
        <w:t>sions and suspensions prepared.</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5669"/>
        <w:gridCol w:w="1134"/>
        <w:gridCol w:w="1134"/>
        <w:gridCol w:w="1134"/>
      </w:tblGrid>
      <w:tr w:rsidR="007E21F2" w:rsidRPr="009F5FAB" w:rsidTr="00F742DF">
        <w:tblPrEx>
          <w:tblCellMar>
            <w:top w:w="0" w:type="dxa"/>
            <w:bottom w:w="0" w:type="dxa"/>
          </w:tblCellMar>
        </w:tblPrEx>
        <w:trPr>
          <w:trHeight w:val="510"/>
          <w:jc w:val="center"/>
        </w:trPr>
        <w:tc>
          <w:tcPr>
            <w:tcW w:w="5669" w:type="dxa"/>
            <w:tcBorders>
              <w:top w:val="single" w:sz="4" w:space="0" w:color="auto"/>
              <w:bottom w:val="single" w:sz="4" w:space="0" w:color="auto"/>
            </w:tcBorders>
            <w:tcMar>
              <w:top w:w="57" w:type="dxa"/>
              <w:left w:w="57" w:type="dxa"/>
              <w:bottom w:w="57" w:type="dxa"/>
              <w:right w:w="57" w:type="dxa"/>
            </w:tcMar>
            <w:vAlign w:val="center"/>
          </w:tcPr>
          <w:p w:rsidR="007E21F2" w:rsidRPr="009F5FAB" w:rsidRDefault="007E21F2" w:rsidP="00F742DF">
            <w:pPr>
              <w:rPr>
                <w:b/>
                <w:bCs/>
                <w:sz w:val="18"/>
              </w:rPr>
            </w:pPr>
            <w:r w:rsidRPr="009F5FAB">
              <w:rPr>
                <w:b/>
                <w:bCs/>
                <w:sz w:val="18"/>
              </w:rPr>
              <w:t>Compositions</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7E21F2" w:rsidRPr="009F5FAB" w:rsidRDefault="007E21F2" w:rsidP="00F742DF">
            <w:pPr>
              <w:pStyle w:val="BodyText2"/>
            </w:pPr>
            <w:proofErr w:type="spellStart"/>
            <w:r w:rsidRPr="009F5FAB">
              <w:t>Koenen</w:t>
            </w:r>
            <w:proofErr w:type="spellEnd"/>
            <w:r w:rsidRPr="009F5FAB">
              <w:t xml:space="preserve"> LD</w:t>
            </w:r>
          </w:p>
          <w:p w:rsidR="007E21F2" w:rsidRPr="009F5FAB" w:rsidRDefault="007E21F2" w:rsidP="00F742DF">
            <w:pPr>
              <w:jc w:val="center"/>
              <w:rPr>
                <w:b/>
                <w:bCs/>
                <w:sz w:val="18"/>
              </w:rPr>
            </w:pPr>
            <w:r w:rsidRPr="009F5FAB">
              <w:rPr>
                <w:b/>
                <w:bCs/>
                <w:sz w:val="18"/>
              </w:rPr>
              <w:t>(mm)</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7E21F2" w:rsidRPr="009F5FAB" w:rsidRDefault="007E21F2" w:rsidP="00F742DF">
            <w:pPr>
              <w:pStyle w:val="BodyText2"/>
            </w:pPr>
            <w:r w:rsidRPr="009F5FAB">
              <w:t>MVPT LD</w:t>
            </w:r>
          </w:p>
          <w:p w:rsidR="007E21F2" w:rsidRPr="009F5FAB" w:rsidRDefault="007E21F2" w:rsidP="00F742DF">
            <w:pPr>
              <w:jc w:val="center"/>
              <w:rPr>
                <w:b/>
                <w:bCs/>
                <w:sz w:val="18"/>
              </w:rPr>
            </w:pPr>
            <w:r w:rsidRPr="009F5FAB">
              <w:rPr>
                <w:b/>
                <w:bCs/>
                <w:sz w:val="18"/>
              </w:rPr>
              <w:t>(mm)</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7E21F2" w:rsidRPr="009F5FAB" w:rsidRDefault="007E21F2" w:rsidP="00F742DF">
            <w:pPr>
              <w:jc w:val="center"/>
              <w:rPr>
                <w:b/>
                <w:bCs/>
                <w:sz w:val="18"/>
              </w:rPr>
            </w:pPr>
            <w:r w:rsidRPr="009F5FAB">
              <w:rPr>
                <w:b/>
                <w:bCs/>
                <w:sz w:val="18"/>
              </w:rPr>
              <w:t>MBP</w:t>
            </w:r>
          </w:p>
          <w:p w:rsidR="007E21F2" w:rsidRPr="009F5FAB" w:rsidRDefault="007E21F2" w:rsidP="00F742DF">
            <w:pPr>
              <w:jc w:val="center"/>
              <w:rPr>
                <w:b/>
                <w:bCs/>
                <w:sz w:val="18"/>
              </w:rPr>
            </w:pPr>
            <w:r w:rsidRPr="009F5FAB">
              <w:rPr>
                <w:b/>
                <w:bCs/>
                <w:sz w:val="18"/>
              </w:rPr>
              <w:t>(</w:t>
            </w:r>
            <w:proofErr w:type="spellStart"/>
            <w:r w:rsidRPr="009F5FAB">
              <w:rPr>
                <w:b/>
                <w:bCs/>
                <w:sz w:val="18"/>
              </w:rPr>
              <w:t>MPa</w:t>
            </w:r>
            <w:proofErr w:type="spellEnd"/>
            <w:r w:rsidRPr="009F5FAB">
              <w:rPr>
                <w:b/>
                <w:bCs/>
                <w:sz w:val="18"/>
              </w:rPr>
              <w:t>)</w:t>
            </w:r>
          </w:p>
        </w:tc>
      </w:tr>
      <w:tr w:rsidR="007E21F2" w:rsidRPr="009F5FAB" w:rsidTr="00F742DF">
        <w:tblPrEx>
          <w:tblCellMar>
            <w:top w:w="0" w:type="dxa"/>
            <w:bottom w:w="0" w:type="dxa"/>
          </w:tblCellMar>
        </w:tblPrEx>
        <w:trPr>
          <w:trHeight w:val="20"/>
          <w:jc w:val="center"/>
        </w:trPr>
        <w:tc>
          <w:tcPr>
            <w:tcW w:w="5669" w:type="dxa"/>
            <w:tcBorders>
              <w:top w:val="single" w:sz="4" w:space="0" w:color="auto"/>
            </w:tcBorders>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EM3</w:t>
            </w:r>
            <w:r w:rsidRPr="009F5FAB">
              <w:rPr>
                <w:sz w:val="18"/>
              </w:rPr>
              <w:t xml:space="preserve">  AN 74.9%, SP 9.7%, W 9.0%, PO 3.7%, PIBSA 2.7%</w:t>
            </w:r>
          </w:p>
        </w:tc>
        <w:tc>
          <w:tcPr>
            <w:tcW w:w="1134" w:type="dxa"/>
            <w:tcBorders>
              <w:top w:val="single" w:sz="4" w:space="0" w:color="auto"/>
            </w:tcBorders>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Borders>
              <w:top w:val="single" w:sz="4" w:space="0" w:color="auto"/>
            </w:tcBorders>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≥100</w:t>
            </w:r>
          </w:p>
        </w:tc>
        <w:tc>
          <w:tcPr>
            <w:tcW w:w="1134" w:type="dxa"/>
            <w:tcBorders>
              <w:top w:val="single" w:sz="4" w:space="0" w:color="auto"/>
            </w:tcBorders>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3.14</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EM11</w:t>
            </w:r>
            <w:r w:rsidRPr="009F5FAB">
              <w:rPr>
                <w:sz w:val="18"/>
              </w:rPr>
              <w:t xml:space="preserve">  AN 74.0%, SP 10.0%, W 9.0%, PO 5.0%, PIBSA 2.0%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85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3.24</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EM12</w:t>
            </w:r>
            <w:r w:rsidRPr="009F5FAB">
              <w:rPr>
                <w:sz w:val="18"/>
              </w:rPr>
              <w:t xml:space="preserve">  AN 74.0%, SP 10.0%, W 9.0%, PO 5.6%, PIBSA 1.4%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65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2.66</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EM5</w:t>
            </w:r>
            <w:r w:rsidRPr="009F5FAB">
              <w:rPr>
                <w:sz w:val="18"/>
              </w:rPr>
              <w:t xml:space="preserve">  AN 66.0%, SP 10.0%, W 17.0%, PO 5.6%, PIBSA 1.4%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1.00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65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5.40</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EM6</w:t>
            </w:r>
            <w:r w:rsidRPr="009F5FAB">
              <w:rPr>
                <w:sz w:val="18"/>
              </w:rPr>
              <w:t xml:space="preserve">  AN 84.0%, W 9.0%, PO 5.6%, PIBSA 1.4%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1.25</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90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3.24</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EM2</w:t>
            </w:r>
            <w:r w:rsidRPr="009F5FAB">
              <w:rPr>
                <w:sz w:val="18"/>
              </w:rPr>
              <w:t xml:space="preserve">  AN 82.1%, W 12.3%, PO 4.2%, PIBSA 1.4%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80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6.65</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w:t>
            </w:r>
            <w:r w:rsidRPr="009F5FAB">
              <w:rPr>
                <w:sz w:val="18"/>
              </w:rPr>
              <w:t xml:space="preserve">  AN 76.0%, W 17.0%, PO 5.6%, PIBSA 1.4%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65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12.02</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EM13</w:t>
            </w:r>
            <w:r w:rsidRPr="009F5FAB">
              <w:rPr>
                <w:sz w:val="18"/>
              </w:rPr>
              <w:t xml:space="preserve">  AN 76.0%, W 17.0%, PO4.2%, PIBSA 2.8%</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14.22</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EM15</w:t>
            </w:r>
            <w:r w:rsidRPr="009F5FAB">
              <w:rPr>
                <w:sz w:val="18"/>
              </w:rPr>
              <w:t xml:space="preserve">  AN 76.0%, W 17.0%, PO 4.2%, SMO 2.8%</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65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11.65</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EM14</w:t>
            </w:r>
            <w:r w:rsidRPr="009F5FAB">
              <w:rPr>
                <w:sz w:val="18"/>
              </w:rPr>
              <w:t xml:space="preserve">  AN 76.0%, W 17.0%, PO6.6%, PIBSA 0.4%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 0.75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&lt;30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12.81</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EM10</w:t>
            </w:r>
            <w:r w:rsidRPr="009F5FAB">
              <w:rPr>
                <w:sz w:val="18"/>
              </w:rPr>
              <w:t xml:space="preserve">  AN 72.0%, SN 12.0%, W 9.0%, PO 5.6%, PIBSA 1.4%</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1.00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65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2.75</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EM4</w:t>
            </w:r>
            <w:r w:rsidRPr="009F5FAB">
              <w:rPr>
                <w:sz w:val="18"/>
              </w:rPr>
              <w:t xml:space="preserve">  AN 67.7%, SN 12.2%, W 14.1%, PO 4.8%, PIBSA 1.2%</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 0.75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30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4.74</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SP4</w:t>
            </w:r>
            <w:r w:rsidRPr="009F5FAB">
              <w:rPr>
                <w:sz w:val="18"/>
              </w:rPr>
              <w:t xml:space="preserve">  AN 71.4%, HN 14.0%, W 14.0%, T 0.6%</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1.50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70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1.54</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SP5</w:t>
            </w:r>
            <w:r w:rsidRPr="009F5FAB">
              <w:rPr>
                <w:sz w:val="18"/>
              </w:rPr>
              <w:t xml:space="preserve">  AN 66.4%, SP 8.0%, HN 7.0%, W 12.0%, G 6.0 %</w:t>
            </w:r>
            <w:proofErr w:type="spellStart"/>
            <w:r w:rsidRPr="009F5FAB">
              <w:rPr>
                <w:sz w:val="18"/>
              </w:rPr>
              <w:t>T</w:t>
            </w:r>
            <w:proofErr w:type="spellEnd"/>
            <w:r w:rsidRPr="009F5FAB">
              <w:rPr>
                <w:sz w:val="18"/>
              </w:rPr>
              <w:t xml:space="preserve"> 0.6%</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1.25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45</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0.67</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SP3</w:t>
            </w:r>
            <w:r w:rsidRPr="009F5FAB">
              <w:rPr>
                <w:sz w:val="18"/>
              </w:rPr>
              <w:t xml:space="preserve">  AN 67.4%, MAN 15.0%, W 12.0%, G 5.0%, T 0.6%</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1.00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45</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8.90</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SP6</w:t>
            </w:r>
            <w:r w:rsidRPr="009F5FAB">
              <w:rPr>
                <w:sz w:val="18"/>
              </w:rPr>
              <w:t xml:space="preserve">  AN 68.4%, MAN 10.0%, W 13.0%, G 8.0%, T 0.6%</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&lt;0.75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&lt;30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7.71</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SP1</w:t>
            </w:r>
            <w:r w:rsidRPr="009F5FAB">
              <w:rPr>
                <w:sz w:val="18"/>
              </w:rPr>
              <w:t xml:space="preserve">  AN 62.3%, SP 11.0%,W 13.0%, G 13.0%, T 0.7%</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0.75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30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5.17</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SP2</w:t>
            </w:r>
            <w:r w:rsidRPr="009F5FAB">
              <w:rPr>
                <w:sz w:val="18"/>
              </w:rPr>
              <w:t xml:space="preserve">  AN 55.0%, SP 8.0%, SN 8.0%, W 14.0%, G 14.0%, T 1.0%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1.00</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 xml:space="preserve"> -</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6.26</w:t>
            </w:r>
          </w:p>
        </w:tc>
      </w:tr>
      <w:tr w:rsidR="007E21F2" w:rsidRPr="009F5FAB" w:rsidTr="00F742DF">
        <w:tblPrEx>
          <w:tblCellMar>
            <w:top w:w="0" w:type="dxa"/>
            <w:bottom w:w="0" w:type="dxa"/>
          </w:tblCellMar>
        </w:tblPrEx>
        <w:trPr>
          <w:trHeight w:val="20"/>
          <w:jc w:val="center"/>
        </w:trPr>
        <w:tc>
          <w:tcPr>
            <w:tcW w:w="5669" w:type="dxa"/>
            <w:tcMar>
              <w:top w:w="113" w:type="dxa"/>
              <w:left w:w="57" w:type="dxa"/>
              <w:bottom w:w="113" w:type="dxa"/>
              <w:right w:w="57" w:type="dxa"/>
            </w:tcMar>
            <w:vAlign w:val="center"/>
          </w:tcPr>
          <w:p w:rsidR="007E21F2" w:rsidRPr="009F5FAB" w:rsidRDefault="007E21F2" w:rsidP="00F742DF">
            <w:pPr>
              <w:rPr>
                <w:b/>
                <w:bCs/>
                <w:sz w:val="18"/>
              </w:rPr>
            </w:pPr>
            <w:r w:rsidRPr="009F5FAB">
              <w:rPr>
                <w:b/>
                <w:bCs/>
                <w:sz w:val="18"/>
              </w:rPr>
              <w:t>SP7</w:t>
            </w:r>
            <w:r w:rsidRPr="009F5FAB">
              <w:rPr>
                <w:sz w:val="18"/>
              </w:rPr>
              <w:t xml:space="preserve">  AN 56.4%, SN 15.0%, W 15.0%, G 13.0%, T 0.6%</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&lt;0.75</w:t>
            </w:r>
          </w:p>
        </w:tc>
        <w:tc>
          <w:tcPr>
            <w:tcW w:w="1134" w:type="dxa"/>
            <w:tcMar>
              <w:top w:w="113" w:type="dxa"/>
              <w:left w:w="57" w:type="dxa"/>
              <w:bottom w:w="113" w:type="dxa"/>
              <w:right w:w="57" w:type="dxa"/>
            </w:tcMar>
            <w:vAlign w:val="center"/>
          </w:tcPr>
          <w:p w:rsidR="007E21F2" w:rsidRPr="009F5FAB" w:rsidRDefault="007E21F2" w:rsidP="00F742DF">
            <w:pPr>
              <w:jc w:val="center"/>
              <w:rPr>
                <w:sz w:val="18"/>
              </w:rPr>
            </w:pPr>
            <w:r w:rsidRPr="009F5FAB">
              <w:rPr>
                <w:sz w:val="18"/>
              </w:rPr>
              <w:t>&lt;30</w:t>
            </w:r>
          </w:p>
        </w:tc>
        <w:tc>
          <w:tcPr>
            <w:tcW w:w="1134" w:type="dxa"/>
            <w:tcMar>
              <w:top w:w="113" w:type="dxa"/>
              <w:left w:w="57" w:type="dxa"/>
              <w:bottom w:w="113" w:type="dxa"/>
              <w:right w:w="57" w:type="dxa"/>
            </w:tcMar>
            <w:vAlign w:val="center"/>
          </w:tcPr>
          <w:p w:rsidR="007E21F2" w:rsidRPr="009F5FAB" w:rsidRDefault="007E21F2" w:rsidP="00F742DF">
            <w:pPr>
              <w:jc w:val="center"/>
              <w:rPr>
                <w:bCs/>
                <w:sz w:val="18"/>
              </w:rPr>
            </w:pPr>
            <w:r w:rsidRPr="009F5FAB">
              <w:rPr>
                <w:bCs/>
                <w:sz w:val="18"/>
              </w:rPr>
              <w:t xml:space="preserve"> 7.14</w:t>
            </w:r>
          </w:p>
        </w:tc>
      </w:tr>
    </w:tbl>
    <w:p w:rsidR="007E21F2" w:rsidRPr="009F5FAB" w:rsidRDefault="007E21F2" w:rsidP="007E21F2">
      <w:pPr>
        <w:rPr>
          <w:sz w:val="18"/>
        </w:rPr>
      </w:pPr>
    </w:p>
    <w:p w:rsidR="007E21F2" w:rsidRPr="009F5FAB" w:rsidRDefault="007E21F2" w:rsidP="007E21F2">
      <w:pPr>
        <w:spacing w:line="360" w:lineRule="auto"/>
        <w:jc w:val="both"/>
        <w:rPr>
          <w:b/>
          <w:bCs/>
        </w:rPr>
      </w:pPr>
      <w:r w:rsidRPr="009F5FAB">
        <w:br w:type="page"/>
      </w:r>
      <w:r w:rsidRPr="009F5FAB">
        <w:rPr>
          <w:b/>
          <w:bCs/>
        </w:rPr>
        <w:lastRenderedPageBreak/>
        <w:t>4.1</w:t>
      </w:r>
      <w:proofErr w:type="gramStart"/>
      <w:r w:rsidRPr="009F5FAB">
        <w:rPr>
          <w:b/>
          <w:bCs/>
        </w:rPr>
        <w:t>.  Influence</w:t>
      </w:r>
      <w:proofErr w:type="gramEnd"/>
      <w:r w:rsidRPr="009F5FAB">
        <w:rPr>
          <w:b/>
          <w:bCs/>
        </w:rPr>
        <w:t xml:space="preserve"> of water content</w:t>
      </w:r>
    </w:p>
    <w:p w:rsidR="007E21F2" w:rsidRPr="009F5FAB" w:rsidRDefault="007E21F2" w:rsidP="007E21F2">
      <w:pPr>
        <w:spacing w:before="240" w:line="360" w:lineRule="auto"/>
        <w:ind w:firstLine="709"/>
        <w:jc w:val="both"/>
      </w:pPr>
      <w:r w:rsidRPr="009F5FAB">
        <w:t xml:space="preserve">To analyse the influence of water on the result of the test, we opted to study this influence in case of emulsions as these permit a substantial modification in the water and ammonium nitrate content, maintaining the physical-chemical state (structure and viscosity) of the emulsions unaltered. These changes made in suspensions would lead to a substantial change in the solid/liquid phase relation that would change their structure. AN emulsions EM1, EM2 and EM6 and </w:t>
      </w:r>
      <w:proofErr w:type="gramStart"/>
      <w:r w:rsidRPr="009F5FAB">
        <w:t>AN/</w:t>
      </w:r>
      <w:proofErr w:type="gramEnd"/>
      <w:r w:rsidRPr="009F5FAB">
        <w:t>SN emulsions EM4 and EM10 were included in this analysis.</w:t>
      </w:r>
    </w:p>
    <w:p w:rsidR="007E21F2" w:rsidRPr="009F5FAB" w:rsidRDefault="007E21F2" w:rsidP="007E21F2">
      <w:pPr>
        <w:spacing w:before="240" w:line="360" w:lineRule="auto"/>
        <w:ind w:firstLine="709"/>
        <w:jc w:val="both"/>
      </w:pPr>
      <w:r w:rsidRPr="009F5FAB">
        <w:t xml:space="preserve">Figure 3 shows the minimum burning pressures versus the water content for both group of emulsions analysed. Here a clear dependence can be seen, the MBP value decrease as the water content is reduced. These results agree with whose reporter in document UN/SCETDG/37/INF.41 </w:t>
      </w:r>
      <w:r w:rsidRPr="009F5FAB">
        <w:rPr>
          <w:b/>
        </w:rPr>
        <w:t>(1)</w:t>
      </w:r>
      <w:r w:rsidRPr="009F5FAB">
        <w:t>, where a figure with similar pattern is shown.</w:t>
      </w:r>
    </w:p>
    <w:p w:rsidR="007E21F2" w:rsidRPr="009F5FAB" w:rsidRDefault="007E21F2" w:rsidP="007E21F2">
      <w:pPr>
        <w:spacing w:before="240" w:line="360" w:lineRule="auto"/>
        <w:ind w:firstLine="709"/>
        <w:jc w:val="both"/>
      </w:pPr>
      <w:r>
        <w:rPr>
          <w:noProof/>
          <w:lang w:eastAsia="en-GB"/>
        </w:rPr>
        <w:drawing>
          <wp:inline distT="0" distB="0" distL="0" distR="0">
            <wp:extent cx="4225925" cy="320738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5925" cy="3207385"/>
                    </a:xfrm>
                    <a:prstGeom prst="rect">
                      <a:avLst/>
                    </a:prstGeom>
                    <a:noFill/>
                    <a:ln>
                      <a:noFill/>
                    </a:ln>
                  </pic:spPr>
                </pic:pic>
              </a:graphicData>
            </a:graphic>
          </wp:inline>
        </w:drawing>
      </w:r>
    </w:p>
    <w:p w:rsidR="007E21F2" w:rsidRPr="009F5FAB" w:rsidRDefault="007E21F2" w:rsidP="007E21F2">
      <w:pPr>
        <w:spacing w:before="240" w:line="276" w:lineRule="auto"/>
        <w:ind w:left="851" w:right="1700"/>
        <w:jc w:val="both"/>
        <w:rPr>
          <w:b/>
          <w:sz w:val="18"/>
          <w:szCs w:val="18"/>
        </w:rPr>
      </w:pPr>
      <w:proofErr w:type="gramStart"/>
      <w:r w:rsidRPr="009F5FAB">
        <w:rPr>
          <w:b/>
          <w:sz w:val="18"/>
          <w:szCs w:val="18"/>
        </w:rPr>
        <w:t>Figure 3.</w:t>
      </w:r>
      <w:proofErr w:type="gramEnd"/>
      <w:r w:rsidRPr="009F5FAB">
        <w:rPr>
          <w:b/>
          <w:sz w:val="18"/>
          <w:szCs w:val="18"/>
        </w:rPr>
        <w:t xml:space="preserve"> Minimum Burning Pressure, MBP, as a function of water content for three AN emulsions (circles) and two </w:t>
      </w:r>
      <w:proofErr w:type="gramStart"/>
      <w:r w:rsidRPr="009F5FAB">
        <w:rPr>
          <w:b/>
          <w:sz w:val="18"/>
          <w:szCs w:val="18"/>
        </w:rPr>
        <w:t>AN/</w:t>
      </w:r>
      <w:proofErr w:type="gramEnd"/>
      <w:r w:rsidRPr="009F5FAB">
        <w:rPr>
          <w:b/>
          <w:sz w:val="18"/>
          <w:szCs w:val="18"/>
        </w:rPr>
        <w:t>SN emulsions (triangles).</w:t>
      </w:r>
    </w:p>
    <w:p w:rsidR="007E21F2" w:rsidRPr="009F5FAB" w:rsidRDefault="007E21F2" w:rsidP="007E21F2">
      <w:pPr>
        <w:spacing w:before="240" w:line="360" w:lineRule="auto"/>
        <w:ind w:firstLine="709"/>
        <w:jc w:val="both"/>
      </w:pPr>
      <w:r w:rsidRPr="009F5FAB">
        <w:t>This performance seems logical and occurs generally in any sensitivity test for energy materials, regardless of the applied stimulus.</w:t>
      </w:r>
    </w:p>
    <w:p w:rsidR="007E21F2" w:rsidRPr="009F5FAB" w:rsidRDefault="007E21F2" w:rsidP="007E21F2">
      <w:pPr>
        <w:spacing w:before="240" w:line="360" w:lineRule="auto"/>
        <w:rPr>
          <w:b/>
          <w:bCs/>
        </w:rPr>
      </w:pPr>
      <w:r w:rsidRPr="009F5FAB">
        <w:br w:type="page"/>
      </w:r>
      <w:r w:rsidRPr="009F5FAB">
        <w:rPr>
          <w:b/>
          <w:bCs/>
        </w:rPr>
        <w:lastRenderedPageBreak/>
        <w:t>4.2</w:t>
      </w:r>
      <w:proofErr w:type="gramStart"/>
      <w:r w:rsidRPr="009F5FAB">
        <w:rPr>
          <w:b/>
          <w:bCs/>
        </w:rPr>
        <w:t>.  Influence</w:t>
      </w:r>
      <w:proofErr w:type="gramEnd"/>
      <w:r w:rsidRPr="009F5FAB">
        <w:rPr>
          <w:b/>
          <w:bCs/>
        </w:rPr>
        <w:t xml:space="preserve"> of sodium perchlorate</w:t>
      </w:r>
    </w:p>
    <w:p w:rsidR="007E21F2" w:rsidRPr="009F5FAB" w:rsidRDefault="007E21F2" w:rsidP="007E21F2">
      <w:pPr>
        <w:spacing w:before="240" w:line="360" w:lineRule="auto"/>
        <w:ind w:firstLine="709"/>
        <w:jc w:val="both"/>
      </w:pPr>
      <w:r w:rsidRPr="009F5FAB">
        <w:t>Analy</w:t>
      </w:r>
      <w:r>
        <w:t>s</w:t>
      </w:r>
      <w:r w:rsidRPr="009F5FAB">
        <w:t xml:space="preserve">ing the obtained results of MBP, there is clearly a decrease by replacing part of the ammonium nitrate by sodium perchlorate. So while the EM1 and EM6 emulsions present values of 12.02 and 3.24 </w:t>
      </w:r>
      <w:proofErr w:type="spellStart"/>
      <w:r w:rsidRPr="009F5FAB">
        <w:t>MPa</w:t>
      </w:r>
      <w:proofErr w:type="spellEnd"/>
      <w:r w:rsidRPr="009F5FAB">
        <w:t>, respectively, emulsions EM5 and EM12 present 5.40 and 2.66, respectively. It is noted that this influence is most significant with higher water content. Meanwhile for a 17.0% of water, the reduction is 55%, for a water content of the 9.0% reduction is 18%.</w:t>
      </w:r>
    </w:p>
    <w:p w:rsidR="007E21F2" w:rsidRPr="009F5FAB" w:rsidRDefault="007E21F2" w:rsidP="007E21F2">
      <w:pPr>
        <w:spacing w:before="240" w:line="360" w:lineRule="auto"/>
        <w:ind w:firstLine="709"/>
        <w:jc w:val="both"/>
      </w:pPr>
      <w:r w:rsidRPr="009F5FAB" w:rsidDel="00100CE1">
        <w:t xml:space="preserve"> </w:t>
      </w:r>
      <w:r w:rsidRPr="009F5FAB">
        <w:t xml:space="preserve">Comparing the limiting diameter (LD) values for the </w:t>
      </w:r>
      <w:proofErr w:type="spellStart"/>
      <w:r w:rsidRPr="009F5FAB">
        <w:t>Koenen</w:t>
      </w:r>
      <w:proofErr w:type="spellEnd"/>
      <w:r w:rsidRPr="009F5FAB">
        <w:t xml:space="preserve"> and MVP tests, as shown in table 3, for the same emulsions, we can see that the replacement of 10% ammonium nitrate by sodium perchlorate does not increase the limiting diameter; it means that the substitution does not lead to more severe results in the </w:t>
      </w:r>
      <w:proofErr w:type="spellStart"/>
      <w:r w:rsidRPr="009F5FAB">
        <w:t>Koenen</w:t>
      </w:r>
      <w:proofErr w:type="spellEnd"/>
      <w:r w:rsidRPr="009F5FAB">
        <w:t xml:space="preserve"> and MVP tests. </w:t>
      </w:r>
    </w:p>
    <w:p w:rsidR="007E21F2" w:rsidRPr="009F5FAB" w:rsidRDefault="007E21F2" w:rsidP="007E21F2">
      <w:pPr>
        <w:spacing w:line="360" w:lineRule="auto"/>
        <w:ind w:firstLine="709"/>
        <w:jc w:val="both"/>
      </w:pPr>
    </w:p>
    <w:p w:rsidR="007E21F2" w:rsidRPr="009F5FAB" w:rsidRDefault="007E21F2" w:rsidP="007E21F2">
      <w:pPr>
        <w:spacing w:before="240" w:line="360" w:lineRule="auto"/>
        <w:jc w:val="both"/>
        <w:rPr>
          <w:b/>
          <w:bCs/>
        </w:rPr>
      </w:pPr>
      <w:r w:rsidRPr="009F5FAB">
        <w:rPr>
          <w:b/>
          <w:bCs/>
        </w:rPr>
        <w:t>4.3</w:t>
      </w:r>
      <w:proofErr w:type="gramStart"/>
      <w:r w:rsidRPr="009F5FAB">
        <w:rPr>
          <w:b/>
          <w:bCs/>
        </w:rPr>
        <w:t>.  Influence</w:t>
      </w:r>
      <w:proofErr w:type="gramEnd"/>
      <w:r w:rsidRPr="009F5FAB">
        <w:rPr>
          <w:b/>
          <w:bCs/>
        </w:rPr>
        <w:t xml:space="preserve"> of sodium nitrate</w:t>
      </w:r>
    </w:p>
    <w:p w:rsidR="007E21F2" w:rsidRPr="00D374F3" w:rsidRDefault="007E21F2" w:rsidP="007E21F2">
      <w:pPr>
        <w:spacing w:before="240" w:line="360" w:lineRule="auto"/>
        <w:ind w:firstLine="709"/>
        <w:jc w:val="both"/>
      </w:pPr>
      <w:r w:rsidRPr="00D374F3">
        <w:t xml:space="preserve">To determine the influence of sodium nitrate content at the minimum burning pressure, we only need to analyse Figure 3, where it can be observed that for medium or high water contents, the AN/SN emulsions show MBP values significantly lower than the emulsions containing only ammonium nitrate as the sole oxidant. This result is also described at the UN/SCETDG/37/INF.41 document </w:t>
      </w:r>
      <w:r w:rsidRPr="00D374F3">
        <w:rPr>
          <w:b/>
        </w:rPr>
        <w:t>(1)</w:t>
      </w:r>
      <w:r w:rsidRPr="00D374F3">
        <w:t>. On the other hand, comparing the EM12 and EM10 emulsions, with similar values of MBP, could be deduced that the influences of sodium nitrate and sodium perchlorate are similar, at least in the studied experimental range.</w:t>
      </w:r>
    </w:p>
    <w:p w:rsidR="007E21F2" w:rsidRPr="009F5FAB" w:rsidRDefault="007E21F2" w:rsidP="007E21F2">
      <w:pPr>
        <w:spacing w:before="240" w:line="360" w:lineRule="auto"/>
        <w:ind w:firstLine="709"/>
        <w:jc w:val="both"/>
      </w:pPr>
      <w:r w:rsidRPr="00D374F3">
        <w:t xml:space="preserve">The obtained results by studying the influence of sodium nitrate content on the MBP of emulsions show a contrary behaviour to those described for the </w:t>
      </w:r>
      <w:proofErr w:type="spellStart"/>
      <w:r w:rsidRPr="00D374F3">
        <w:t>Koenen</w:t>
      </w:r>
      <w:proofErr w:type="spellEnd"/>
      <w:r w:rsidRPr="00D374F3">
        <w:t xml:space="preserve"> and MVP tests </w:t>
      </w:r>
      <w:r w:rsidRPr="00D374F3">
        <w:rPr>
          <w:b/>
        </w:rPr>
        <w:t>(3).</w:t>
      </w:r>
      <w:r w:rsidRPr="00D374F3">
        <w:t xml:space="preserve"> So, taking into account that the difference between EM10 and EM6 emulsions is that a 12.0 % of the ammonium nitrate was substituted for sodium nitrate, it was surprising how the EM6 AN emulsion presents a MVPT LD of 90 mm, while for the EM10 AN/SN emulsion MVPT LD decreases to 65 mm. In the case of the </w:t>
      </w:r>
      <w:proofErr w:type="spellStart"/>
      <w:r w:rsidRPr="00D374F3">
        <w:t>Koenen</w:t>
      </w:r>
      <w:proofErr w:type="spellEnd"/>
      <w:r w:rsidRPr="00D374F3">
        <w:t xml:space="preserve"> test, the LD is 1.25 mm for the EM6 AN emulsion and 1.00 mm for the EM10 </w:t>
      </w:r>
      <w:proofErr w:type="gramStart"/>
      <w:r w:rsidRPr="00D374F3">
        <w:t>AN/</w:t>
      </w:r>
      <w:proofErr w:type="gramEnd"/>
      <w:r w:rsidRPr="00D374F3">
        <w:t xml:space="preserve">SN emulsion. That means the replacement of ammonium nitrate by sodium nitrate leads to less severe results for the </w:t>
      </w:r>
      <w:proofErr w:type="spellStart"/>
      <w:r w:rsidRPr="00D374F3">
        <w:t>Koenen</w:t>
      </w:r>
      <w:proofErr w:type="spellEnd"/>
      <w:r w:rsidRPr="00D374F3">
        <w:t xml:space="preserve"> test and the MVPT, just the reverse behaviour as the outcome obtained with the minimum burning pressure test.</w:t>
      </w:r>
    </w:p>
    <w:p w:rsidR="007E21F2" w:rsidRPr="009F5FAB" w:rsidRDefault="007E21F2" w:rsidP="007E21F2">
      <w:pPr>
        <w:spacing w:line="360" w:lineRule="auto"/>
        <w:jc w:val="both"/>
        <w:rPr>
          <w:b/>
          <w:bCs/>
        </w:rPr>
      </w:pPr>
      <w:r w:rsidRPr="009F5FAB">
        <w:br w:type="page"/>
      </w:r>
      <w:r w:rsidRPr="009F5FAB">
        <w:rPr>
          <w:b/>
          <w:bCs/>
        </w:rPr>
        <w:lastRenderedPageBreak/>
        <w:t>4.4</w:t>
      </w:r>
      <w:proofErr w:type="gramStart"/>
      <w:r w:rsidRPr="009F5FAB">
        <w:rPr>
          <w:b/>
          <w:bCs/>
        </w:rPr>
        <w:t>.  Influence</w:t>
      </w:r>
      <w:proofErr w:type="gramEnd"/>
      <w:r w:rsidRPr="009F5FAB">
        <w:rPr>
          <w:b/>
          <w:bCs/>
        </w:rPr>
        <w:t xml:space="preserve"> of amine nitrates</w:t>
      </w:r>
    </w:p>
    <w:p w:rsidR="007E21F2" w:rsidRPr="00D374F3" w:rsidRDefault="007E21F2" w:rsidP="007E21F2">
      <w:pPr>
        <w:spacing w:before="240" w:line="360" w:lineRule="auto"/>
        <w:ind w:firstLine="709"/>
        <w:jc w:val="both"/>
      </w:pPr>
      <w:r w:rsidRPr="00D374F3">
        <w:t xml:space="preserve">Considering the amine nitrates as fuels, the tested suspensions can be classified in three groups: those containing hexamine nitrate (SP4 and SP5), those containing methylamine nitrate (SP3 and SP6), and those containing glycol as the only fuel. Analysing the MBP obtained values, it could be said that the highest values (7.71-8.90 </w:t>
      </w:r>
      <w:proofErr w:type="spellStart"/>
      <w:r w:rsidRPr="00D374F3">
        <w:t>MPa</w:t>
      </w:r>
      <w:proofErr w:type="spellEnd"/>
      <w:r w:rsidRPr="00D374F3">
        <w:t xml:space="preserve">) belong to the suspensions with methylamine nitrate, the intermediate values (5.17-7.14 </w:t>
      </w:r>
      <w:proofErr w:type="spellStart"/>
      <w:r w:rsidRPr="00D374F3">
        <w:t>MPa</w:t>
      </w:r>
      <w:proofErr w:type="spellEnd"/>
      <w:r w:rsidRPr="00D374F3">
        <w:t>) belong to the suspensions with glycol only, and finally, the lowest values (0.67-1.54) belong to the suspensions with hexamine nitrate.</w:t>
      </w:r>
    </w:p>
    <w:p w:rsidR="007E21F2" w:rsidRPr="009F5FAB" w:rsidRDefault="007E21F2" w:rsidP="007E21F2">
      <w:pPr>
        <w:spacing w:before="240" w:line="360" w:lineRule="auto"/>
        <w:ind w:firstLine="709"/>
        <w:jc w:val="both"/>
      </w:pPr>
      <w:r w:rsidRPr="00D374F3">
        <w:t>In this case, as most of the factor</w:t>
      </w:r>
      <w:r w:rsidRPr="009F5FAB">
        <w:t>s studied, it could be said that the behavio</w:t>
      </w:r>
      <w:r>
        <w:t>u</w:t>
      </w:r>
      <w:r w:rsidRPr="009F5FAB">
        <w:t xml:space="preserve">r of these substances in the MBP test is completely different to that observed in the </w:t>
      </w:r>
      <w:proofErr w:type="spellStart"/>
      <w:r w:rsidRPr="009F5FAB">
        <w:t>Koenen</w:t>
      </w:r>
      <w:proofErr w:type="spellEnd"/>
      <w:r w:rsidRPr="009F5FAB">
        <w:t xml:space="preserve"> test and the modified vented pipe test. If you compare the SP3 and SP5 suspensions that have very similar results in the </w:t>
      </w:r>
      <w:proofErr w:type="spellStart"/>
      <w:r w:rsidRPr="009F5FAB">
        <w:t>Koenen</w:t>
      </w:r>
      <w:proofErr w:type="spellEnd"/>
      <w:r w:rsidRPr="009F5FAB">
        <w:t xml:space="preserve"> (1.00 and 1.25 mm) and MVP tests (45 mm and 45 mm), it can be said that while the SP3 suspension presents a MBP of 8.90 </w:t>
      </w:r>
      <w:proofErr w:type="spellStart"/>
      <w:r w:rsidRPr="009F5FAB">
        <w:t>MPa</w:t>
      </w:r>
      <w:proofErr w:type="spellEnd"/>
      <w:r w:rsidRPr="009F5FAB">
        <w:t xml:space="preserve">, the SP5 suspension presents a value of 0.67 </w:t>
      </w:r>
      <w:proofErr w:type="spellStart"/>
      <w:r w:rsidRPr="009F5FAB">
        <w:t>MPa</w:t>
      </w:r>
      <w:proofErr w:type="spellEnd"/>
      <w:r w:rsidRPr="009F5FAB">
        <w:t>.</w:t>
      </w:r>
    </w:p>
    <w:p w:rsidR="007E21F2" w:rsidRPr="009F5FAB" w:rsidRDefault="007E21F2" w:rsidP="007E21F2">
      <w:pPr>
        <w:spacing w:line="360" w:lineRule="auto"/>
        <w:jc w:val="both"/>
      </w:pPr>
    </w:p>
    <w:p w:rsidR="007E21F2" w:rsidRPr="009F5FAB" w:rsidRDefault="007E21F2" w:rsidP="007E21F2">
      <w:pPr>
        <w:spacing w:before="240" w:line="360" w:lineRule="auto"/>
        <w:jc w:val="both"/>
        <w:rPr>
          <w:b/>
          <w:bCs/>
        </w:rPr>
      </w:pPr>
      <w:r w:rsidRPr="009F5FAB">
        <w:rPr>
          <w:b/>
          <w:bCs/>
        </w:rPr>
        <w:t>4.5</w:t>
      </w:r>
      <w:proofErr w:type="gramStart"/>
      <w:r w:rsidRPr="009F5FAB">
        <w:rPr>
          <w:b/>
          <w:bCs/>
        </w:rPr>
        <w:t>.  Influence</w:t>
      </w:r>
      <w:proofErr w:type="gramEnd"/>
      <w:r w:rsidRPr="009F5FAB">
        <w:rPr>
          <w:b/>
          <w:bCs/>
        </w:rPr>
        <w:t xml:space="preserve"> of the emulsion stability</w:t>
      </w:r>
    </w:p>
    <w:p w:rsidR="007E21F2" w:rsidRPr="00D374F3" w:rsidRDefault="007E21F2" w:rsidP="007E21F2">
      <w:pPr>
        <w:spacing w:before="240" w:line="360" w:lineRule="auto"/>
        <w:ind w:firstLine="709"/>
        <w:jc w:val="both"/>
      </w:pPr>
      <w:r w:rsidRPr="00D374F3">
        <w:t xml:space="preserve">In a previous study on the modified vented pipe test </w:t>
      </w:r>
      <w:r w:rsidRPr="00D374F3">
        <w:rPr>
          <w:b/>
        </w:rPr>
        <w:t>(3)</w:t>
      </w:r>
      <w:r w:rsidRPr="00D374F3">
        <w:t>, it was observed that the emulsion stability had a remarkable influence on the test outcome. The greater the emulsion stability was</w:t>
      </w:r>
      <w:proofErr w:type="gramStart"/>
      <w:r w:rsidRPr="00D374F3">
        <w:t>,</w:t>
      </w:r>
      <w:proofErr w:type="gramEnd"/>
      <w:r w:rsidRPr="00D374F3">
        <w:t xml:space="preserve"> the greater was the limiting diameter obtained. Varying the emulsifier content, it was observed that the greater was the content, the higher was the limiting diameter obtained. It was also noted that the emulsions prepared with a PIBSA emulsifier (polymeric emulsifier), showed greater LD values than those prepared with </w:t>
      </w:r>
      <w:proofErr w:type="spellStart"/>
      <w:r w:rsidRPr="00D374F3">
        <w:t>sorbitan</w:t>
      </w:r>
      <w:proofErr w:type="spellEnd"/>
      <w:r w:rsidRPr="00D374F3">
        <w:t xml:space="preserve"> </w:t>
      </w:r>
      <w:proofErr w:type="spellStart"/>
      <w:r w:rsidRPr="00D374F3">
        <w:t>monooleate</w:t>
      </w:r>
      <w:proofErr w:type="spellEnd"/>
      <w:r w:rsidRPr="00D374F3">
        <w:t xml:space="preserve"> (low molar mass emulsifier).</w:t>
      </w:r>
    </w:p>
    <w:p w:rsidR="007E21F2" w:rsidRPr="009F5FAB" w:rsidRDefault="007E21F2" w:rsidP="007E21F2">
      <w:pPr>
        <w:spacing w:before="240" w:line="360" w:lineRule="auto"/>
        <w:ind w:firstLine="709"/>
        <w:jc w:val="both"/>
      </w:pPr>
      <w:r w:rsidRPr="00D374F3">
        <w:t xml:space="preserve">However, an influence of the emulsion stability is not appreciated in the case of the MBP test. So, EM3, EM11 and EM12 emulsions, that have decreasing emulsifier contents, show very similar MBPs, 3.24, 3.14 and 2.66 </w:t>
      </w:r>
      <w:proofErr w:type="spellStart"/>
      <w:r w:rsidRPr="00D374F3">
        <w:t>MPa</w:t>
      </w:r>
      <w:proofErr w:type="spellEnd"/>
      <w:r w:rsidRPr="00D374F3">
        <w:t>, respectively; while their LD are completely different; ≥100, 85 and 65 mm, respectively. Same behaviour can be observed for one salt EM13 and EM14 emulsions, presenting MBP of 14.22 and 12.81, respectively, and MVPT limiting diameters of 75 and &lt; 30 mm, respectively. The emulsions EM13 (PIBSA) and EM15 (SMO) present MBPs of 14.22 and 11.65 mm, and MVPT limiting diameters of 75 and 65 mm, respectively. That is to say, SMO emulsion showed a less severe MVPT outcome and a more severe MBPT outcome than PIBSA emulsion.</w:t>
      </w:r>
    </w:p>
    <w:p w:rsidR="007E21F2" w:rsidRPr="009F5FAB" w:rsidRDefault="007E21F2" w:rsidP="007E21F2">
      <w:pPr>
        <w:spacing w:before="240" w:line="360" w:lineRule="auto"/>
        <w:jc w:val="both"/>
      </w:pPr>
      <w:r w:rsidRPr="009F5FAB" w:rsidDel="00662B38">
        <w:t xml:space="preserve"> </w:t>
      </w:r>
      <w:r w:rsidRPr="009F5FAB">
        <w:br w:type="page"/>
      </w:r>
      <w:r w:rsidRPr="009F5FAB">
        <w:rPr>
          <w:b/>
          <w:bCs/>
        </w:rPr>
        <w:lastRenderedPageBreak/>
        <w:t>4.6</w:t>
      </w:r>
      <w:proofErr w:type="gramStart"/>
      <w:r w:rsidRPr="009F5FAB">
        <w:rPr>
          <w:b/>
          <w:bCs/>
        </w:rPr>
        <w:t>.  Relationships</w:t>
      </w:r>
      <w:proofErr w:type="gramEnd"/>
      <w:r w:rsidRPr="009F5FAB">
        <w:rPr>
          <w:b/>
          <w:bCs/>
        </w:rPr>
        <w:t xml:space="preserve"> between MBPT, </w:t>
      </w:r>
      <w:proofErr w:type="spellStart"/>
      <w:r w:rsidRPr="009F5FAB">
        <w:rPr>
          <w:b/>
          <w:bCs/>
        </w:rPr>
        <w:t>Koenen</w:t>
      </w:r>
      <w:proofErr w:type="spellEnd"/>
      <w:r w:rsidRPr="009F5FAB">
        <w:rPr>
          <w:b/>
          <w:bCs/>
        </w:rPr>
        <w:t xml:space="preserve"> and MVPT Test</w:t>
      </w:r>
    </w:p>
    <w:p w:rsidR="007E21F2" w:rsidRPr="009F5FAB" w:rsidRDefault="007E21F2" w:rsidP="007E21F2">
      <w:pPr>
        <w:spacing w:before="240" w:line="360" w:lineRule="auto"/>
        <w:jc w:val="both"/>
      </w:pPr>
      <w:r w:rsidRPr="009F5FAB">
        <w:tab/>
        <w:t xml:space="preserve">The possible relationship between the limiting diameters of MVP and </w:t>
      </w:r>
      <w:proofErr w:type="spellStart"/>
      <w:r w:rsidRPr="009F5FAB">
        <w:t>Koenen</w:t>
      </w:r>
      <w:proofErr w:type="spellEnd"/>
      <w:r w:rsidRPr="009F5FAB">
        <w:t xml:space="preserve"> tests had been analysed in a previous report </w:t>
      </w:r>
      <w:r w:rsidRPr="009F5FAB">
        <w:rPr>
          <w:b/>
          <w:bCs/>
        </w:rPr>
        <w:t>(3)</w:t>
      </w:r>
      <w:r w:rsidRPr="009F5FAB">
        <w:t xml:space="preserve">. Figure 4 shows the MVPT limiting diameter versus the </w:t>
      </w:r>
      <w:proofErr w:type="spellStart"/>
      <w:r w:rsidRPr="009F5FAB">
        <w:t>Koenen</w:t>
      </w:r>
      <w:proofErr w:type="spellEnd"/>
      <w:r w:rsidRPr="009F5FAB">
        <w:t xml:space="preserve"> test limiting diameter for different emulsions and suspensions. In both tests these limiting diameters correspond to the maximum diameters at which an explosion occurred. The points corresponding to a </w:t>
      </w:r>
      <w:proofErr w:type="spellStart"/>
      <w:r w:rsidRPr="009F5FAB">
        <w:t>Koenen</w:t>
      </w:r>
      <w:proofErr w:type="spellEnd"/>
      <w:r w:rsidRPr="009F5FAB">
        <w:t xml:space="preserve"> test limiting diameter of 0.50 mm or to a MVPT limiting diameter of 25 mm are merely illustrative since they correspond to those cases in which there was no explosion with a diameter of 0.75 mm or 30 mm, respectively. A clear increasing monotonous dependence was found, and the points corresponding to suspensions, as well as those corresponding to emulsions fitted one sole curve.</w:t>
      </w:r>
    </w:p>
    <w:p w:rsidR="007E21F2" w:rsidRPr="009F5FAB" w:rsidRDefault="007E21F2" w:rsidP="007E21F2">
      <w:pPr>
        <w:spacing w:line="360" w:lineRule="auto"/>
        <w:jc w:val="both"/>
      </w:pPr>
    </w:p>
    <w:p w:rsidR="007E21F2" w:rsidRPr="009F5FAB" w:rsidRDefault="007E21F2" w:rsidP="007E21F2">
      <w:pPr>
        <w:spacing w:line="360" w:lineRule="auto"/>
        <w:jc w:val="center"/>
      </w:pPr>
      <w:r>
        <w:rPr>
          <w:noProof/>
          <w:lang w:eastAsia="en-GB"/>
        </w:rPr>
        <w:drawing>
          <wp:inline distT="0" distB="0" distL="0" distR="0">
            <wp:extent cx="4315460" cy="43154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5460" cy="4315460"/>
                    </a:xfrm>
                    <a:prstGeom prst="rect">
                      <a:avLst/>
                    </a:prstGeom>
                    <a:noFill/>
                    <a:ln>
                      <a:noFill/>
                    </a:ln>
                  </pic:spPr>
                </pic:pic>
              </a:graphicData>
            </a:graphic>
          </wp:inline>
        </w:drawing>
      </w:r>
    </w:p>
    <w:p w:rsidR="007E21F2" w:rsidRPr="009F5FAB" w:rsidRDefault="007E21F2" w:rsidP="007E21F2">
      <w:pPr>
        <w:pStyle w:val="BodyText"/>
        <w:tabs>
          <w:tab w:val="right" w:pos="9000"/>
        </w:tabs>
        <w:ind w:left="1418" w:right="1558"/>
        <w:rPr>
          <w:rFonts w:ascii="Arial" w:hAnsi="Arial"/>
          <w:b/>
          <w:sz w:val="18"/>
          <w:szCs w:val="18"/>
        </w:rPr>
      </w:pPr>
      <w:proofErr w:type="gramStart"/>
      <w:r w:rsidRPr="009F5FAB">
        <w:rPr>
          <w:rFonts w:ascii="Arial" w:hAnsi="Arial"/>
          <w:b/>
          <w:bCs/>
          <w:sz w:val="18"/>
          <w:szCs w:val="18"/>
        </w:rPr>
        <w:t>Figure 4</w:t>
      </w:r>
      <w:r w:rsidRPr="009F5FAB">
        <w:rPr>
          <w:rFonts w:ascii="Arial" w:hAnsi="Arial"/>
          <w:b/>
          <w:sz w:val="18"/>
          <w:szCs w:val="18"/>
        </w:rPr>
        <w:t>.</w:t>
      </w:r>
      <w:proofErr w:type="gramEnd"/>
      <w:r w:rsidRPr="009F5FAB">
        <w:rPr>
          <w:rFonts w:ascii="Arial" w:hAnsi="Arial"/>
          <w:b/>
          <w:sz w:val="18"/>
          <w:szCs w:val="18"/>
        </w:rPr>
        <w:t xml:space="preserve"> MVPT limiting diameter as a function of </w:t>
      </w:r>
      <w:proofErr w:type="spellStart"/>
      <w:r w:rsidRPr="009F5FAB">
        <w:rPr>
          <w:rFonts w:ascii="Arial" w:hAnsi="Arial"/>
          <w:b/>
          <w:sz w:val="18"/>
          <w:szCs w:val="18"/>
        </w:rPr>
        <w:t>Koenen</w:t>
      </w:r>
      <w:proofErr w:type="spellEnd"/>
      <w:r w:rsidRPr="009F5FAB">
        <w:rPr>
          <w:rFonts w:ascii="Arial" w:hAnsi="Arial"/>
          <w:b/>
          <w:sz w:val="18"/>
          <w:szCs w:val="18"/>
        </w:rPr>
        <w:t xml:space="preserve"> test limiting diameter for suspensions (triangles) and emulsions (circles).</w:t>
      </w:r>
    </w:p>
    <w:p w:rsidR="007E21F2" w:rsidRPr="009F5FAB" w:rsidRDefault="007E21F2" w:rsidP="007E21F2">
      <w:pPr>
        <w:spacing w:line="360" w:lineRule="auto"/>
        <w:ind w:firstLine="709"/>
        <w:jc w:val="both"/>
      </w:pPr>
    </w:p>
    <w:p w:rsidR="007E21F2" w:rsidRPr="009F5FAB" w:rsidRDefault="007E21F2" w:rsidP="007E21F2">
      <w:pPr>
        <w:spacing w:line="360" w:lineRule="auto"/>
        <w:ind w:firstLine="709"/>
        <w:jc w:val="both"/>
      </w:pPr>
    </w:p>
    <w:p w:rsidR="007E21F2" w:rsidRPr="00D374F3" w:rsidRDefault="007E21F2" w:rsidP="007E21F2">
      <w:pPr>
        <w:spacing w:before="240" w:line="360" w:lineRule="auto"/>
        <w:ind w:firstLine="709"/>
        <w:jc w:val="both"/>
      </w:pPr>
      <w:r>
        <w:br w:type="page"/>
      </w:r>
      <w:r w:rsidRPr="00D374F3">
        <w:lastRenderedPageBreak/>
        <w:t xml:space="preserve">As it has been proposed, the minimum burning pressure test, as an alternative test to </w:t>
      </w:r>
      <w:proofErr w:type="spellStart"/>
      <w:r w:rsidRPr="00D374F3">
        <w:t>Koenen</w:t>
      </w:r>
      <w:proofErr w:type="spellEnd"/>
      <w:r w:rsidRPr="00D374F3">
        <w:t xml:space="preserve"> test and vented pipe test, the possible relations between these tests and MBP test have been also analysed.</w:t>
      </w:r>
    </w:p>
    <w:p w:rsidR="007E21F2" w:rsidRPr="009F5FAB" w:rsidRDefault="007E21F2" w:rsidP="007E21F2">
      <w:pPr>
        <w:spacing w:before="240" w:line="360" w:lineRule="auto"/>
        <w:ind w:firstLine="709"/>
        <w:jc w:val="both"/>
      </w:pPr>
      <w:r w:rsidRPr="00D374F3">
        <w:t>Figures 5 and 6</w:t>
      </w:r>
      <w:r w:rsidRPr="009F5FAB">
        <w:t xml:space="preserve"> </w:t>
      </w:r>
      <w:proofErr w:type="gramStart"/>
      <w:r w:rsidRPr="009F5FAB">
        <w:t>show</w:t>
      </w:r>
      <w:proofErr w:type="gramEnd"/>
      <w:r w:rsidRPr="009F5FAB">
        <w:t xml:space="preserve"> the minimum burning pressure versus the </w:t>
      </w:r>
      <w:proofErr w:type="spellStart"/>
      <w:r w:rsidRPr="009F5FAB">
        <w:t>Koenen</w:t>
      </w:r>
      <w:proofErr w:type="spellEnd"/>
      <w:r w:rsidRPr="009F5FAB">
        <w:t xml:space="preserve"> test limiting diameter and the modified vented pipe test limiting diameter, respectively.</w:t>
      </w:r>
    </w:p>
    <w:p w:rsidR="007E21F2" w:rsidRPr="009F5FAB" w:rsidRDefault="007E21F2" w:rsidP="007E21F2">
      <w:pPr>
        <w:spacing w:line="360" w:lineRule="auto"/>
        <w:jc w:val="center"/>
      </w:pPr>
      <w:r>
        <w:rPr>
          <w:noProof/>
          <w:lang w:eastAsia="en-GB"/>
        </w:rPr>
        <w:drawing>
          <wp:inline distT="0" distB="0" distL="0" distR="0">
            <wp:extent cx="4315460" cy="43021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15460" cy="4302125"/>
                    </a:xfrm>
                    <a:prstGeom prst="rect">
                      <a:avLst/>
                    </a:prstGeom>
                    <a:noFill/>
                    <a:ln>
                      <a:noFill/>
                    </a:ln>
                  </pic:spPr>
                </pic:pic>
              </a:graphicData>
            </a:graphic>
          </wp:inline>
        </w:drawing>
      </w:r>
    </w:p>
    <w:p w:rsidR="007E21F2" w:rsidRPr="009F5FAB" w:rsidRDefault="007E21F2" w:rsidP="007E21F2">
      <w:pPr>
        <w:pStyle w:val="BodyText"/>
        <w:tabs>
          <w:tab w:val="right" w:pos="9000"/>
        </w:tabs>
        <w:ind w:left="1418" w:right="1416"/>
        <w:rPr>
          <w:rFonts w:ascii="Arial" w:hAnsi="Arial"/>
          <w:b/>
          <w:sz w:val="18"/>
          <w:szCs w:val="18"/>
        </w:rPr>
      </w:pPr>
      <w:proofErr w:type="gramStart"/>
      <w:r w:rsidRPr="009F5FAB">
        <w:rPr>
          <w:rFonts w:ascii="Arial" w:hAnsi="Arial"/>
          <w:b/>
          <w:bCs/>
          <w:sz w:val="18"/>
          <w:szCs w:val="18"/>
        </w:rPr>
        <w:t>Figure 5</w:t>
      </w:r>
      <w:r w:rsidRPr="009F5FAB">
        <w:rPr>
          <w:rFonts w:ascii="Arial" w:hAnsi="Arial"/>
          <w:b/>
          <w:sz w:val="18"/>
          <w:szCs w:val="18"/>
        </w:rPr>
        <w:t>.</w:t>
      </w:r>
      <w:proofErr w:type="gramEnd"/>
      <w:r w:rsidRPr="009F5FAB">
        <w:rPr>
          <w:rFonts w:ascii="Arial" w:hAnsi="Arial"/>
          <w:b/>
          <w:sz w:val="18"/>
          <w:szCs w:val="18"/>
        </w:rPr>
        <w:t xml:space="preserve"> Minimum burning pressure as a function of </w:t>
      </w:r>
      <w:proofErr w:type="spellStart"/>
      <w:r w:rsidRPr="009F5FAB">
        <w:rPr>
          <w:rFonts w:ascii="Arial" w:hAnsi="Arial"/>
          <w:b/>
          <w:sz w:val="18"/>
          <w:szCs w:val="18"/>
        </w:rPr>
        <w:t>Koenen</w:t>
      </w:r>
      <w:proofErr w:type="spellEnd"/>
      <w:r w:rsidRPr="009F5FAB">
        <w:rPr>
          <w:rFonts w:ascii="Arial" w:hAnsi="Arial"/>
          <w:b/>
          <w:sz w:val="18"/>
          <w:szCs w:val="18"/>
        </w:rPr>
        <w:t xml:space="preserve"> test limiting diameter for suspensions (triangles) and emulsions (circles).</w:t>
      </w:r>
    </w:p>
    <w:p w:rsidR="007E21F2" w:rsidRPr="009F5FAB" w:rsidRDefault="007E21F2" w:rsidP="007E21F2">
      <w:pPr>
        <w:spacing w:line="360" w:lineRule="auto"/>
        <w:jc w:val="both"/>
      </w:pPr>
    </w:p>
    <w:p w:rsidR="007E21F2" w:rsidRPr="009F5FAB" w:rsidRDefault="007E21F2" w:rsidP="007E21F2">
      <w:pPr>
        <w:spacing w:line="360" w:lineRule="auto"/>
        <w:jc w:val="center"/>
      </w:pPr>
      <w:r w:rsidRPr="009F5FAB">
        <w:br w:type="page"/>
      </w:r>
      <w:r>
        <w:rPr>
          <w:noProof/>
          <w:lang w:eastAsia="en-GB"/>
        </w:rPr>
        <w:lastRenderedPageBreak/>
        <w:drawing>
          <wp:inline distT="0" distB="0" distL="0" distR="0">
            <wp:extent cx="4315460" cy="43154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5460" cy="4315460"/>
                    </a:xfrm>
                    <a:prstGeom prst="rect">
                      <a:avLst/>
                    </a:prstGeom>
                    <a:noFill/>
                    <a:ln>
                      <a:noFill/>
                    </a:ln>
                  </pic:spPr>
                </pic:pic>
              </a:graphicData>
            </a:graphic>
          </wp:inline>
        </w:drawing>
      </w:r>
    </w:p>
    <w:p w:rsidR="007E21F2" w:rsidRPr="009F5FAB" w:rsidRDefault="007E21F2" w:rsidP="007E21F2">
      <w:pPr>
        <w:pStyle w:val="BodyText"/>
        <w:tabs>
          <w:tab w:val="right" w:pos="9000"/>
        </w:tabs>
        <w:ind w:left="1418" w:right="1558"/>
        <w:rPr>
          <w:rFonts w:ascii="Arial" w:hAnsi="Arial"/>
          <w:b/>
          <w:sz w:val="18"/>
          <w:szCs w:val="18"/>
        </w:rPr>
      </w:pPr>
      <w:proofErr w:type="gramStart"/>
      <w:r w:rsidRPr="009F5FAB">
        <w:rPr>
          <w:rFonts w:ascii="Arial" w:hAnsi="Arial"/>
          <w:b/>
          <w:bCs/>
          <w:sz w:val="18"/>
          <w:szCs w:val="18"/>
        </w:rPr>
        <w:t>Figure 6</w:t>
      </w:r>
      <w:r w:rsidRPr="009F5FAB">
        <w:rPr>
          <w:rFonts w:ascii="Arial" w:hAnsi="Arial"/>
          <w:b/>
          <w:sz w:val="18"/>
          <w:szCs w:val="18"/>
        </w:rPr>
        <w:t>.</w:t>
      </w:r>
      <w:proofErr w:type="gramEnd"/>
      <w:r w:rsidRPr="009F5FAB">
        <w:rPr>
          <w:rFonts w:ascii="Arial" w:hAnsi="Arial"/>
          <w:b/>
          <w:sz w:val="18"/>
          <w:szCs w:val="18"/>
        </w:rPr>
        <w:t xml:space="preserve"> Minimum burning pressure as a function of modified vented pipe test limiting diameter for suspensions (triangles) and emulsions (circles).</w:t>
      </w:r>
    </w:p>
    <w:p w:rsidR="007E21F2" w:rsidRPr="00D374F3" w:rsidRDefault="007E21F2" w:rsidP="007E21F2">
      <w:pPr>
        <w:spacing w:before="240" w:line="360" w:lineRule="auto"/>
        <w:ind w:firstLine="709"/>
        <w:jc w:val="both"/>
      </w:pPr>
      <w:r w:rsidRPr="00D374F3">
        <w:t xml:space="preserve">A total lack of correlation between minimum burning pressure and the two current tests can be observed. This result is not surprising, as it has already been indicated, except for the water content, the influences of all analysed factors showed different behaviours when compared the minimum burning pressure test with the </w:t>
      </w:r>
      <w:proofErr w:type="spellStart"/>
      <w:r w:rsidRPr="00D374F3">
        <w:t>Koenen</w:t>
      </w:r>
      <w:proofErr w:type="spellEnd"/>
      <w:r w:rsidRPr="00D374F3">
        <w:t xml:space="preserve"> test and the modified vented pipe test.</w:t>
      </w:r>
    </w:p>
    <w:p w:rsidR="007E21F2" w:rsidRPr="00D374F3" w:rsidRDefault="007E21F2" w:rsidP="007E21F2">
      <w:pPr>
        <w:spacing w:before="240" w:line="360" w:lineRule="auto"/>
        <w:ind w:firstLine="709"/>
        <w:jc w:val="both"/>
      </w:pPr>
      <w:r w:rsidRPr="00D374F3">
        <w:t xml:space="preserve">Furthermore, we must keep in mind that the </w:t>
      </w:r>
      <w:proofErr w:type="spellStart"/>
      <w:r w:rsidRPr="00D374F3">
        <w:t>Koenen</w:t>
      </w:r>
      <w:proofErr w:type="spellEnd"/>
      <w:r w:rsidRPr="00D374F3">
        <w:t xml:space="preserve"> test is used to determine the sensitiveness of a substance to the effect of intense heat under high confinement and the modified vented pipe test is used to assess the effect of exposure of a substance to a large external fire under confined, vented conditions. However, the minimum burning pressure test is used to determine the sensitiveness of a substance to the effect of intense localized thermal ignition under high pressure.</w:t>
      </w:r>
    </w:p>
    <w:p w:rsidR="007E21F2" w:rsidRPr="009F5FAB" w:rsidRDefault="007E21F2" w:rsidP="007E21F2">
      <w:pPr>
        <w:spacing w:before="240" w:line="360" w:lineRule="auto"/>
        <w:jc w:val="both"/>
      </w:pPr>
      <w:r w:rsidRPr="00D374F3">
        <w:tab/>
        <w:t xml:space="preserve">Even though a thermal ignition is noticed in the three tests, </w:t>
      </w:r>
      <w:proofErr w:type="spellStart"/>
      <w:r w:rsidRPr="00D374F3">
        <w:t>Koenen</w:t>
      </w:r>
      <w:proofErr w:type="spellEnd"/>
      <w:r w:rsidRPr="00D374F3">
        <w:t xml:space="preserve"> test and vented pipe test deal with a thermal explosion or cook-off phenomenon, which is a consequence of a reaction runaway in a chemical system undergoing exoth</w:t>
      </w:r>
      <w:r w:rsidRPr="009F5FAB">
        <w:t>ermic reaction. The condition involves the near simultaneous heating of an entire inventory followed by a rapid reaction.</w:t>
      </w:r>
    </w:p>
    <w:p w:rsidR="007E21F2" w:rsidRPr="009F5FAB" w:rsidRDefault="007E21F2" w:rsidP="007E21F2">
      <w:pPr>
        <w:spacing w:before="240" w:line="360" w:lineRule="auto"/>
        <w:ind w:firstLine="709"/>
        <w:jc w:val="both"/>
      </w:pPr>
      <w:r w:rsidRPr="009F5FAB">
        <w:lastRenderedPageBreak/>
        <w:t xml:space="preserve">On the other hand, minimum burning pressure test uses a localized ignition (hot spot) which can lead to a deflagration where pressures are sufficient to support combustion. In contrast to thermal explosion, deflagration involves the passage of a combustion wave through an energetic material, normally at ambient temperature in the unreached state. This means, an intense local thermal initiation can lead to a deflagration if local pressures are sufficient high to support this combustion process. Deflagration depends on pressure so a burning front will tend to accelerate unless there is a means of dissipating high pressures. Finally, if </w:t>
      </w:r>
      <w:r w:rsidRPr="009F5FAB">
        <w:rPr>
          <w:lang w:val="en-US"/>
        </w:rPr>
        <w:t xml:space="preserve">the comparatively slow sub-sonic burn can accelerate enough, a </w:t>
      </w:r>
      <w:r w:rsidRPr="009F5FAB">
        <w:t>deflagration to detonation transition would take place.</w:t>
      </w:r>
    </w:p>
    <w:p w:rsidR="002714EF" w:rsidRDefault="002714EF" w:rsidP="007E21F2">
      <w:pPr>
        <w:jc w:val="both"/>
        <w:rPr>
          <w:b/>
          <w:bCs/>
          <w:sz w:val="22"/>
        </w:rPr>
      </w:pPr>
    </w:p>
    <w:p w:rsidR="007E21F2" w:rsidRPr="00D374F3" w:rsidRDefault="007E21F2" w:rsidP="007E21F2">
      <w:pPr>
        <w:jc w:val="both"/>
        <w:rPr>
          <w:b/>
          <w:bCs/>
          <w:sz w:val="22"/>
        </w:rPr>
      </w:pPr>
      <w:r w:rsidRPr="00D374F3">
        <w:rPr>
          <w:b/>
          <w:bCs/>
          <w:sz w:val="22"/>
        </w:rPr>
        <w:t>6.  REFERENCES</w:t>
      </w:r>
    </w:p>
    <w:p w:rsidR="007E21F2" w:rsidRPr="00D374F3" w:rsidRDefault="007E21F2" w:rsidP="007E21F2">
      <w:pPr>
        <w:spacing w:line="360" w:lineRule="auto"/>
        <w:ind w:left="540" w:hanging="540"/>
        <w:jc w:val="both"/>
      </w:pPr>
    </w:p>
    <w:p w:rsidR="007E21F2" w:rsidRPr="00D374F3" w:rsidRDefault="007E21F2" w:rsidP="007E21F2">
      <w:pPr>
        <w:spacing w:line="360" w:lineRule="auto"/>
        <w:ind w:left="540" w:hanging="540"/>
        <w:jc w:val="both"/>
      </w:pPr>
      <w:r w:rsidRPr="00D374F3">
        <w:t>1.</w:t>
      </w:r>
      <w:r w:rsidRPr="00D374F3">
        <w:tab/>
        <w:t>Expert from Canada, ‘</w:t>
      </w:r>
      <w:r w:rsidRPr="009F5FAB">
        <w:t>On the use of the minimum burning pressure test as an alternative Series 8 Test</w:t>
      </w:r>
      <w:r w:rsidRPr="00D374F3">
        <w:t>’, UN/SCETDG/37/INF.41, Geneva, June 2010.</w:t>
      </w:r>
    </w:p>
    <w:p w:rsidR="007E21F2" w:rsidRPr="00D374F3" w:rsidRDefault="007E21F2" w:rsidP="007E21F2">
      <w:pPr>
        <w:spacing w:line="360" w:lineRule="auto"/>
        <w:ind w:left="540" w:hanging="540"/>
        <w:jc w:val="both"/>
      </w:pPr>
      <w:r w:rsidRPr="00D374F3">
        <w:t>2.</w:t>
      </w:r>
      <w:r w:rsidRPr="00D374F3">
        <w:tab/>
        <w:t>Chairman of the Working Group, ‘</w:t>
      </w:r>
      <w:r w:rsidRPr="009F5FAB">
        <w:t xml:space="preserve">Report </w:t>
      </w:r>
      <w:r w:rsidRPr="00D374F3">
        <w:t>of the Working Group on Explosives’, UN/SCETDG/37/INF.73, Geneva, June 2010.</w:t>
      </w:r>
    </w:p>
    <w:p w:rsidR="007E21F2" w:rsidRPr="00D374F3" w:rsidRDefault="007E21F2" w:rsidP="007E21F2">
      <w:pPr>
        <w:spacing w:line="360" w:lineRule="auto"/>
        <w:ind w:left="540" w:hanging="540"/>
        <w:jc w:val="both"/>
      </w:pPr>
      <w:r w:rsidRPr="00D374F3">
        <w:t>3.</w:t>
      </w:r>
      <w:r w:rsidRPr="00D374F3">
        <w:tab/>
        <w:t xml:space="preserve">J.R. Quintana, and F. </w:t>
      </w:r>
      <w:proofErr w:type="spellStart"/>
      <w:r w:rsidRPr="00D374F3">
        <w:t>Beitia</w:t>
      </w:r>
      <w:proofErr w:type="spellEnd"/>
      <w:r w:rsidRPr="00D374F3">
        <w:t>, UEE, ‘Performance of Modified Vented Pipe Test (Australian Procedure) on Ammonium Nitrate Emulsions and Suspensions (ANE)’, UN/SCETDG/25/INF.74, Geneva, July 2004.</w:t>
      </w:r>
    </w:p>
    <w:p w:rsidR="007E21F2" w:rsidRPr="00D374F3" w:rsidRDefault="007E21F2" w:rsidP="007E21F2">
      <w:pPr>
        <w:pStyle w:val="BodyText"/>
        <w:spacing w:line="360" w:lineRule="auto"/>
        <w:ind w:left="540" w:hanging="540"/>
        <w:rPr>
          <w:rFonts w:ascii="Arial" w:hAnsi="Arial"/>
        </w:rPr>
      </w:pPr>
      <w:r w:rsidRPr="00D374F3">
        <w:rPr>
          <w:rFonts w:ascii="Arial" w:hAnsi="Arial"/>
        </w:rPr>
        <w:t>4.</w:t>
      </w:r>
      <w:r w:rsidRPr="00D374F3">
        <w:rPr>
          <w:rFonts w:ascii="Arial" w:hAnsi="Arial"/>
        </w:rPr>
        <w:tab/>
      </w:r>
      <w:proofErr w:type="spellStart"/>
      <w:r w:rsidRPr="00D374F3">
        <w:rPr>
          <w:rFonts w:ascii="Arial" w:hAnsi="Arial"/>
        </w:rPr>
        <w:t>Turcotte</w:t>
      </w:r>
      <w:proofErr w:type="spellEnd"/>
      <w:r w:rsidRPr="00D374F3">
        <w:rPr>
          <w:rFonts w:ascii="Arial" w:hAnsi="Arial"/>
        </w:rPr>
        <w:t xml:space="preserve">, R.; Feng, H.; </w:t>
      </w:r>
      <w:proofErr w:type="spellStart"/>
      <w:r w:rsidRPr="00D374F3">
        <w:rPr>
          <w:rFonts w:ascii="Arial" w:hAnsi="Arial"/>
        </w:rPr>
        <w:t>Badeen</w:t>
      </w:r>
      <w:proofErr w:type="spellEnd"/>
      <w:r w:rsidRPr="00D374F3">
        <w:rPr>
          <w:rFonts w:ascii="Arial" w:hAnsi="Arial"/>
        </w:rPr>
        <w:t xml:space="preserve">, C.M.; </w:t>
      </w:r>
      <w:proofErr w:type="spellStart"/>
      <w:r w:rsidRPr="00D374F3">
        <w:rPr>
          <w:rFonts w:ascii="Arial" w:hAnsi="Arial"/>
        </w:rPr>
        <w:t>Goldthorp</w:t>
      </w:r>
      <w:proofErr w:type="spellEnd"/>
      <w:r w:rsidRPr="00D374F3">
        <w:rPr>
          <w:rFonts w:ascii="Arial" w:hAnsi="Arial"/>
        </w:rPr>
        <w:t>, S.; Johnson, C. and Chan, S.K., ‘A Test to Measure the Minimum Burning Pressure of Water-based Commercial Explosives and their Precursors’, CERL Report 2009-15 (OP-J), May 2009.</w:t>
      </w:r>
    </w:p>
    <w:p w:rsidR="007E21F2" w:rsidRPr="00D374F3" w:rsidRDefault="007E21F2" w:rsidP="007E21F2">
      <w:pPr>
        <w:spacing w:line="360" w:lineRule="auto"/>
        <w:ind w:left="540" w:hanging="540"/>
        <w:jc w:val="both"/>
      </w:pPr>
      <w:r w:rsidRPr="00D374F3">
        <w:t>5.</w:t>
      </w:r>
      <w:r w:rsidRPr="00D374F3">
        <w:tab/>
      </w:r>
      <w:proofErr w:type="spellStart"/>
      <w:r w:rsidRPr="00D374F3">
        <w:t>Turcotte</w:t>
      </w:r>
      <w:proofErr w:type="spellEnd"/>
      <w:r w:rsidRPr="00D374F3">
        <w:t xml:space="preserve">, R.; </w:t>
      </w:r>
      <w:proofErr w:type="spellStart"/>
      <w:r w:rsidRPr="00D374F3">
        <w:t>Goldthorp</w:t>
      </w:r>
      <w:proofErr w:type="spellEnd"/>
      <w:r w:rsidRPr="00D374F3">
        <w:t xml:space="preserve">, S.; </w:t>
      </w:r>
      <w:proofErr w:type="spellStart"/>
      <w:r w:rsidRPr="00D374F3">
        <w:t>Badeen</w:t>
      </w:r>
      <w:proofErr w:type="spellEnd"/>
      <w:r w:rsidRPr="00D374F3">
        <w:t xml:space="preserve">, C.M.; Johnson, C.; Feng, H. and Chan, S.K., ‘Influence of Physical Characteristics and Ingredients on the Minimum Burning Pressure of Ammonium Nitrate Emulsions’, </w:t>
      </w:r>
      <w:proofErr w:type="gramStart"/>
      <w:r w:rsidRPr="00D374F3">
        <w:rPr>
          <w:i/>
        </w:rPr>
        <w:t>Propellants Explosives Pyrotechnics</w:t>
      </w:r>
      <w:r w:rsidRPr="00D374F3">
        <w:t xml:space="preserve"> 2</w:t>
      </w:r>
      <w:r w:rsidRPr="00D374F3">
        <w:rPr>
          <w:b/>
        </w:rPr>
        <w:t>010</w:t>
      </w:r>
      <w:r w:rsidRPr="00D374F3">
        <w:t xml:space="preserve">, </w:t>
      </w:r>
      <w:r w:rsidRPr="00D374F3">
        <w:rPr>
          <w:i/>
        </w:rPr>
        <w:t>35</w:t>
      </w:r>
      <w:r w:rsidRPr="00D374F3">
        <w:t>, 233.</w:t>
      </w:r>
      <w:proofErr w:type="gramEnd"/>
    </w:p>
    <w:p w:rsidR="007E21F2" w:rsidRPr="00D374F3" w:rsidRDefault="007E21F2" w:rsidP="007E21F2">
      <w:pPr>
        <w:spacing w:line="360" w:lineRule="auto"/>
        <w:ind w:left="540" w:hanging="540"/>
        <w:jc w:val="both"/>
      </w:pPr>
    </w:p>
    <w:p w:rsidR="007E21F2" w:rsidRPr="00D374F3" w:rsidRDefault="007E21F2" w:rsidP="007E21F2">
      <w:pPr>
        <w:spacing w:line="360" w:lineRule="auto"/>
        <w:ind w:left="540" w:hanging="540"/>
        <w:jc w:val="both"/>
      </w:pPr>
    </w:p>
    <w:p w:rsidR="007E21F2" w:rsidRPr="00D374F3" w:rsidRDefault="007E21F2" w:rsidP="007E21F2">
      <w:pPr>
        <w:spacing w:line="360" w:lineRule="auto"/>
        <w:ind w:left="540" w:hanging="540"/>
        <w:jc w:val="center"/>
      </w:pPr>
      <w:r w:rsidRPr="00D374F3">
        <w:t>______________________</w:t>
      </w:r>
    </w:p>
    <w:p w:rsidR="00AB103E" w:rsidRPr="003C007B" w:rsidRDefault="00AB103E" w:rsidP="007E21F2">
      <w:pPr>
        <w:pStyle w:val="HChG"/>
        <w:rPr>
          <w:lang w:val="en-US"/>
        </w:rPr>
      </w:pPr>
    </w:p>
    <w:sectPr w:rsidR="00AB103E" w:rsidRPr="003C007B" w:rsidSect="00DC5FBA">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FC" w:rsidRDefault="00153BFC"/>
  </w:endnote>
  <w:endnote w:type="continuationSeparator" w:id="0">
    <w:p w:rsidR="00153BFC" w:rsidRDefault="00153BFC"/>
  </w:endnote>
  <w:endnote w:type="continuationNotice" w:id="1">
    <w:p w:rsidR="00153BFC" w:rsidRDefault="0015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FE" w:rsidRPr="00A90BFE" w:rsidRDefault="00A90BFE">
    <w:pPr>
      <w:pStyle w:val="Footer"/>
      <w:rPr>
        <w:b/>
      </w:rPr>
    </w:pPr>
  </w:p>
  <w:p w:rsidR="00A90BFE" w:rsidRDefault="00A90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2" w:rsidRDefault="007E21F2">
    <w:pPr>
      <w:pStyle w:val="Footer"/>
      <w:jc w:val="right"/>
    </w:pPr>
    <w:r>
      <w:fldChar w:fldCharType="begin"/>
    </w:r>
    <w:r>
      <w:instrText>PAGE   \* MERGEFORMAT</w:instrText>
    </w:r>
    <w:r>
      <w:fldChar w:fldCharType="separate"/>
    </w:r>
    <w:r>
      <w:rPr>
        <w:noProof/>
      </w:rPr>
      <w:t>3</w:t>
    </w:r>
    <w:r>
      <w:fldChar w:fldCharType="end"/>
    </w:r>
  </w:p>
  <w:p w:rsidR="007E21F2" w:rsidRDefault="007E2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2" w:rsidRDefault="007E21F2">
    <w:pPr>
      <w:pStyle w:val="Footer"/>
      <w:jc w:val="right"/>
    </w:pPr>
    <w:r>
      <w:fldChar w:fldCharType="begin"/>
    </w:r>
    <w:r>
      <w:instrText>PAGE   \* MERGEFORMAT</w:instrText>
    </w:r>
    <w:r>
      <w:fldChar w:fldCharType="separate"/>
    </w:r>
    <w:r w:rsidR="006E2579">
      <w:rPr>
        <w:noProof/>
      </w:rPr>
      <w:t>1</w:t>
    </w:r>
    <w:r>
      <w:fldChar w:fldCharType="end"/>
    </w:r>
  </w:p>
  <w:p w:rsidR="007E21F2" w:rsidRDefault="007E21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FE" w:rsidRDefault="00A90BFE">
    <w:pPr>
      <w:pStyle w:val="Footer"/>
      <w:jc w:val="right"/>
    </w:pPr>
  </w:p>
  <w:p w:rsidR="00A90BFE" w:rsidRDefault="00A90BFE" w:rsidP="00600498">
    <w:pPr>
      <w:pStyle w:val="Footer"/>
      <w:jc w:val="right"/>
      <w:rPr>
        <w:sz w:val="18"/>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2" w:rsidRDefault="007E21F2">
    <w:pPr>
      <w:pStyle w:val="Footer"/>
      <w:jc w:val="right"/>
      <w:rPr>
        <w:lang w:val="en-US"/>
      </w:rPr>
    </w:pPr>
    <w:r>
      <w:rPr>
        <w:lang w:val="en-US"/>
      </w:rPr>
      <w:t>November 2015</w:t>
    </w:r>
  </w:p>
  <w:p w:rsidR="007E21F2" w:rsidRDefault="007E21F2">
    <w:pPr>
      <w:pStyle w:val="Footer"/>
      <w:jc w:val="right"/>
      <w:rPr>
        <w:sz w:val="18"/>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EF44A7">
      <w:rPr>
        <w:noProof/>
        <w:lang w:val="en-US"/>
      </w:rPr>
      <w:t>8</w:t>
    </w:r>
    <w:r>
      <w:rPr>
        <w:lang w:val="en-US"/>
      </w:rPr>
      <w:fldChar w:fldCharType="end"/>
    </w:r>
    <w:r>
      <w:rPr>
        <w:lang w:val="en-US"/>
      </w:rPr>
      <w:t xml:space="preserve"> of 83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7" w:rsidRDefault="00EF44A7">
    <w:pPr>
      <w:pStyle w:val="Footer"/>
      <w:jc w:val="right"/>
      <w:rPr>
        <w:lang w:val="en-US"/>
      </w:rPr>
    </w:pPr>
    <w:r>
      <w:rPr>
        <w:lang w:val="en-US"/>
      </w:rPr>
      <w:t>November 2015</w:t>
    </w:r>
  </w:p>
  <w:p w:rsidR="00EF44A7" w:rsidRDefault="00EF44A7">
    <w:pPr>
      <w:pStyle w:val="Footer"/>
      <w:jc w:val="right"/>
      <w:rPr>
        <w:sz w:val="18"/>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6E2579">
      <w:rPr>
        <w:noProof/>
        <w:lang w:val="en-US"/>
      </w:rPr>
      <w:t>8</w:t>
    </w:r>
    <w:r>
      <w:rPr>
        <w:lang w:val="en-US"/>
      </w:rPr>
      <w:fldChar w:fldCharType="end"/>
    </w:r>
    <w:r>
      <w:rPr>
        <w:lang w:val="en-US"/>
      </w:rPr>
      <w:t xml:space="preserve"> of 83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C" w:rsidRPr="00DC5FBA" w:rsidRDefault="00F7172C" w:rsidP="00DC5FBA">
    <w:pPr>
      <w:pStyle w:val="Footer"/>
      <w:tabs>
        <w:tab w:val="right" w:pos="9638"/>
      </w:tabs>
      <w:rPr>
        <w:sz w:val="18"/>
      </w:rPr>
    </w:pPr>
    <w:r w:rsidRPr="00DC5FBA">
      <w:rPr>
        <w:b/>
        <w:sz w:val="18"/>
      </w:rPr>
      <w:fldChar w:fldCharType="begin"/>
    </w:r>
    <w:r w:rsidRPr="00DC5FBA">
      <w:rPr>
        <w:b/>
        <w:sz w:val="18"/>
      </w:rPr>
      <w:instrText xml:space="preserve"> PAGE  \* MERGEFORMAT </w:instrText>
    </w:r>
    <w:r w:rsidRPr="00DC5FBA">
      <w:rPr>
        <w:b/>
        <w:sz w:val="18"/>
      </w:rPr>
      <w:fldChar w:fldCharType="separate"/>
    </w:r>
    <w:r w:rsidR="006E2579">
      <w:rPr>
        <w:b/>
        <w:noProof/>
        <w:sz w:val="18"/>
      </w:rPr>
      <w:t>16</w:t>
    </w:r>
    <w:r w:rsidRPr="00DC5FBA">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C" w:rsidRPr="00DC5FBA" w:rsidRDefault="00F7172C" w:rsidP="00DC5FBA">
    <w:pPr>
      <w:pStyle w:val="Footer"/>
      <w:tabs>
        <w:tab w:val="right" w:pos="9638"/>
      </w:tabs>
      <w:rPr>
        <w:b/>
        <w:sz w:val="18"/>
      </w:rPr>
    </w:pPr>
    <w:r>
      <w:tab/>
    </w:r>
    <w:r w:rsidRPr="00DC5FBA">
      <w:rPr>
        <w:b/>
        <w:sz w:val="18"/>
      </w:rPr>
      <w:fldChar w:fldCharType="begin"/>
    </w:r>
    <w:r w:rsidRPr="00DC5FBA">
      <w:rPr>
        <w:b/>
        <w:sz w:val="18"/>
      </w:rPr>
      <w:instrText xml:space="preserve"> PAGE  \* MERGEFORMAT </w:instrText>
    </w:r>
    <w:r w:rsidRPr="00DC5FBA">
      <w:rPr>
        <w:b/>
        <w:sz w:val="18"/>
      </w:rPr>
      <w:fldChar w:fldCharType="separate"/>
    </w:r>
    <w:r w:rsidR="006E2579">
      <w:rPr>
        <w:b/>
        <w:noProof/>
        <w:sz w:val="18"/>
      </w:rPr>
      <w:t>17</w:t>
    </w:r>
    <w:r w:rsidRPr="00DC5FBA">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7" w:rsidRDefault="00EF44A7">
    <w:pPr>
      <w:pStyle w:val="Footer"/>
      <w:jc w:val="right"/>
      <w:rPr>
        <w:lang w:val="en-US"/>
      </w:rPr>
    </w:pPr>
    <w:r>
      <w:rPr>
        <w:lang w:val="en-US"/>
      </w:rPr>
      <w:t>November 2015</w:t>
    </w:r>
  </w:p>
  <w:p w:rsidR="00EF44A7" w:rsidRDefault="00EF44A7">
    <w:pPr>
      <w:pStyle w:val="Footer"/>
      <w:jc w:val="right"/>
      <w:rPr>
        <w:sz w:val="18"/>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6E2579">
      <w:rPr>
        <w:noProof/>
        <w:lang w:val="en-US"/>
      </w:rPr>
      <w:t>9</w:t>
    </w:r>
    <w:r>
      <w:rPr>
        <w:lang w:val="en-US"/>
      </w:rPr>
      <w:fldChar w:fldCharType="end"/>
    </w:r>
    <w:r>
      <w:rPr>
        <w:lang w:val="en-US"/>
      </w:rPr>
      <w:t xml:space="preserve"> of 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FC" w:rsidRPr="000B175B" w:rsidRDefault="00153BFC" w:rsidP="000B175B">
      <w:pPr>
        <w:tabs>
          <w:tab w:val="right" w:pos="2155"/>
        </w:tabs>
        <w:spacing w:after="80"/>
        <w:ind w:left="680"/>
        <w:rPr>
          <w:u w:val="single"/>
        </w:rPr>
      </w:pPr>
      <w:r>
        <w:rPr>
          <w:u w:val="single"/>
        </w:rPr>
        <w:tab/>
      </w:r>
    </w:p>
  </w:footnote>
  <w:footnote w:type="continuationSeparator" w:id="0">
    <w:p w:rsidR="00153BFC" w:rsidRPr="00FC68B7" w:rsidRDefault="00153BFC" w:rsidP="00FC68B7">
      <w:pPr>
        <w:tabs>
          <w:tab w:val="left" w:pos="2155"/>
        </w:tabs>
        <w:spacing w:after="80"/>
        <w:ind w:left="680"/>
        <w:rPr>
          <w:u w:val="single"/>
        </w:rPr>
      </w:pPr>
      <w:r>
        <w:rPr>
          <w:u w:val="single"/>
        </w:rPr>
        <w:tab/>
      </w:r>
    </w:p>
  </w:footnote>
  <w:footnote w:type="continuationNotice" w:id="1">
    <w:p w:rsidR="00153BFC" w:rsidRDefault="00153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FE" w:rsidRPr="00A90BFE" w:rsidRDefault="00A90BFE" w:rsidP="006E2579">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EF" w:rsidRDefault="002714EF" w:rsidP="00EF44A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2" w:rsidRDefault="007E21F2" w:rsidP="006E2579">
    <w:pPr>
      <w:pStyle w:val="Header"/>
      <w:pBdr>
        <w:bottom w:val="none" w:sz="0" w:space="0" w:color="auto"/>
      </w:pBdr>
      <w:ind w:left="-851"/>
    </w:pPr>
    <w:r>
      <w:rPr>
        <w:noProof/>
        <w:lang w:eastAsia="en-GB"/>
      </w:rPr>
      <w:drawing>
        <wp:inline distT="0" distB="0" distL="0" distR="0" wp14:anchorId="79FF7115" wp14:editId="57A23B99">
          <wp:extent cx="1205230" cy="256540"/>
          <wp:effectExtent l="0" t="0" r="0" b="0"/>
          <wp:docPr id="14" name="Picture 14" descr="Descripción: Maxam sobre blan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xam sobre blan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256540"/>
                  </a:xfrm>
                  <a:prstGeom prst="rect">
                    <a:avLst/>
                  </a:prstGeom>
                  <a:noFill/>
                  <a:ln>
                    <a:noFill/>
                  </a:ln>
                </pic:spPr>
              </pic:pic>
            </a:graphicData>
          </a:graphic>
        </wp:inline>
      </w:drawing>
    </w:r>
  </w:p>
  <w:p w:rsidR="00A90BFE" w:rsidRDefault="00A90BFE" w:rsidP="006E2579">
    <w:pPr>
      <w:pStyle w:val="Header"/>
      <w:pBdr>
        <w:bottom w:val="none" w:sz="0" w:space="0" w:color="auto"/>
      </w:pBdr>
      <w:ind w:left="-85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2" w:rsidRDefault="007E21F2" w:rsidP="00823E35">
    <w:pPr>
      <w:pStyle w:val="Header"/>
      <w:ind w:left="-851"/>
    </w:pPr>
    <w:r>
      <w:rPr>
        <w:noProof/>
        <w:lang w:eastAsia="en-GB"/>
      </w:rPr>
      <w:drawing>
        <wp:inline distT="0" distB="0" distL="0" distR="0" wp14:anchorId="65ACB9EC" wp14:editId="2E6578B7">
          <wp:extent cx="1205230" cy="256540"/>
          <wp:effectExtent l="0" t="0" r="0" b="0"/>
          <wp:docPr id="15" name="Picture 15" descr="Descripción: Maxam sobre blan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xam sobre blan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25654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7" w:rsidRDefault="00EF44A7" w:rsidP="00823E35">
    <w:pPr>
      <w:pStyle w:val="Header"/>
      <w:ind w:left="-851"/>
    </w:pPr>
    <w:r>
      <w:rPr>
        <w:noProof/>
        <w:lang w:eastAsia="en-GB"/>
      </w:rPr>
      <w:drawing>
        <wp:inline distT="0" distB="0" distL="0" distR="0" wp14:anchorId="73507422" wp14:editId="70843A3A">
          <wp:extent cx="1205230" cy="256540"/>
          <wp:effectExtent l="0" t="0" r="0" b="0"/>
          <wp:docPr id="10" name="Picture 10" descr="Descripción: Maxam sobre blan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xam sobre blan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25654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C" w:rsidRPr="00DC5FBA" w:rsidRDefault="00AD3F0D">
    <w:pPr>
      <w:pStyle w:val="Header"/>
    </w:pPr>
    <w:r w:rsidRPr="00AD3F0D">
      <w:t>UN/SCETDG/4</w:t>
    </w:r>
    <w:r w:rsidR="003D0D10">
      <w:t>8</w:t>
    </w:r>
    <w:r w:rsidR="002714EF">
      <w:t>/INF.22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5" w:rsidRPr="0005570C" w:rsidRDefault="00020095" w:rsidP="00020095">
    <w:pPr>
      <w:pStyle w:val="Header"/>
      <w:jc w:val="right"/>
    </w:pPr>
    <w:r w:rsidRPr="00F54DDA">
      <w:t>UN/SCETDG/4</w:t>
    </w:r>
    <w:r w:rsidR="00F14A47">
      <w:t>8</w:t>
    </w:r>
    <w:r w:rsidRPr="00F54DDA">
      <w:t>/INF.</w:t>
    </w:r>
    <w:r w:rsidR="002714EF">
      <w:t>22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7" w:rsidRDefault="00EF44A7" w:rsidP="00823E35">
    <w:pPr>
      <w:pStyle w:val="Header"/>
      <w:ind w:left="-851"/>
    </w:pPr>
    <w:r>
      <w:rPr>
        <w:noProof/>
        <w:lang w:eastAsia="en-GB"/>
      </w:rPr>
      <w:drawing>
        <wp:inline distT="0" distB="0" distL="0" distR="0" wp14:anchorId="69AF69F8" wp14:editId="09815080">
          <wp:extent cx="1205230" cy="256540"/>
          <wp:effectExtent l="0" t="0" r="0" b="0"/>
          <wp:docPr id="11" name="Picture 11" descr="Descripción: Maxam sobre blan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xam sobre blanc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256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H23G"/>
      <w:lvlText w:val="•"/>
      <w:lvlJc w:val="left"/>
      <w:pPr>
        <w:tabs>
          <w:tab w:val="num" w:pos="4140"/>
        </w:tabs>
        <w:ind w:left="414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291B88"/>
    <w:multiLevelType w:val="hybridMultilevel"/>
    <w:tmpl w:val="E2CC3E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5">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19">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2"/>
  </w:num>
  <w:num w:numId="16">
    <w:abstractNumId w:val="15"/>
  </w:num>
  <w:num w:numId="17">
    <w:abstractNumId w:val="17"/>
  </w:num>
  <w:num w:numId="18">
    <w:abstractNumId w:val="14"/>
  </w:num>
  <w:num w:numId="19">
    <w:abstractNumId w:val="18"/>
  </w:num>
  <w:num w:numId="20">
    <w:abstractNumId w:val="16"/>
  </w:num>
  <w:num w:numId="21">
    <w:abstractNumId w:val="19"/>
  </w:num>
  <w:num w:numId="22">
    <w:abstractNumId w:val="12"/>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E98"/>
    <w:rsid w:val="000022B8"/>
    <w:rsid w:val="0000447A"/>
    <w:rsid w:val="00010840"/>
    <w:rsid w:val="00012A02"/>
    <w:rsid w:val="00020095"/>
    <w:rsid w:val="000223D8"/>
    <w:rsid w:val="00024C31"/>
    <w:rsid w:val="0002626C"/>
    <w:rsid w:val="00035B55"/>
    <w:rsid w:val="00036BDC"/>
    <w:rsid w:val="00037FD8"/>
    <w:rsid w:val="0005007E"/>
    <w:rsid w:val="00050463"/>
    <w:rsid w:val="00050F6B"/>
    <w:rsid w:val="000525F0"/>
    <w:rsid w:val="000529BE"/>
    <w:rsid w:val="00055EF6"/>
    <w:rsid w:val="0006170C"/>
    <w:rsid w:val="00062F47"/>
    <w:rsid w:val="00071BCB"/>
    <w:rsid w:val="00072C8C"/>
    <w:rsid w:val="00075498"/>
    <w:rsid w:val="000769AB"/>
    <w:rsid w:val="00076AEE"/>
    <w:rsid w:val="00082A50"/>
    <w:rsid w:val="00086E05"/>
    <w:rsid w:val="00086FBE"/>
    <w:rsid w:val="00091419"/>
    <w:rsid w:val="0009189F"/>
    <w:rsid w:val="000931C0"/>
    <w:rsid w:val="000A10F6"/>
    <w:rsid w:val="000A46A4"/>
    <w:rsid w:val="000A4F2F"/>
    <w:rsid w:val="000A5DC2"/>
    <w:rsid w:val="000B175B"/>
    <w:rsid w:val="000B3A0F"/>
    <w:rsid w:val="000B5056"/>
    <w:rsid w:val="000B5B55"/>
    <w:rsid w:val="000C0BD8"/>
    <w:rsid w:val="000C170A"/>
    <w:rsid w:val="000C3866"/>
    <w:rsid w:val="000D6097"/>
    <w:rsid w:val="000D78B2"/>
    <w:rsid w:val="000E0415"/>
    <w:rsid w:val="000E3BFF"/>
    <w:rsid w:val="000E4C9F"/>
    <w:rsid w:val="000F0DEF"/>
    <w:rsid w:val="000F2718"/>
    <w:rsid w:val="000F3BB9"/>
    <w:rsid w:val="000F6938"/>
    <w:rsid w:val="0010335A"/>
    <w:rsid w:val="00110991"/>
    <w:rsid w:val="001129E5"/>
    <w:rsid w:val="00117787"/>
    <w:rsid w:val="00127986"/>
    <w:rsid w:val="00130B2B"/>
    <w:rsid w:val="00131D42"/>
    <w:rsid w:val="001329B7"/>
    <w:rsid w:val="00146DBC"/>
    <w:rsid w:val="00153BFC"/>
    <w:rsid w:val="00154402"/>
    <w:rsid w:val="001619B4"/>
    <w:rsid w:val="001633FB"/>
    <w:rsid w:val="00175FCF"/>
    <w:rsid w:val="0018709C"/>
    <w:rsid w:val="001A0D51"/>
    <w:rsid w:val="001A2909"/>
    <w:rsid w:val="001A66B1"/>
    <w:rsid w:val="001B1A57"/>
    <w:rsid w:val="001B4B04"/>
    <w:rsid w:val="001B6034"/>
    <w:rsid w:val="001B648B"/>
    <w:rsid w:val="001B7C3D"/>
    <w:rsid w:val="001C31B9"/>
    <w:rsid w:val="001C3AC6"/>
    <w:rsid w:val="001C4EB5"/>
    <w:rsid w:val="001C6663"/>
    <w:rsid w:val="001C7895"/>
    <w:rsid w:val="001D26DF"/>
    <w:rsid w:val="001D2FDC"/>
    <w:rsid w:val="001E18F2"/>
    <w:rsid w:val="001E3573"/>
    <w:rsid w:val="001E3F4D"/>
    <w:rsid w:val="001E5702"/>
    <w:rsid w:val="001F523D"/>
    <w:rsid w:val="00202290"/>
    <w:rsid w:val="00204D75"/>
    <w:rsid w:val="00206E5D"/>
    <w:rsid w:val="00210AB5"/>
    <w:rsid w:val="00211E0B"/>
    <w:rsid w:val="002213FA"/>
    <w:rsid w:val="00223C0B"/>
    <w:rsid w:val="0022446F"/>
    <w:rsid w:val="00225955"/>
    <w:rsid w:val="002262D3"/>
    <w:rsid w:val="002309A7"/>
    <w:rsid w:val="002311E4"/>
    <w:rsid w:val="0023606E"/>
    <w:rsid w:val="00237785"/>
    <w:rsid w:val="002413A9"/>
    <w:rsid w:val="00241466"/>
    <w:rsid w:val="00242462"/>
    <w:rsid w:val="002505B3"/>
    <w:rsid w:val="00252D36"/>
    <w:rsid w:val="00253374"/>
    <w:rsid w:val="00257377"/>
    <w:rsid w:val="00262A99"/>
    <w:rsid w:val="002673BB"/>
    <w:rsid w:val="00270110"/>
    <w:rsid w:val="002714EF"/>
    <w:rsid w:val="00271844"/>
    <w:rsid w:val="00272039"/>
    <w:rsid w:val="002725CA"/>
    <w:rsid w:val="002732A9"/>
    <w:rsid w:val="00276796"/>
    <w:rsid w:val="00280EB7"/>
    <w:rsid w:val="00284D6E"/>
    <w:rsid w:val="0029098D"/>
    <w:rsid w:val="00290E10"/>
    <w:rsid w:val="002A34AB"/>
    <w:rsid w:val="002A55AC"/>
    <w:rsid w:val="002A5D83"/>
    <w:rsid w:val="002B1CDA"/>
    <w:rsid w:val="002B6251"/>
    <w:rsid w:val="002C56EC"/>
    <w:rsid w:val="002C638D"/>
    <w:rsid w:val="002E7020"/>
    <w:rsid w:val="002F1E9A"/>
    <w:rsid w:val="00306C2D"/>
    <w:rsid w:val="003107FA"/>
    <w:rsid w:val="00311FE0"/>
    <w:rsid w:val="003229D8"/>
    <w:rsid w:val="003304B6"/>
    <w:rsid w:val="003343A2"/>
    <w:rsid w:val="003372CE"/>
    <w:rsid w:val="00341D6C"/>
    <w:rsid w:val="00342E68"/>
    <w:rsid w:val="00347CF7"/>
    <w:rsid w:val="00347FB9"/>
    <w:rsid w:val="00350C40"/>
    <w:rsid w:val="00351405"/>
    <w:rsid w:val="003516AB"/>
    <w:rsid w:val="00360CB6"/>
    <w:rsid w:val="00361AD3"/>
    <w:rsid w:val="00364DED"/>
    <w:rsid w:val="0036510A"/>
    <w:rsid w:val="0037127D"/>
    <w:rsid w:val="003765A6"/>
    <w:rsid w:val="00376EA4"/>
    <w:rsid w:val="0037785D"/>
    <w:rsid w:val="00380528"/>
    <w:rsid w:val="0038171E"/>
    <w:rsid w:val="00384EB1"/>
    <w:rsid w:val="00386E2A"/>
    <w:rsid w:val="00387391"/>
    <w:rsid w:val="0039277A"/>
    <w:rsid w:val="003972E0"/>
    <w:rsid w:val="00397A19"/>
    <w:rsid w:val="003A0AB7"/>
    <w:rsid w:val="003A1DBE"/>
    <w:rsid w:val="003A48CE"/>
    <w:rsid w:val="003A6BE3"/>
    <w:rsid w:val="003B0387"/>
    <w:rsid w:val="003B4B4A"/>
    <w:rsid w:val="003B64AB"/>
    <w:rsid w:val="003C25F6"/>
    <w:rsid w:val="003C2675"/>
    <w:rsid w:val="003C2CC4"/>
    <w:rsid w:val="003D0D10"/>
    <w:rsid w:val="003D4B23"/>
    <w:rsid w:val="003D7EF0"/>
    <w:rsid w:val="003E5E80"/>
    <w:rsid w:val="003F1EDB"/>
    <w:rsid w:val="00405785"/>
    <w:rsid w:val="0042068F"/>
    <w:rsid w:val="00421257"/>
    <w:rsid w:val="00425157"/>
    <w:rsid w:val="0043014F"/>
    <w:rsid w:val="00430A88"/>
    <w:rsid w:val="0043243F"/>
    <w:rsid w:val="004325CB"/>
    <w:rsid w:val="00437F3F"/>
    <w:rsid w:val="00445784"/>
    <w:rsid w:val="00446DE4"/>
    <w:rsid w:val="00454036"/>
    <w:rsid w:val="004564CE"/>
    <w:rsid w:val="00463344"/>
    <w:rsid w:val="004728A0"/>
    <w:rsid w:val="00473156"/>
    <w:rsid w:val="004832A0"/>
    <w:rsid w:val="004939C8"/>
    <w:rsid w:val="00495374"/>
    <w:rsid w:val="00496AEF"/>
    <w:rsid w:val="004A6148"/>
    <w:rsid w:val="004B2C9D"/>
    <w:rsid w:val="004B4C10"/>
    <w:rsid w:val="004B6366"/>
    <w:rsid w:val="004C3287"/>
    <w:rsid w:val="004C571A"/>
    <w:rsid w:val="004C5B24"/>
    <w:rsid w:val="004D13CB"/>
    <w:rsid w:val="004D1C57"/>
    <w:rsid w:val="004D1C72"/>
    <w:rsid w:val="004E7676"/>
    <w:rsid w:val="004F42F4"/>
    <w:rsid w:val="004F51C8"/>
    <w:rsid w:val="00503B9C"/>
    <w:rsid w:val="00504585"/>
    <w:rsid w:val="00517A3F"/>
    <w:rsid w:val="0052275B"/>
    <w:rsid w:val="00522955"/>
    <w:rsid w:val="00527910"/>
    <w:rsid w:val="00534DA8"/>
    <w:rsid w:val="00535BE9"/>
    <w:rsid w:val="005420F2"/>
    <w:rsid w:val="00542679"/>
    <w:rsid w:val="0054581D"/>
    <w:rsid w:val="0055264D"/>
    <w:rsid w:val="00556634"/>
    <w:rsid w:val="005616F9"/>
    <w:rsid w:val="005634A1"/>
    <w:rsid w:val="005668E9"/>
    <w:rsid w:val="0057677B"/>
    <w:rsid w:val="00590144"/>
    <w:rsid w:val="005909BA"/>
    <w:rsid w:val="005919BB"/>
    <w:rsid w:val="005A4D8F"/>
    <w:rsid w:val="005B3DB3"/>
    <w:rsid w:val="005B4EF3"/>
    <w:rsid w:val="005B5859"/>
    <w:rsid w:val="005B72E0"/>
    <w:rsid w:val="005C6031"/>
    <w:rsid w:val="005D5296"/>
    <w:rsid w:val="005D6A9B"/>
    <w:rsid w:val="005E1129"/>
    <w:rsid w:val="005E7F35"/>
    <w:rsid w:val="00600796"/>
    <w:rsid w:val="006014D2"/>
    <w:rsid w:val="0060312E"/>
    <w:rsid w:val="00605F62"/>
    <w:rsid w:val="00606BD8"/>
    <w:rsid w:val="00611FC4"/>
    <w:rsid w:val="00615E0D"/>
    <w:rsid w:val="006176FB"/>
    <w:rsid w:val="006201D7"/>
    <w:rsid w:val="0062283A"/>
    <w:rsid w:val="00632B18"/>
    <w:rsid w:val="0063419C"/>
    <w:rsid w:val="006357A0"/>
    <w:rsid w:val="00637DDC"/>
    <w:rsid w:val="0064066C"/>
    <w:rsid w:val="00640B26"/>
    <w:rsid w:val="00646800"/>
    <w:rsid w:val="006500BA"/>
    <w:rsid w:val="006504D1"/>
    <w:rsid w:val="00650DBA"/>
    <w:rsid w:val="006624E5"/>
    <w:rsid w:val="00672DB7"/>
    <w:rsid w:val="006804E7"/>
    <w:rsid w:val="00680C8B"/>
    <w:rsid w:val="00681546"/>
    <w:rsid w:val="00684E8C"/>
    <w:rsid w:val="00687F78"/>
    <w:rsid w:val="006913F9"/>
    <w:rsid w:val="00694F8E"/>
    <w:rsid w:val="006A7392"/>
    <w:rsid w:val="006B77E8"/>
    <w:rsid w:val="006C0D34"/>
    <w:rsid w:val="006C1CA0"/>
    <w:rsid w:val="006C3B18"/>
    <w:rsid w:val="006C7E11"/>
    <w:rsid w:val="006D247B"/>
    <w:rsid w:val="006D5191"/>
    <w:rsid w:val="006E2579"/>
    <w:rsid w:val="006E2719"/>
    <w:rsid w:val="006E564B"/>
    <w:rsid w:val="006E62F4"/>
    <w:rsid w:val="006E6FBD"/>
    <w:rsid w:val="006F6D61"/>
    <w:rsid w:val="0070344F"/>
    <w:rsid w:val="007062C1"/>
    <w:rsid w:val="00724C6D"/>
    <w:rsid w:val="00725848"/>
    <w:rsid w:val="0072632A"/>
    <w:rsid w:val="00733F63"/>
    <w:rsid w:val="00741915"/>
    <w:rsid w:val="00743FC7"/>
    <w:rsid w:val="00746235"/>
    <w:rsid w:val="00753201"/>
    <w:rsid w:val="007532B1"/>
    <w:rsid w:val="007612E0"/>
    <w:rsid w:val="007664BA"/>
    <w:rsid w:val="007665DE"/>
    <w:rsid w:val="00777B95"/>
    <w:rsid w:val="007810B9"/>
    <w:rsid w:val="007824AC"/>
    <w:rsid w:val="00790791"/>
    <w:rsid w:val="00792D33"/>
    <w:rsid w:val="007A331B"/>
    <w:rsid w:val="007A4DA4"/>
    <w:rsid w:val="007A5095"/>
    <w:rsid w:val="007B3045"/>
    <w:rsid w:val="007B446D"/>
    <w:rsid w:val="007B6BA5"/>
    <w:rsid w:val="007B6FE6"/>
    <w:rsid w:val="007B7725"/>
    <w:rsid w:val="007C3390"/>
    <w:rsid w:val="007C4F4B"/>
    <w:rsid w:val="007D0BD8"/>
    <w:rsid w:val="007D40A6"/>
    <w:rsid w:val="007D4276"/>
    <w:rsid w:val="007D7BF0"/>
    <w:rsid w:val="007E148D"/>
    <w:rsid w:val="007E21F2"/>
    <w:rsid w:val="007E3A2B"/>
    <w:rsid w:val="007E7112"/>
    <w:rsid w:val="007F6611"/>
    <w:rsid w:val="00803CCB"/>
    <w:rsid w:val="00805EA2"/>
    <w:rsid w:val="008124A5"/>
    <w:rsid w:val="008140B9"/>
    <w:rsid w:val="00815697"/>
    <w:rsid w:val="008174EA"/>
    <w:rsid w:val="008175E9"/>
    <w:rsid w:val="00823C77"/>
    <w:rsid w:val="008242D7"/>
    <w:rsid w:val="00824BC6"/>
    <w:rsid w:val="00834556"/>
    <w:rsid w:val="00844A7A"/>
    <w:rsid w:val="00846632"/>
    <w:rsid w:val="00846FA4"/>
    <w:rsid w:val="00853C3D"/>
    <w:rsid w:val="00861958"/>
    <w:rsid w:val="00861ACC"/>
    <w:rsid w:val="00871FD5"/>
    <w:rsid w:val="00874909"/>
    <w:rsid w:val="00874B2D"/>
    <w:rsid w:val="00874C3C"/>
    <w:rsid w:val="00881256"/>
    <w:rsid w:val="00885E87"/>
    <w:rsid w:val="00887B65"/>
    <w:rsid w:val="00894D34"/>
    <w:rsid w:val="008979B1"/>
    <w:rsid w:val="008A04B9"/>
    <w:rsid w:val="008A1350"/>
    <w:rsid w:val="008A29F7"/>
    <w:rsid w:val="008A2F46"/>
    <w:rsid w:val="008A6B25"/>
    <w:rsid w:val="008A6C4F"/>
    <w:rsid w:val="008C126B"/>
    <w:rsid w:val="008C3E44"/>
    <w:rsid w:val="008C4A16"/>
    <w:rsid w:val="008C7850"/>
    <w:rsid w:val="008D16EF"/>
    <w:rsid w:val="008D5C92"/>
    <w:rsid w:val="008E0E46"/>
    <w:rsid w:val="008E436D"/>
    <w:rsid w:val="008F0FD7"/>
    <w:rsid w:val="008F473E"/>
    <w:rsid w:val="008F795E"/>
    <w:rsid w:val="008F7AC8"/>
    <w:rsid w:val="009019F7"/>
    <w:rsid w:val="00910C89"/>
    <w:rsid w:val="00911B89"/>
    <w:rsid w:val="0091248E"/>
    <w:rsid w:val="009142A0"/>
    <w:rsid w:val="00916F49"/>
    <w:rsid w:val="00921A36"/>
    <w:rsid w:val="00924C29"/>
    <w:rsid w:val="009311A9"/>
    <w:rsid w:val="00931677"/>
    <w:rsid w:val="009338EE"/>
    <w:rsid w:val="00936B1A"/>
    <w:rsid w:val="00940479"/>
    <w:rsid w:val="00945A5D"/>
    <w:rsid w:val="00954D29"/>
    <w:rsid w:val="0095794D"/>
    <w:rsid w:val="00963CBA"/>
    <w:rsid w:val="009641B6"/>
    <w:rsid w:val="00967848"/>
    <w:rsid w:val="00971136"/>
    <w:rsid w:val="00987EBF"/>
    <w:rsid w:val="0099124E"/>
    <w:rsid w:val="00991261"/>
    <w:rsid w:val="009967A1"/>
    <w:rsid w:val="00996DEB"/>
    <w:rsid w:val="009A0B38"/>
    <w:rsid w:val="009A2467"/>
    <w:rsid w:val="009A520F"/>
    <w:rsid w:val="009A5F28"/>
    <w:rsid w:val="009A6D43"/>
    <w:rsid w:val="009B0652"/>
    <w:rsid w:val="009B0E6D"/>
    <w:rsid w:val="009B7D27"/>
    <w:rsid w:val="009B7DF8"/>
    <w:rsid w:val="009C3671"/>
    <w:rsid w:val="009C36EB"/>
    <w:rsid w:val="009C57DA"/>
    <w:rsid w:val="009D0389"/>
    <w:rsid w:val="009D688C"/>
    <w:rsid w:val="009E2BD1"/>
    <w:rsid w:val="009E60A0"/>
    <w:rsid w:val="009F0F06"/>
    <w:rsid w:val="009F19A8"/>
    <w:rsid w:val="009F7F2C"/>
    <w:rsid w:val="00A03EB1"/>
    <w:rsid w:val="00A04323"/>
    <w:rsid w:val="00A07128"/>
    <w:rsid w:val="00A07269"/>
    <w:rsid w:val="00A1427D"/>
    <w:rsid w:val="00A14F60"/>
    <w:rsid w:val="00A16A89"/>
    <w:rsid w:val="00A16D82"/>
    <w:rsid w:val="00A17144"/>
    <w:rsid w:val="00A239AB"/>
    <w:rsid w:val="00A37D91"/>
    <w:rsid w:val="00A43707"/>
    <w:rsid w:val="00A57926"/>
    <w:rsid w:val="00A6285D"/>
    <w:rsid w:val="00A63075"/>
    <w:rsid w:val="00A67565"/>
    <w:rsid w:val="00A72F22"/>
    <w:rsid w:val="00A748A6"/>
    <w:rsid w:val="00A7547B"/>
    <w:rsid w:val="00A75EC9"/>
    <w:rsid w:val="00A80B7C"/>
    <w:rsid w:val="00A86FB7"/>
    <w:rsid w:val="00A879A4"/>
    <w:rsid w:val="00A904E6"/>
    <w:rsid w:val="00A90BFE"/>
    <w:rsid w:val="00AA090A"/>
    <w:rsid w:val="00AA163A"/>
    <w:rsid w:val="00AA6752"/>
    <w:rsid w:val="00AB103E"/>
    <w:rsid w:val="00AB1094"/>
    <w:rsid w:val="00AB681C"/>
    <w:rsid w:val="00AB6E64"/>
    <w:rsid w:val="00AC518F"/>
    <w:rsid w:val="00AD1E7B"/>
    <w:rsid w:val="00AD2541"/>
    <w:rsid w:val="00AD3F0D"/>
    <w:rsid w:val="00AE0568"/>
    <w:rsid w:val="00AE54F4"/>
    <w:rsid w:val="00AF63B1"/>
    <w:rsid w:val="00B062A6"/>
    <w:rsid w:val="00B153B2"/>
    <w:rsid w:val="00B30179"/>
    <w:rsid w:val="00B31ADE"/>
    <w:rsid w:val="00B3317B"/>
    <w:rsid w:val="00B37B2B"/>
    <w:rsid w:val="00B44382"/>
    <w:rsid w:val="00B446CD"/>
    <w:rsid w:val="00B45F43"/>
    <w:rsid w:val="00B5229B"/>
    <w:rsid w:val="00B6429F"/>
    <w:rsid w:val="00B710FA"/>
    <w:rsid w:val="00B73FEA"/>
    <w:rsid w:val="00B75701"/>
    <w:rsid w:val="00B81E12"/>
    <w:rsid w:val="00B93068"/>
    <w:rsid w:val="00B93C47"/>
    <w:rsid w:val="00B965F2"/>
    <w:rsid w:val="00B9672F"/>
    <w:rsid w:val="00B96C70"/>
    <w:rsid w:val="00BA1D7B"/>
    <w:rsid w:val="00BA2FED"/>
    <w:rsid w:val="00BA5A48"/>
    <w:rsid w:val="00BB2B9D"/>
    <w:rsid w:val="00BC311A"/>
    <w:rsid w:val="00BC46ED"/>
    <w:rsid w:val="00BC498D"/>
    <w:rsid w:val="00BC5429"/>
    <w:rsid w:val="00BC74E9"/>
    <w:rsid w:val="00BD4AEC"/>
    <w:rsid w:val="00BD7462"/>
    <w:rsid w:val="00BE0A65"/>
    <w:rsid w:val="00BE3C13"/>
    <w:rsid w:val="00BE618E"/>
    <w:rsid w:val="00BF7A1A"/>
    <w:rsid w:val="00C02B2A"/>
    <w:rsid w:val="00C03AAF"/>
    <w:rsid w:val="00C05117"/>
    <w:rsid w:val="00C0646D"/>
    <w:rsid w:val="00C16149"/>
    <w:rsid w:val="00C17DB1"/>
    <w:rsid w:val="00C279E5"/>
    <w:rsid w:val="00C302B4"/>
    <w:rsid w:val="00C3224A"/>
    <w:rsid w:val="00C33088"/>
    <w:rsid w:val="00C36BD9"/>
    <w:rsid w:val="00C41106"/>
    <w:rsid w:val="00C4315F"/>
    <w:rsid w:val="00C463DD"/>
    <w:rsid w:val="00C51B63"/>
    <w:rsid w:val="00C55E68"/>
    <w:rsid w:val="00C56BF7"/>
    <w:rsid w:val="00C62213"/>
    <w:rsid w:val="00C622ED"/>
    <w:rsid w:val="00C62F76"/>
    <w:rsid w:val="00C6321A"/>
    <w:rsid w:val="00C71249"/>
    <w:rsid w:val="00C745C3"/>
    <w:rsid w:val="00C75DEB"/>
    <w:rsid w:val="00C75FFB"/>
    <w:rsid w:val="00C833AA"/>
    <w:rsid w:val="00C8384C"/>
    <w:rsid w:val="00C918F4"/>
    <w:rsid w:val="00CB4BB2"/>
    <w:rsid w:val="00CB54F7"/>
    <w:rsid w:val="00CC04D5"/>
    <w:rsid w:val="00CC12CC"/>
    <w:rsid w:val="00CC2702"/>
    <w:rsid w:val="00CC78A6"/>
    <w:rsid w:val="00CD3225"/>
    <w:rsid w:val="00CD64B5"/>
    <w:rsid w:val="00CD7976"/>
    <w:rsid w:val="00CD7A0A"/>
    <w:rsid w:val="00CE12A9"/>
    <w:rsid w:val="00CE4A8F"/>
    <w:rsid w:val="00CE6425"/>
    <w:rsid w:val="00CE729A"/>
    <w:rsid w:val="00CF3CBA"/>
    <w:rsid w:val="00CF714F"/>
    <w:rsid w:val="00D019C1"/>
    <w:rsid w:val="00D1076A"/>
    <w:rsid w:val="00D11267"/>
    <w:rsid w:val="00D13EA7"/>
    <w:rsid w:val="00D2031B"/>
    <w:rsid w:val="00D20EF4"/>
    <w:rsid w:val="00D25FE2"/>
    <w:rsid w:val="00D30E58"/>
    <w:rsid w:val="00D31317"/>
    <w:rsid w:val="00D34C69"/>
    <w:rsid w:val="00D43252"/>
    <w:rsid w:val="00D44D4B"/>
    <w:rsid w:val="00D44DDA"/>
    <w:rsid w:val="00D52364"/>
    <w:rsid w:val="00D65404"/>
    <w:rsid w:val="00D70410"/>
    <w:rsid w:val="00D70BC8"/>
    <w:rsid w:val="00D753D8"/>
    <w:rsid w:val="00D75DBB"/>
    <w:rsid w:val="00D80A99"/>
    <w:rsid w:val="00D96CC5"/>
    <w:rsid w:val="00D978C6"/>
    <w:rsid w:val="00DA17EA"/>
    <w:rsid w:val="00DA5F0B"/>
    <w:rsid w:val="00DA67AD"/>
    <w:rsid w:val="00DB0CF8"/>
    <w:rsid w:val="00DB3885"/>
    <w:rsid w:val="00DC5FBA"/>
    <w:rsid w:val="00DD37E0"/>
    <w:rsid w:val="00DE6BC8"/>
    <w:rsid w:val="00DF2772"/>
    <w:rsid w:val="00E02013"/>
    <w:rsid w:val="00E114F7"/>
    <w:rsid w:val="00E130AB"/>
    <w:rsid w:val="00E14834"/>
    <w:rsid w:val="00E14DB4"/>
    <w:rsid w:val="00E17A8C"/>
    <w:rsid w:val="00E241E1"/>
    <w:rsid w:val="00E2585F"/>
    <w:rsid w:val="00E31D55"/>
    <w:rsid w:val="00E34130"/>
    <w:rsid w:val="00E45799"/>
    <w:rsid w:val="00E45EA8"/>
    <w:rsid w:val="00E47423"/>
    <w:rsid w:val="00E5268C"/>
    <w:rsid w:val="00E549B7"/>
    <w:rsid w:val="00E5644E"/>
    <w:rsid w:val="00E631DD"/>
    <w:rsid w:val="00E6387D"/>
    <w:rsid w:val="00E653B2"/>
    <w:rsid w:val="00E7260F"/>
    <w:rsid w:val="00E77EB3"/>
    <w:rsid w:val="00E84943"/>
    <w:rsid w:val="00E8535A"/>
    <w:rsid w:val="00E858B7"/>
    <w:rsid w:val="00E95503"/>
    <w:rsid w:val="00E96630"/>
    <w:rsid w:val="00EA2E89"/>
    <w:rsid w:val="00EA30DA"/>
    <w:rsid w:val="00EA772F"/>
    <w:rsid w:val="00EB0465"/>
    <w:rsid w:val="00EB1EC4"/>
    <w:rsid w:val="00EB6832"/>
    <w:rsid w:val="00EC702A"/>
    <w:rsid w:val="00ED3645"/>
    <w:rsid w:val="00ED49D3"/>
    <w:rsid w:val="00ED7A2A"/>
    <w:rsid w:val="00EE5771"/>
    <w:rsid w:val="00EF1D7F"/>
    <w:rsid w:val="00EF44A7"/>
    <w:rsid w:val="00F02DB8"/>
    <w:rsid w:val="00F14A47"/>
    <w:rsid w:val="00F14AAA"/>
    <w:rsid w:val="00F14D34"/>
    <w:rsid w:val="00F16818"/>
    <w:rsid w:val="00F1720B"/>
    <w:rsid w:val="00F2107F"/>
    <w:rsid w:val="00F23A8E"/>
    <w:rsid w:val="00F260D8"/>
    <w:rsid w:val="00F274E2"/>
    <w:rsid w:val="00F30DC6"/>
    <w:rsid w:val="00F31984"/>
    <w:rsid w:val="00F332AD"/>
    <w:rsid w:val="00F366EF"/>
    <w:rsid w:val="00F40E75"/>
    <w:rsid w:val="00F45BD8"/>
    <w:rsid w:val="00F518F7"/>
    <w:rsid w:val="00F532F9"/>
    <w:rsid w:val="00F54674"/>
    <w:rsid w:val="00F645B4"/>
    <w:rsid w:val="00F7172C"/>
    <w:rsid w:val="00F729F2"/>
    <w:rsid w:val="00F778FA"/>
    <w:rsid w:val="00F82DD7"/>
    <w:rsid w:val="00F8442F"/>
    <w:rsid w:val="00F85DBE"/>
    <w:rsid w:val="00F85FA3"/>
    <w:rsid w:val="00F94A28"/>
    <w:rsid w:val="00F94A93"/>
    <w:rsid w:val="00FB06BF"/>
    <w:rsid w:val="00FC495C"/>
    <w:rsid w:val="00FC5F7F"/>
    <w:rsid w:val="00FC653E"/>
    <w:rsid w:val="00FC68B7"/>
    <w:rsid w:val="00FD047F"/>
    <w:rsid w:val="00FD1BD9"/>
    <w:rsid w:val="00FD3622"/>
    <w:rsid w:val="00FD3CF2"/>
    <w:rsid w:val="00FD6B2B"/>
    <w:rsid w:val="00FF03BB"/>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H1GChar">
    <w:name w:val="_ H_1_G Char"/>
    <w:link w:val="H1G"/>
    <w:rsid w:val="003F1EDB"/>
    <w:rPr>
      <w:b/>
      <w:sz w:val="24"/>
      <w:lang w:val="en-GB" w:eastAsia="en-US"/>
    </w:rPr>
  </w:style>
  <w:style w:type="paragraph" w:styleId="BalloonText">
    <w:name w:val="Balloon Text"/>
    <w:basedOn w:val="Normal"/>
    <w:link w:val="BalloonTextChar"/>
    <w:rsid w:val="007A5095"/>
    <w:pPr>
      <w:spacing w:line="240" w:lineRule="auto"/>
    </w:pPr>
    <w:rPr>
      <w:rFonts w:ascii="Tahoma" w:hAnsi="Tahoma"/>
      <w:sz w:val="16"/>
      <w:szCs w:val="16"/>
    </w:rPr>
  </w:style>
  <w:style w:type="character" w:customStyle="1" w:styleId="BalloonTextChar">
    <w:name w:val="Balloon Text Char"/>
    <w:link w:val="BalloonText"/>
    <w:rsid w:val="007A5095"/>
    <w:rPr>
      <w:rFonts w:ascii="Tahoma" w:hAnsi="Tahoma" w:cs="Tahoma"/>
      <w:sz w:val="16"/>
      <w:szCs w:val="16"/>
      <w:lang w:val="en-GB" w:eastAsia="en-US"/>
    </w:rPr>
  </w:style>
  <w:style w:type="paragraph" w:styleId="Revision">
    <w:name w:val="Revision"/>
    <w:hidden/>
    <w:uiPriority w:val="99"/>
    <w:semiHidden/>
    <w:rsid w:val="00D75DBB"/>
    <w:rPr>
      <w:lang w:eastAsia="en-US"/>
    </w:rPr>
  </w:style>
  <w:style w:type="paragraph" w:styleId="CommentSubject">
    <w:name w:val="annotation subject"/>
    <w:basedOn w:val="CommentText"/>
    <w:next w:val="CommentText"/>
    <w:link w:val="CommentSubjectChar"/>
    <w:rsid w:val="009311A9"/>
    <w:rPr>
      <w:b/>
      <w:bCs/>
    </w:rPr>
  </w:style>
  <w:style w:type="character" w:customStyle="1" w:styleId="CommentTextChar">
    <w:name w:val="Comment Text Char"/>
    <w:link w:val="CommentText"/>
    <w:semiHidden/>
    <w:rsid w:val="009311A9"/>
    <w:rPr>
      <w:lang w:eastAsia="en-US"/>
    </w:rPr>
  </w:style>
  <w:style w:type="character" w:customStyle="1" w:styleId="CommentSubjectChar">
    <w:name w:val="Comment Subject Char"/>
    <w:link w:val="CommentSubject"/>
    <w:rsid w:val="009311A9"/>
    <w:rPr>
      <w:b/>
      <w:bCs/>
      <w:lang w:eastAsia="en-US"/>
    </w:rPr>
  </w:style>
  <w:style w:type="character" w:customStyle="1" w:styleId="FootnoteTextChar">
    <w:name w:val="Footnote Text Char"/>
    <w:aliases w:val="5_G Char"/>
    <w:link w:val="FootnoteText"/>
    <w:uiPriority w:val="99"/>
    <w:rsid w:val="00AB103E"/>
    <w:rPr>
      <w:sz w:val="18"/>
      <w:lang w:eastAsia="en-US"/>
    </w:rPr>
  </w:style>
  <w:style w:type="character" w:customStyle="1" w:styleId="FooterChar">
    <w:name w:val="Footer Char"/>
    <w:link w:val="Footer"/>
    <w:uiPriority w:val="99"/>
    <w:rsid w:val="007E21F2"/>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H1GChar">
    <w:name w:val="_ H_1_G Char"/>
    <w:link w:val="H1G"/>
    <w:rsid w:val="003F1EDB"/>
    <w:rPr>
      <w:b/>
      <w:sz w:val="24"/>
      <w:lang w:val="en-GB" w:eastAsia="en-US"/>
    </w:rPr>
  </w:style>
  <w:style w:type="paragraph" w:styleId="BalloonText">
    <w:name w:val="Balloon Text"/>
    <w:basedOn w:val="Normal"/>
    <w:link w:val="BalloonTextChar"/>
    <w:rsid w:val="007A5095"/>
    <w:pPr>
      <w:spacing w:line="240" w:lineRule="auto"/>
    </w:pPr>
    <w:rPr>
      <w:rFonts w:ascii="Tahoma" w:hAnsi="Tahoma"/>
      <w:sz w:val="16"/>
      <w:szCs w:val="16"/>
    </w:rPr>
  </w:style>
  <w:style w:type="character" w:customStyle="1" w:styleId="BalloonTextChar">
    <w:name w:val="Balloon Text Char"/>
    <w:link w:val="BalloonText"/>
    <w:rsid w:val="007A5095"/>
    <w:rPr>
      <w:rFonts w:ascii="Tahoma" w:hAnsi="Tahoma" w:cs="Tahoma"/>
      <w:sz w:val="16"/>
      <w:szCs w:val="16"/>
      <w:lang w:val="en-GB" w:eastAsia="en-US"/>
    </w:rPr>
  </w:style>
  <w:style w:type="paragraph" w:styleId="Revision">
    <w:name w:val="Revision"/>
    <w:hidden/>
    <w:uiPriority w:val="99"/>
    <w:semiHidden/>
    <w:rsid w:val="00D75DBB"/>
    <w:rPr>
      <w:lang w:eastAsia="en-US"/>
    </w:rPr>
  </w:style>
  <w:style w:type="paragraph" w:styleId="CommentSubject">
    <w:name w:val="annotation subject"/>
    <w:basedOn w:val="CommentText"/>
    <w:next w:val="CommentText"/>
    <w:link w:val="CommentSubjectChar"/>
    <w:rsid w:val="009311A9"/>
    <w:rPr>
      <w:b/>
      <w:bCs/>
    </w:rPr>
  </w:style>
  <w:style w:type="character" w:customStyle="1" w:styleId="CommentTextChar">
    <w:name w:val="Comment Text Char"/>
    <w:link w:val="CommentText"/>
    <w:semiHidden/>
    <w:rsid w:val="009311A9"/>
    <w:rPr>
      <w:lang w:eastAsia="en-US"/>
    </w:rPr>
  </w:style>
  <w:style w:type="character" w:customStyle="1" w:styleId="CommentSubjectChar">
    <w:name w:val="Comment Subject Char"/>
    <w:link w:val="CommentSubject"/>
    <w:rsid w:val="009311A9"/>
    <w:rPr>
      <w:b/>
      <w:bCs/>
      <w:lang w:eastAsia="en-US"/>
    </w:rPr>
  </w:style>
  <w:style w:type="character" w:customStyle="1" w:styleId="FootnoteTextChar">
    <w:name w:val="Footnote Text Char"/>
    <w:aliases w:val="5_G Char"/>
    <w:link w:val="FootnoteText"/>
    <w:uiPriority w:val="99"/>
    <w:rsid w:val="00AB103E"/>
    <w:rPr>
      <w:sz w:val="18"/>
      <w:lang w:eastAsia="en-US"/>
    </w:rPr>
  </w:style>
  <w:style w:type="character" w:customStyle="1" w:styleId="FooterChar">
    <w:name w:val="Footer Char"/>
    <w:link w:val="Footer"/>
    <w:uiPriority w:val="99"/>
    <w:rsid w:val="007E21F2"/>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emf"/><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8.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7F9C-098B-423A-BBF8-DD35C416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4439</Words>
  <Characters>25308</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8</cp:revision>
  <cp:lastPrinted>2015-11-18T12:56:00Z</cp:lastPrinted>
  <dcterms:created xsi:type="dcterms:W3CDTF">2015-11-18T12:30:00Z</dcterms:created>
  <dcterms:modified xsi:type="dcterms:W3CDTF">2015-11-18T12:58:00Z</dcterms:modified>
</cp:coreProperties>
</file>