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71338">
        <w:trPr>
          <w:trHeight w:val="851"/>
        </w:trPr>
        <w:tc>
          <w:tcPr>
            <w:tcW w:w="1259" w:type="dxa"/>
            <w:tcBorders>
              <w:top w:val="nil"/>
              <w:left w:val="nil"/>
              <w:bottom w:val="single" w:sz="4" w:space="0" w:color="auto"/>
              <w:right w:val="nil"/>
            </w:tcBorders>
            <w:shd w:val="clear" w:color="auto" w:fill="auto"/>
          </w:tcPr>
          <w:p w:rsidR="00446DE4" w:rsidRPr="006A50EB"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A50E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D71338" w:rsidRDefault="00FC215C" w:rsidP="00FC215C">
            <w:pPr>
              <w:jc w:val="right"/>
              <w:rPr>
                <w:b/>
                <w:sz w:val="40"/>
                <w:szCs w:val="40"/>
                <w:lang w:val="it-IT"/>
              </w:rPr>
            </w:pPr>
            <w:r w:rsidRPr="00D71338">
              <w:rPr>
                <w:b/>
                <w:sz w:val="40"/>
                <w:szCs w:val="40"/>
                <w:lang w:val="it-IT"/>
              </w:rPr>
              <w:t>UN/SCETDG/</w:t>
            </w:r>
            <w:r w:rsidR="001D4E70" w:rsidRPr="00D71338">
              <w:rPr>
                <w:b/>
                <w:sz w:val="40"/>
                <w:szCs w:val="40"/>
                <w:lang w:val="it-IT"/>
              </w:rPr>
              <w:t>4</w:t>
            </w:r>
            <w:r w:rsidR="00EA2CC5" w:rsidRPr="00D71338">
              <w:rPr>
                <w:b/>
                <w:sz w:val="40"/>
                <w:szCs w:val="40"/>
                <w:lang w:val="it-IT"/>
              </w:rPr>
              <w:t>8</w:t>
            </w:r>
            <w:r w:rsidRPr="00D71338">
              <w:rPr>
                <w:b/>
                <w:sz w:val="40"/>
                <w:szCs w:val="40"/>
                <w:lang w:val="it-IT"/>
              </w:rPr>
              <w:t>/</w:t>
            </w:r>
            <w:r w:rsidR="00B17961" w:rsidRPr="00D71338">
              <w:rPr>
                <w:b/>
                <w:sz w:val="40"/>
                <w:szCs w:val="40"/>
                <w:lang w:val="it-IT"/>
              </w:rPr>
              <w:t>INF.</w:t>
            </w:r>
            <w:r w:rsidR="001310A8">
              <w:rPr>
                <w:b/>
                <w:sz w:val="40"/>
                <w:szCs w:val="40"/>
                <w:lang w:val="it-IT"/>
              </w:rPr>
              <w:t>2</w:t>
            </w:r>
            <w:r w:rsidR="00FC348D">
              <w:rPr>
                <w:b/>
                <w:sz w:val="40"/>
                <w:szCs w:val="40"/>
                <w:lang w:val="it-IT"/>
              </w:rPr>
              <w:t>1</w:t>
            </w:r>
            <w:r w:rsidR="006543F9">
              <w:rPr>
                <w:b/>
                <w:sz w:val="40"/>
                <w:szCs w:val="40"/>
                <w:lang w:val="it-IT"/>
              </w:rPr>
              <w:t xml:space="preserve"> (S</w:t>
            </w:r>
            <w:r w:rsidR="004B6649">
              <w:rPr>
                <w:b/>
                <w:sz w:val="40"/>
                <w:szCs w:val="40"/>
                <w:lang w:val="it-IT"/>
              </w:rPr>
              <w:t>)</w:t>
            </w:r>
          </w:p>
          <w:p w:rsidR="00FC215C" w:rsidRPr="00D71338" w:rsidRDefault="00FC215C" w:rsidP="00FC215C">
            <w:pPr>
              <w:jc w:val="right"/>
              <w:rPr>
                <w:b/>
                <w:sz w:val="40"/>
                <w:szCs w:val="40"/>
                <w:lang w:val="it-IT"/>
              </w:rPr>
            </w:pPr>
            <w:r w:rsidRPr="00D71338">
              <w:rPr>
                <w:b/>
                <w:sz w:val="40"/>
                <w:szCs w:val="40"/>
                <w:lang w:val="it-IT"/>
              </w:rPr>
              <w:t>UN/SCEGHS/</w:t>
            </w:r>
            <w:r w:rsidR="00EA2CC5" w:rsidRPr="00D71338">
              <w:rPr>
                <w:b/>
                <w:sz w:val="40"/>
                <w:szCs w:val="40"/>
                <w:lang w:val="it-IT"/>
              </w:rPr>
              <w:t>30</w:t>
            </w:r>
            <w:r w:rsidR="007F7576" w:rsidRPr="00D71338">
              <w:rPr>
                <w:b/>
                <w:sz w:val="40"/>
                <w:szCs w:val="40"/>
                <w:lang w:val="it-IT"/>
              </w:rPr>
              <w:t>/</w:t>
            </w:r>
            <w:r w:rsidR="00B17961" w:rsidRPr="00D71338">
              <w:rPr>
                <w:b/>
                <w:sz w:val="40"/>
                <w:szCs w:val="40"/>
                <w:lang w:val="it-IT"/>
              </w:rPr>
              <w:t>INF.</w:t>
            </w:r>
            <w:r w:rsidR="001310A8">
              <w:rPr>
                <w:b/>
                <w:sz w:val="40"/>
                <w:szCs w:val="40"/>
                <w:lang w:val="it-IT"/>
              </w:rPr>
              <w:t>6</w:t>
            </w:r>
            <w:r w:rsidR="006543F9">
              <w:rPr>
                <w:b/>
                <w:sz w:val="40"/>
                <w:szCs w:val="40"/>
                <w:lang w:val="it-IT"/>
              </w:rPr>
              <w:t xml:space="preserve"> (S</w:t>
            </w:r>
            <w:r w:rsidR="004B6649">
              <w:rPr>
                <w:b/>
                <w:sz w:val="40"/>
                <w:szCs w:val="40"/>
                <w:lang w:val="it-IT"/>
              </w:rPr>
              <w:t>)</w:t>
            </w:r>
          </w:p>
          <w:p w:rsidR="000216CC" w:rsidRPr="00D71338" w:rsidRDefault="000216CC" w:rsidP="00497711">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6A50EB">
        <w:tc>
          <w:tcPr>
            <w:tcW w:w="9645" w:type="dxa"/>
            <w:gridSpan w:val="2"/>
            <w:tcMar>
              <w:top w:w="142" w:type="dxa"/>
              <w:left w:w="108" w:type="dxa"/>
              <w:bottom w:w="142" w:type="dxa"/>
              <w:right w:w="108" w:type="dxa"/>
            </w:tcMar>
          </w:tcPr>
          <w:p w:rsidR="00645A0B" w:rsidRPr="006A50EB" w:rsidRDefault="00645A0B" w:rsidP="0043585B">
            <w:pPr>
              <w:tabs>
                <w:tab w:val="right" w:pos="9214"/>
              </w:tabs>
            </w:pPr>
            <w:r w:rsidRPr="006A50EB">
              <w:rPr>
                <w:b/>
                <w:sz w:val="24"/>
                <w:szCs w:val="24"/>
              </w:rPr>
              <w:t>Committee of Experts on the Transport of Dangerous Goods</w:t>
            </w:r>
            <w:r w:rsidRPr="006A50EB">
              <w:rPr>
                <w:b/>
                <w:sz w:val="24"/>
                <w:szCs w:val="24"/>
              </w:rPr>
              <w:tab/>
            </w:r>
            <w:r w:rsidRPr="006A50EB">
              <w:rPr>
                <w:b/>
                <w:sz w:val="24"/>
                <w:szCs w:val="24"/>
              </w:rPr>
              <w:br/>
              <w:t>and on the Globally Harmonized System of Classification</w:t>
            </w:r>
            <w:r w:rsidRPr="006A50EB">
              <w:rPr>
                <w:b/>
                <w:sz w:val="24"/>
                <w:szCs w:val="24"/>
              </w:rPr>
              <w:br/>
              <w:t>and Labelling of Chemicals</w:t>
            </w:r>
            <w:r w:rsidRPr="006A50EB">
              <w:rPr>
                <w:b/>
              </w:rPr>
              <w:tab/>
            </w:r>
            <w:r w:rsidR="0043585B">
              <w:rPr>
                <w:b/>
              </w:rPr>
              <w:t>17</w:t>
            </w:r>
            <w:r w:rsidR="00FC348D">
              <w:rPr>
                <w:b/>
              </w:rPr>
              <w:t xml:space="preserve"> November</w:t>
            </w:r>
            <w:r w:rsidR="00573DAA" w:rsidRPr="006A50EB">
              <w:rPr>
                <w:b/>
              </w:rPr>
              <w:t xml:space="preserve"> </w:t>
            </w:r>
            <w:r w:rsidR="00955109" w:rsidRPr="006A50EB">
              <w:rPr>
                <w:b/>
                <w:sz w:val="18"/>
                <w:szCs w:val="24"/>
              </w:rPr>
              <w:t>201</w:t>
            </w:r>
            <w:r w:rsidR="002B2BC6" w:rsidRPr="006A50EB">
              <w:rPr>
                <w:b/>
                <w:sz w:val="18"/>
                <w:szCs w:val="24"/>
              </w:rPr>
              <w:t>5</w:t>
            </w:r>
          </w:p>
        </w:tc>
      </w:tr>
      <w:tr w:rsidR="00645A0B" w:rsidRPr="006A50EB">
        <w:tc>
          <w:tcPr>
            <w:tcW w:w="4652"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 xml:space="preserve">Sub-Committee of Experts on the </w:t>
            </w:r>
            <w:r w:rsidRPr="006A50EB">
              <w:rPr>
                <w:b/>
              </w:rPr>
              <w:br/>
              <w:t xml:space="preserve">Transport of Dangerous Goods </w:t>
            </w:r>
          </w:p>
        </w:tc>
        <w:tc>
          <w:tcPr>
            <w:tcW w:w="4993"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Sub-Committee of Experts on the Globally Harmonized System of Classification and Labelling of Chemicals</w:t>
            </w:r>
          </w:p>
        </w:tc>
      </w:tr>
      <w:tr w:rsidR="00645A0B" w:rsidRPr="006A50EB">
        <w:tc>
          <w:tcPr>
            <w:tcW w:w="4652" w:type="dxa"/>
            <w:tcMar>
              <w:top w:w="57" w:type="dxa"/>
              <w:left w:w="108" w:type="dxa"/>
              <w:bottom w:w="0" w:type="dxa"/>
              <w:right w:w="108" w:type="dxa"/>
            </w:tcMar>
          </w:tcPr>
          <w:p w:rsidR="00645A0B" w:rsidRPr="006A50EB" w:rsidRDefault="00EA48C4" w:rsidP="00573DAA">
            <w:pPr>
              <w:spacing w:before="120"/>
              <w:ind w:left="34" w:hanging="34"/>
              <w:rPr>
                <w:b/>
                <w:highlight w:val="yellow"/>
              </w:rPr>
            </w:pPr>
            <w:r w:rsidRPr="006A50EB">
              <w:rPr>
                <w:b/>
              </w:rPr>
              <w:t>F</w:t>
            </w:r>
            <w:r w:rsidR="00645A0B" w:rsidRPr="006A50EB">
              <w:rPr>
                <w:b/>
              </w:rPr>
              <w:t>orty-</w:t>
            </w:r>
            <w:r w:rsidR="00573DAA" w:rsidRPr="006A50EB">
              <w:rPr>
                <w:b/>
              </w:rPr>
              <w:t>eighth</w:t>
            </w:r>
            <w:r w:rsidR="00645A0B" w:rsidRPr="006A50EB">
              <w:rPr>
                <w:b/>
              </w:rPr>
              <w:t xml:space="preserve"> session</w:t>
            </w:r>
          </w:p>
        </w:tc>
        <w:tc>
          <w:tcPr>
            <w:tcW w:w="4993" w:type="dxa"/>
            <w:tcMar>
              <w:top w:w="57" w:type="dxa"/>
              <w:left w:w="108" w:type="dxa"/>
              <w:bottom w:w="0" w:type="dxa"/>
              <w:right w:w="108" w:type="dxa"/>
            </w:tcMar>
          </w:tcPr>
          <w:p w:rsidR="00645A0B" w:rsidRPr="006A50EB" w:rsidRDefault="001B1C9D" w:rsidP="00573DAA">
            <w:pPr>
              <w:spacing w:before="120"/>
              <w:rPr>
                <w:b/>
                <w:highlight w:val="yellow"/>
              </w:rPr>
            </w:pPr>
            <w:r w:rsidRPr="006A50EB">
              <w:rPr>
                <w:b/>
              </w:rPr>
              <w:t>Thir</w:t>
            </w:r>
            <w:r w:rsidR="00B17961" w:rsidRPr="006A50EB">
              <w:rPr>
                <w:b/>
              </w:rPr>
              <w:t>tieth</w:t>
            </w:r>
            <w:r w:rsidR="00645A0B" w:rsidRPr="006A50EB">
              <w:rPr>
                <w:b/>
              </w:rPr>
              <w:t xml:space="preserve"> session</w:t>
            </w:r>
          </w:p>
        </w:tc>
      </w:tr>
      <w:tr w:rsidR="00645A0B" w:rsidRPr="006A50EB">
        <w:tc>
          <w:tcPr>
            <w:tcW w:w="4652" w:type="dxa"/>
            <w:tcMar>
              <w:top w:w="28" w:type="dxa"/>
              <w:left w:w="108" w:type="dxa"/>
              <w:bottom w:w="0" w:type="dxa"/>
              <w:right w:w="108" w:type="dxa"/>
            </w:tcMar>
          </w:tcPr>
          <w:p w:rsidR="001156DC" w:rsidRPr="006A50EB" w:rsidRDefault="00356165" w:rsidP="007711D1">
            <w:pPr>
              <w:spacing w:before="40"/>
              <w:ind w:left="34" w:hanging="34"/>
              <w:rPr>
                <w:highlight w:val="green"/>
              </w:rPr>
            </w:pPr>
            <w:r w:rsidRPr="006A50EB">
              <w:t>Geneva,</w:t>
            </w:r>
            <w:r w:rsidR="00573DAA" w:rsidRPr="006A50EB">
              <w:t xml:space="preserve"> </w:t>
            </w:r>
            <w:r w:rsidR="001B1C9D" w:rsidRPr="006A50EB">
              <w:t xml:space="preserve">30 November – 9 </w:t>
            </w:r>
            <w:r w:rsidR="00573DAA" w:rsidRPr="006A50EB">
              <w:t>December</w:t>
            </w:r>
            <w:r w:rsidRPr="006A50EB">
              <w:t xml:space="preserve"> 2015</w:t>
            </w:r>
          </w:p>
          <w:p w:rsidR="00645A0B" w:rsidRPr="006A50EB" w:rsidRDefault="00C82A0C" w:rsidP="0043585B">
            <w:pPr>
              <w:spacing w:before="40"/>
              <w:ind w:left="-10" w:firstLine="10"/>
              <w:rPr>
                <w:b/>
                <w:bCs/>
                <w:highlight w:val="yellow"/>
              </w:rPr>
            </w:pPr>
            <w:r w:rsidRPr="00031B2C">
              <w:t>Item</w:t>
            </w:r>
            <w:r w:rsidR="001B1C9D" w:rsidRPr="00031B2C">
              <w:t xml:space="preserve"> 1</w:t>
            </w:r>
            <w:r w:rsidR="0043585B">
              <w:t>1</w:t>
            </w:r>
            <w:r w:rsidR="00770E82" w:rsidRPr="00031B2C">
              <w:t xml:space="preserve"> </w:t>
            </w:r>
            <w:r w:rsidRPr="00031B2C">
              <w:t>of the provisional agenda</w:t>
            </w:r>
            <w:r w:rsidRPr="00031B2C">
              <w:br/>
            </w:r>
            <w:r w:rsidR="0043585B" w:rsidRPr="0043585B">
              <w:rPr>
                <w:b/>
              </w:rPr>
              <w:t>Other business</w:t>
            </w:r>
          </w:p>
        </w:tc>
        <w:tc>
          <w:tcPr>
            <w:tcW w:w="4993" w:type="dxa"/>
            <w:tcMar>
              <w:top w:w="28" w:type="dxa"/>
              <w:left w:w="108" w:type="dxa"/>
              <w:bottom w:w="0" w:type="dxa"/>
              <w:right w:w="108" w:type="dxa"/>
            </w:tcMar>
          </w:tcPr>
          <w:p w:rsidR="00356165" w:rsidRPr="006A50EB" w:rsidRDefault="00356165" w:rsidP="00356165">
            <w:pPr>
              <w:jc w:val="both"/>
              <w:rPr>
                <w:highlight w:val="green"/>
              </w:rPr>
            </w:pPr>
            <w:r w:rsidRPr="006A50EB">
              <w:t xml:space="preserve">Geneva, </w:t>
            </w:r>
            <w:r w:rsidR="00B17961" w:rsidRPr="006A50EB">
              <w:t>9</w:t>
            </w:r>
            <w:r w:rsidR="0043585B">
              <w:t xml:space="preserve"> – </w:t>
            </w:r>
            <w:r w:rsidR="00B17961" w:rsidRPr="006A50EB">
              <w:t>11</w:t>
            </w:r>
            <w:r w:rsidR="00573DAA" w:rsidRPr="006A50EB">
              <w:t xml:space="preserve"> December 2015</w:t>
            </w:r>
          </w:p>
          <w:p w:rsidR="00645A0B" w:rsidRPr="006A50EB" w:rsidRDefault="00C82A0C" w:rsidP="0043585B">
            <w:pPr>
              <w:rPr>
                <w:b/>
                <w:bCs/>
                <w:highlight w:val="yellow"/>
              </w:rPr>
            </w:pPr>
            <w:r w:rsidRPr="00031B2C">
              <w:t>Item</w:t>
            </w:r>
            <w:r w:rsidR="00356165" w:rsidRPr="00031B2C">
              <w:t xml:space="preserve"> </w:t>
            </w:r>
            <w:r w:rsidR="0043585B">
              <w:t>8</w:t>
            </w:r>
            <w:r w:rsidR="001B1C9D" w:rsidRPr="00031B2C">
              <w:t xml:space="preserve"> </w:t>
            </w:r>
            <w:r w:rsidRPr="00031B2C">
              <w:t>of the provisional agenda</w:t>
            </w:r>
            <w:r w:rsidRPr="00031B2C">
              <w:br/>
            </w:r>
            <w:r w:rsidR="0043585B" w:rsidRPr="0043585B">
              <w:rPr>
                <w:b/>
              </w:rPr>
              <w:t>Other business</w:t>
            </w:r>
          </w:p>
        </w:tc>
      </w:tr>
    </w:tbl>
    <w:p w:rsidR="0043585B" w:rsidRPr="0043585B" w:rsidRDefault="00EA1BF0" w:rsidP="0043585B">
      <w:pPr>
        <w:pStyle w:val="HChG"/>
        <w:rPr>
          <w:lang w:val="fr-CH"/>
        </w:rPr>
      </w:pPr>
      <w:r>
        <w:tab/>
      </w:r>
      <w:r w:rsidR="0043585B">
        <w:rPr>
          <w:lang w:val="fr-CH"/>
        </w:rPr>
        <w:tab/>
        <w:t xml:space="preserve">ECOSOC </w:t>
      </w:r>
      <w:proofErr w:type="spellStart"/>
      <w:r w:rsidR="0043585B">
        <w:rPr>
          <w:lang w:val="fr-CH"/>
        </w:rPr>
        <w:t>Resolution</w:t>
      </w:r>
      <w:proofErr w:type="spellEnd"/>
      <w:r w:rsidR="0043585B">
        <w:rPr>
          <w:lang w:val="fr-CH"/>
        </w:rPr>
        <w:t xml:space="preserve"> 2015/7</w:t>
      </w:r>
    </w:p>
    <w:p w:rsidR="0043585B" w:rsidRDefault="0043585B" w:rsidP="0043585B">
      <w:pPr>
        <w:pStyle w:val="H1G"/>
        <w:ind w:left="0" w:firstLine="0"/>
        <w:rPr>
          <w:lang w:val="en-US"/>
        </w:rPr>
      </w:pPr>
      <w:r>
        <w:rPr>
          <w:lang w:val="en-US"/>
        </w:rPr>
        <w:tab/>
      </w:r>
      <w:r>
        <w:rPr>
          <w:lang w:val="en-US"/>
        </w:rPr>
        <w:tab/>
        <w:t>Note by the secretariat</w:t>
      </w:r>
    </w:p>
    <w:p w:rsidR="0043585B" w:rsidRDefault="0043585B" w:rsidP="0043585B">
      <w:pPr>
        <w:pStyle w:val="SingleTxtG"/>
        <w:rPr>
          <w:lang w:val="fr-CH" w:eastAsia="en-GB"/>
        </w:rPr>
      </w:pPr>
      <w:r>
        <w:rPr>
          <w:lang w:eastAsia="en-GB"/>
        </w:rPr>
        <w:t xml:space="preserve">The secretariat reproduces hereafter for information of the Sub-Committee the </w:t>
      </w:r>
      <w:proofErr w:type="spellStart"/>
      <w:r w:rsidR="007A3458">
        <w:rPr>
          <w:lang w:val="fr-CH" w:eastAsia="en-GB"/>
        </w:rPr>
        <w:t>Spanish</w:t>
      </w:r>
      <w:proofErr w:type="spellEnd"/>
      <w:r>
        <w:rPr>
          <w:lang w:val="fr-CH" w:eastAsia="en-GB"/>
        </w:rPr>
        <w:t xml:space="preserve"> </w:t>
      </w:r>
      <w:r>
        <w:rPr>
          <w:lang w:eastAsia="en-GB"/>
        </w:rPr>
        <w:t>version of resolution 201</w:t>
      </w:r>
      <w:r>
        <w:rPr>
          <w:lang w:val="fr-CH" w:eastAsia="en-GB"/>
        </w:rPr>
        <w:t>5</w:t>
      </w:r>
      <w:r>
        <w:rPr>
          <w:lang w:eastAsia="en-GB"/>
        </w:rPr>
        <w:t>/</w:t>
      </w:r>
      <w:r>
        <w:rPr>
          <w:lang w:val="fr-CH" w:eastAsia="en-GB"/>
        </w:rPr>
        <w:t>7</w:t>
      </w:r>
      <w:r>
        <w:rPr>
          <w:lang w:eastAsia="en-GB"/>
        </w:rPr>
        <w:t xml:space="preserve"> which was adopted by the Economic and Social Council on</w:t>
      </w:r>
      <w:r>
        <w:rPr>
          <w:lang w:val="fr-CH" w:eastAsia="en-GB"/>
        </w:rPr>
        <w:t xml:space="preserve"> 8 </w:t>
      </w:r>
      <w:proofErr w:type="spellStart"/>
      <w:r>
        <w:rPr>
          <w:lang w:val="fr-CH" w:eastAsia="en-GB"/>
        </w:rPr>
        <w:t>June</w:t>
      </w:r>
      <w:proofErr w:type="spellEnd"/>
      <w:r>
        <w:rPr>
          <w:lang w:val="fr-CH" w:eastAsia="en-GB"/>
        </w:rPr>
        <w:t xml:space="preserve"> 2015.</w:t>
      </w:r>
    </w:p>
    <w:p w:rsidR="005938DD" w:rsidRPr="00ED100E" w:rsidRDefault="003E0194" w:rsidP="005938DD">
      <w:pPr>
        <w:pStyle w:val="Heading1"/>
        <w:spacing w:after="240"/>
        <w:jc w:val="center"/>
        <w:rPr>
          <w:sz w:val="28"/>
          <w:lang w:val="es-ES_tradnl"/>
        </w:rPr>
      </w:pPr>
      <w:r>
        <w:rPr>
          <w:sz w:val="28"/>
        </w:rPr>
        <w:br w:type="page"/>
      </w:r>
      <w:r w:rsidR="005938DD" w:rsidRPr="00ED100E">
        <w:rPr>
          <w:sz w:val="28"/>
          <w:lang w:val="es-ES_tradnl"/>
        </w:rPr>
        <w:lastRenderedPageBreak/>
        <w:t>Resolución aprobada por el Consejo Económico y Social el 8 de junio de 2015</w:t>
      </w:r>
    </w:p>
    <w:p w:rsidR="005938DD" w:rsidRPr="00ED100E" w:rsidRDefault="005938DD" w:rsidP="005938DD">
      <w:pPr>
        <w:autoSpaceDE w:val="0"/>
        <w:autoSpaceDN w:val="0"/>
        <w:adjustRightInd w:val="0"/>
        <w:spacing w:after="360"/>
        <w:ind w:left="432" w:right="432"/>
        <w:jc w:val="center"/>
        <w:rPr>
          <w:color w:val="000000"/>
          <w:lang w:val="es-ES_tradnl" w:eastAsia="fr-FR"/>
        </w:rPr>
      </w:pPr>
      <w:r w:rsidRPr="00ED100E">
        <w:rPr>
          <w:color w:val="000000"/>
          <w:lang w:val="es-ES_tradnl" w:eastAsia="fr-FR"/>
        </w:rPr>
        <w:t>[</w:t>
      </w:r>
      <w:proofErr w:type="gramStart"/>
      <w:r w:rsidRPr="00ED100E">
        <w:rPr>
          <w:i/>
          <w:color w:val="000000"/>
          <w:w w:val="102"/>
          <w:lang w:val="es-ES_tradnl" w:eastAsia="fr-FR"/>
        </w:rPr>
        <w:t>por</w:t>
      </w:r>
      <w:proofErr w:type="gramEnd"/>
      <w:r w:rsidRPr="00ED100E">
        <w:rPr>
          <w:i/>
          <w:color w:val="000000"/>
          <w:w w:val="102"/>
          <w:lang w:val="es-ES_tradnl" w:eastAsia="fr-FR"/>
        </w:rPr>
        <w:t xml:space="preserve"> recomendación del</w:t>
      </w:r>
      <w:r w:rsidRPr="00ED100E">
        <w:rPr>
          <w:i/>
          <w:iCs/>
          <w:color w:val="000000"/>
          <w:lang w:val="es-ES_tradnl" w:eastAsia="fr-FR"/>
        </w:rPr>
        <w:t xml:space="preserve"> Comité de Expertos en Transporte de Mercancías Peligrosas y en el Sistema Globalmente Armonizado de Clasificación y Etiquetado de Productos Químicos (E/2015/66)</w:t>
      </w:r>
      <w:r w:rsidRPr="00ED100E">
        <w:rPr>
          <w:color w:val="000000"/>
          <w:lang w:val="es-ES_tradnl" w:eastAsia="fr-FR"/>
        </w:rPr>
        <w:t>]</w:t>
      </w:r>
    </w:p>
    <w:p w:rsidR="005938DD" w:rsidRPr="00ED100E" w:rsidRDefault="005938DD" w:rsidP="005938DD">
      <w:pPr>
        <w:pStyle w:val="H1"/>
        <w:tabs>
          <w:tab w:val="right" w:pos="1022"/>
          <w:tab w:val="left" w:pos="1267"/>
          <w:tab w:val="left" w:pos="1742"/>
          <w:tab w:val="left" w:pos="2304"/>
          <w:tab w:val="left" w:pos="2693"/>
          <w:tab w:val="left" w:pos="3182"/>
          <w:tab w:val="left" w:pos="3658"/>
          <w:tab w:val="left" w:pos="4133"/>
          <w:tab w:val="left" w:pos="4622"/>
          <w:tab w:val="left" w:pos="5098"/>
          <w:tab w:val="left" w:pos="5573"/>
          <w:tab w:val="left" w:pos="6048"/>
        </w:tabs>
        <w:spacing w:after="240"/>
        <w:ind w:left="2289" w:right="1267" w:hanging="1022"/>
        <w:rPr>
          <w:lang w:val="es-ES_tradnl"/>
        </w:rPr>
      </w:pPr>
      <w:r w:rsidRPr="00ED100E">
        <w:rPr>
          <w:lang w:val="es-ES_tradnl"/>
        </w:rPr>
        <w:t>2015/7.</w:t>
      </w:r>
      <w:r w:rsidRPr="00ED100E">
        <w:rPr>
          <w:lang w:val="es-ES_tradnl"/>
        </w:rPr>
        <w:tab/>
      </w:r>
      <w:r w:rsidRPr="00ED100E">
        <w:rPr>
          <w:rFonts w:ascii="Times New Roman Bold" w:hAnsi="Times New Roman Bold"/>
          <w:spacing w:val="6"/>
          <w:lang w:val="es-ES_tradnl"/>
        </w:rPr>
        <w:t>Labor del Comité de Expertos en Transporte de Mercancías</w:t>
      </w:r>
      <w:r w:rsidRPr="00ED100E">
        <w:rPr>
          <w:lang w:val="es-ES_tradnl"/>
        </w:rPr>
        <w:t xml:space="preserve"> Peligrosas y en el Sistema Globalmente Armonizado de Clasificación y Etiquetado de Productos Químicos</w:t>
      </w:r>
    </w:p>
    <w:p w:rsidR="005938DD" w:rsidRPr="00ED100E" w:rsidRDefault="005938DD" w:rsidP="005938DD">
      <w:pPr>
        <w:pStyle w:val="SingleTxt"/>
        <w:rPr>
          <w:i/>
          <w:lang w:val="es-ES_tradnl"/>
        </w:rPr>
      </w:pPr>
      <w:r w:rsidRPr="00ED100E">
        <w:rPr>
          <w:lang w:val="es-ES_tradnl"/>
        </w:rPr>
        <w:tab/>
      </w:r>
      <w:r w:rsidRPr="00ED100E">
        <w:rPr>
          <w:i/>
          <w:lang w:val="es-ES_tradnl"/>
        </w:rPr>
        <w:t>El Consejo Económico y Social,</w:t>
      </w:r>
    </w:p>
    <w:p w:rsidR="005938DD" w:rsidRPr="00ED100E" w:rsidRDefault="005938DD" w:rsidP="005938DD">
      <w:pPr>
        <w:pStyle w:val="SingleTxt"/>
        <w:rPr>
          <w:lang w:val="es-ES_tradnl"/>
        </w:rPr>
      </w:pPr>
      <w:r w:rsidRPr="00ED100E">
        <w:rPr>
          <w:lang w:val="es-ES_tradnl"/>
        </w:rPr>
        <w:tab/>
      </w:r>
      <w:r w:rsidRPr="00ED100E">
        <w:rPr>
          <w:i/>
          <w:lang w:val="es-ES_tradnl"/>
        </w:rPr>
        <w:t>Recordando</w:t>
      </w:r>
      <w:r w:rsidRPr="00ED100E">
        <w:rPr>
          <w:lang w:val="es-ES_tradnl"/>
        </w:rPr>
        <w:t xml:space="preserve"> sus resoluciones 1999/65</w:t>
      </w:r>
      <w:r>
        <w:rPr>
          <w:lang w:val="es-ES_tradnl"/>
        </w:rPr>
        <w:t>,</w:t>
      </w:r>
      <w:r w:rsidRPr="00ED100E">
        <w:rPr>
          <w:lang w:val="es-ES_tradnl"/>
        </w:rPr>
        <w:t xml:space="preserve"> de 26 de octubre de 1999</w:t>
      </w:r>
      <w:r>
        <w:rPr>
          <w:lang w:val="es-ES_tradnl"/>
        </w:rPr>
        <w:t>,</w:t>
      </w:r>
      <w:r w:rsidRPr="00ED100E">
        <w:rPr>
          <w:lang w:val="es-ES_tradnl"/>
        </w:rPr>
        <w:t xml:space="preserve"> y 2013/25</w:t>
      </w:r>
      <w:r>
        <w:rPr>
          <w:lang w:val="es-ES_tradnl"/>
        </w:rPr>
        <w:t>, de </w:t>
      </w:r>
      <w:r w:rsidRPr="00ED100E">
        <w:rPr>
          <w:lang w:val="es-ES_tradnl"/>
        </w:rPr>
        <w:t>25 de julio de 2013,</w:t>
      </w:r>
    </w:p>
    <w:p w:rsidR="005938DD" w:rsidRPr="00ED100E" w:rsidRDefault="005938DD" w:rsidP="005938DD">
      <w:pPr>
        <w:pStyle w:val="SingleTxt"/>
        <w:rPr>
          <w:lang w:val="es-ES_tradnl"/>
        </w:rPr>
      </w:pPr>
      <w:r w:rsidRPr="00ED100E">
        <w:rPr>
          <w:lang w:val="es-ES_tradnl"/>
        </w:rPr>
        <w:tab/>
      </w:r>
      <w:r w:rsidRPr="00ED100E">
        <w:rPr>
          <w:i/>
          <w:lang w:val="es-ES_tradnl"/>
        </w:rPr>
        <w:t>Habiendo examinado</w:t>
      </w:r>
      <w:r w:rsidRPr="00ED100E">
        <w:rPr>
          <w:lang w:val="es-ES_tradnl"/>
        </w:rPr>
        <w:t xml:space="preserve"> el informe del Secretario General sobre la labor del Comité de Expertos en Transporte de Mercancías Peligrosas y en el Sistema Globalmente Armonizado de Clasificación y Etiquetado de Productos Químicos durante el bienio 2013-2014</w:t>
      </w:r>
      <w:bookmarkStart w:id="1" w:name="_Ref424121062"/>
      <w:r w:rsidRPr="00ED100E">
        <w:rPr>
          <w:rStyle w:val="FootnoteReference"/>
          <w:lang w:val="es-ES_tradnl"/>
        </w:rPr>
        <w:footnoteReference w:id="2"/>
      </w:r>
      <w:bookmarkEnd w:id="1"/>
      <w:r w:rsidRPr="00ED100E">
        <w:rPr>
          <w:lang w:val="es-ES_tradnl"/>
        </w:rPr>
        <w:t>,</w:t>
      </w:r>
    </w:p>
    <w:p w:rsidR="005938DD" w:rsidRPr="00ED100E" w:rsidRDefault="005938DD" w:rsidP="005938DD">
      <w:pPr>
        <w:pStyle w:val="SingleTxt"/>
        <w:spacing w:after="0" w:line="120" w:lineRule="exact"/>
        <w:rPr>
          <w:sz w:val="10"/>
          <w:lang w:val="es-ES_tradnl"/>
        </w:rPr>
      </w:pPr>
    </w:p>
    <w:p w:rsidR="005938DD" w:rsidRPr="00ED100E" w:rsidRDefault="005938DD" w:rsidP="005938DD">
      <w:pPr>
        <w:pStyle w:val="H23"/>
        <w:spacing w:after="120"/>
        <w:rPr>
          <w:lang w:val="es-ES_tradnl"/>
        </w:rPr>
      </w:pPr>
      <w:r w:rsidRPr="00ED100E">
        <w:rPr>
          <w:lang w:val="es-ES_tradnl"/>
        </w:rPr>
        <w:t>A</w:t>
      </w:r>
      <w:r>
        <w:rPr>
          <w:lang w:val="es-ES_tradnl"/>
        </w:rPr>
        <w:t>.</w:t>
      </w:r>
      <w:r>
        <w:rPr>
          <w:lang w:val="es-ES_tradnl"/>
        </w:rPr>
        <w:tab/>
      </w:r>
      <w:r w:rsidRPr="00ED100E">
        <w:rPr>
          <w:lang w:val="es-ES_tradnl"/>
        </w:rPr>
        <w:t>Labor del Comité en relación con el transporte de mercancías peligrosas</w:t>
      </w:r>
    </w:p>
    <w:p w:rsidR="005938DD" w:rsidRPr="00ED100E" w:rsidRDefault="005938DD" w:rsidP="005938DD">
      <w:pPr>
        <w:pStyle w:val="SingleTxt"/>
        <w:rPr>
          <w:lang w:val="es-ES_tradnl"/>
        </w:rPr>
      </w:pPr>
      <w:r w:rsidRPr="00ED100E">
        <w:rPr>
          <w:lang w:val="es-ES_tradnl"/>
        </w:rPr>
        <w:tab/>
      </w:r>
      <w:r w:rsidRPr="00ED100E">
        <w:rPr>
          <w:i/>
          <w:lang w:val="es-ES_tradnl"/>
        </w:rPr>
        <w:t>Reconociendo</w:t>
      </w:r>
      <w:r w:rsidRPr="00ED100E">
        <w:rPr>
          <w:lang w:val="es-ES_tradnl"/>
        </w:rPr>
        <w:t xml:space="preserve"> la importancia que reviste la labor que realiza el Comité para armonizar los códigos y reglamentos relativos al transporte de mercancías peligrosas,</w:t>
      </w:r>
    </w:p>
    <w:p w:rsidR="005938DD" w:rsidRPr="00ED100E" w:rsidRDefault="005938DD" w:rsidP="005938DD">
      <w:pPr>
        <w:pStyle w:val="SingleTxt"/>
        <w:rPr>
          <w:lang w:val="es-ES_tradnl"/>
        </w:rPr>
      </w:pPr>
      <w:r w:rsidRPr="00ED100E">
        <w:rPr>
          <w:lang w:val="es-ES_tradnl"/>
        </w:rPr>
        <w:tab/>
      </w:r>
      <w:r w:rsidRPr="00ED100E">
        <w:rPr>
          <w:i/>
          <w:lang w:val="es-ES_tradnl"/>
        </w:rPr>
        <w:t>Teniendo presente</w:t>
      </w:r>
      <w:r w:rsidRPr="00ED100E">
        <w:rPr>
          <w:lang w:val="es-ES_tradnl"/>
        </w:rPr>
        <w:t xml:space="preserve"> la necesidad de observar en todo momento normas de seguridad y de facilitar el comercio, así como la importancia que ello reviste para las diversas organizaciones que se encargan de aplicar la reglamentación de los modos de transporte, y de atender al mismo tiempo la preocupación cada vez mayor por la protección de la vida, los bienes y el medio ambiente mediante el transporte de las mercancías peligrosas en condiciones de seguridad,</w:t>
      </w:r>
    </w:p>
    <w:p w:rsidR="005938DD" w:rsidRPr="00ED100E" w:rsidRDefault="005938DD" w:rsidP="005938DD">
      <w:pPr>
        <w:pStyle w:val="SingleTxt"/>
        <w:rPr>
          <w:lang w:val="es-ES_tradnl"/>
        </w:rPr>
      </w:pPr>
      <w:r w:rsidRPr="00ED100E">
        <w:rPr>
          <w:lang w:val="es-ES_tradnl"/>
        </w:rPr>
        <w:tab/>
      </w:r>
      <w:r w:rsidRPr="00ED100E">
        <w:rPr>
          <w:i/>
          <w:lang w:val="es-ES_tradnl"/>
        </w:rPr>
        <w:t>Observando</w:t>
      </w:r>
      <w:r w:rsidRPr="00ED100E">
        <w:rPr>
          <w:lang w:val="es-ES_tradnl"/>
        </w:rPr>
        <w:t xml:space="preserve"> el volumen cada vez mayor de mercancías peligrosas que se incorporan al comercio mundial y la rápida expansión de las tecnologías y las innovaciones,</w:t>
      </w:r>
    </w:p>
    <w:p w:rsidR="005938DD" w:rsidRPr="00ED100E" w:rsidRDefault="005938DD" w:rsidP="005938DD">
      <w:pPr>
        <w:pStyle w:val="SingleTxt"/>
        <w:rPr>
          <w:lang w:val="es-ES_tradnl"/>
        </w:rPr>
      </w:pPr>
      <w:r w:rsidRPr="00ED100E">
        <w:rPr>
          <w:lang w:val="es-ES_tradnl"/>
        </w:rPr>
        <w:tab/>
      </w:r>
      <w:r w:rsidRPr="00ED100E">
        <w:rPr>
          <w:i/>
          <w:lang w:val="es-ES_tradnl"/>
        </w:rPr>
        <w:t>Recordando</w:t>
      </w:r>
      <w:r w:rsidRPr="00ED100E">
        <w:rPr>
          <w:lang w:val="es-ES_tradnl"/>
        </w:rPr>
        <w:t xml:space="preserve"> que, si bien los principales instrumentos internacionales que regulan el transporte de las mercancías peligrosas por los diversos medios de transporte y muchos de los reglamentos nacionales se han armonizado ya con la Reglamentación Modelo que figura como anexo de las recomendaciones del Comité relativas al transporte de mercancías peligrosas, es necesario continuar trabajando para armonizar esos instrumentos a fin de aumentar la seguridad y facilitar el comercio, y recordando también que el progreso desigual del proceso de actualización de la legislación nacional aplicable al transporte interno en algunos países del mundo sigue planteando graves problemas para el transporte multimodal internacional,</w:t>
      </w:r>
    </w:p>
    <w:p w:rsidR="005938DD" w:rsidRPr="00ED100E" w:rsidRDefault="005938DD" w:rsidP="005938DD">
      <w:pPr>
        <w:pStyle w:val="SingleTxt"/>
        <w:rPr>
          <w:lang w:val="es-ES_tradnl"/>
        </w:rPr>
      </w:pPr>
      <w:r w:rsidRPr="00ED100E">
        <w:rPr>
          <w:lang w:val="es-ES_tradnl"/>
        </w:rPr>
        <w:tab/>
        <w:t>1.</w:t>
      </w:r>
      <w:r w:rsidRPr="00ED100E">
        <w:rPr>
          <w:lang w:val="es-ES_tradnl"/>
        </w:rPr>
        <w:tab/>
      </w:r>
      <w:r w:rsidRPr="00ED100E">
        <w:rPr>
          <w:i/>
          <w:lang w:val="es-ES_tradnl"/>
        </w:rPr>
        <w:t>Expresa su reconocimiento</w:t>
      </w:r>
      <w:r w:rsidRPr="00ED100E">
        <w:rPr>
          <w:lang w:val="es-ES_tradnl"/>
        </w:rPr>
        <w:t xml:space="preserve"> por la labor del Comité de Expertos en Transporte de Mercancías Peligrosas y en el Sistema Globalmente Armonizado de Clasificación y Etiquetado de Productos Químicos respecto de las cuestiones </w:t>
      </w:r>
      <w:r w:rsidRPr="00ED100E">
        <w:rPr>
          <w:lang w:val="es-ES_tradnl"/>
        </w:rPr>
        <w:lastRenderedPageBreak/>
        <w:t>relacionadas con el transporte de mercancías peligrosas, en particular la seguridad de ese transporte;</w:t>
      </w:r>
    </w:p>
    <w:p w:rsidR="005938DD" w:rsidRPr="00ED100E" w:rsidRDefault="005938DD" w:rsidP="005938DD">
      <w:pPr>
        <w:pStyle w:val="SingleTxt"/>
        <w:keepNext/>
        <w:rPr>
          <w:lang w:val="es-ES_tradnl"/>
        </w:rPr>
      </w:pPr>
      <w:r w:rsidRPr="00ED100E">
        <w:rPr>
          <w:lang w:val="es-ES_tradnl"/>
        </w:rPr>
        <w:tab/>
        <w:t>2.</w:t>
      </w:r>
      <w:r w:rsidRPr="00ED100E">
        <w:rPr>
          <w:lang w:val="es-ES_tradnl"/>
        </w:rPr>
        <w:tab/>
      </w:r>
      <w:r>
        <w:rPr>
          <w:i/>
          <w:lang w:val="es-ES_tradnl"/>
        </w:rPr>
        <w:t>Solicita</w:t>
      </w:r>
      <w:r>
        <w:rPr>
          <w:lang w:val="es-ES_tradnl"/>
        </w:rPr>
        <w:t xml:space="preserve"> </w:t>
      </w:r>
      <w:r w:rsidRPr="00ED100E">
        <w:rPr>
          <w:lang w:val="es-ES_tradnl"/>
        </w:rPr>
        <w:t>al Secretario General que:</w:t>
      </w:r>
    </w:p>
    <w:p w:rsidR="005938DD" w:rsidRPr="00ED100E" w:rsidRDefault="005938DD" w:rsidP="005938DD">
      <w:pPr>
        <w:pStyle w:val="SingleTxt"/>
        <w:rPr>
          <w:lang w:val="es-ES_tradnl"/>
        </w:rPr>
      </w:pPr>
      <w:r w:rsidRPr="00ED100E">
        <w:rPr>
          <w:lang w:val="es-ES_tradnl"/>
        </w:rPr>
        <w:tab/>
      </w:r>
      <w:r w:rsidRPr="009B7D4A">
        <w:rPr>
          <w:i/>
          <w:lang w:val="es-ES_tradnl"/>
        </w:rPr>
        <w:t>a</w:t>
      </w:r>
      <w:r w:rsidRPr="00ED100E">
        <w:rPr>
          <w:lang w:val="es-ES_tradnl"/>
        </w:rPr>
        <w:t>)</w:t>
      </w:r>
      <w:r w:rsidRPr="00ED100E">
        <w:rPr>
          <w:lang w:val="es-ES_tradnl"/>
        </w:rPr>
        <w:tab/>
        <w:t>Distribuya las recomendaciones nuevas y enmendadas sobre el transporte de mercancías peligrosas</w:t>
      </w:r>
      <w:r w:rsidRPr="00ED100E">
        <w:rPr>
          <w:rStyle w:val="FootnoteReference"/>
          <w:lang w:val="es-ES_tradnl"/>
        </w:rPr>
        <w:footnoteReference w:id="3"/>
      </w:r>
      <w:r w:rsidRPr="00ED100E">
        <w:rPr>
          <w:lang w:val="es-ES_tradnl"/>
        </w:rPr>
        <w:t xml:space="preserve"> entre los gobiernos de los Estados Miembros, los organismos especializados, el Organismo Internacional de Energía Atómica y otras organizaciones internacionales interesadas;</w:t>
      </w:r>
    </w:p>
    <w:p w:rsidR="005938DD" w:rsidRPr="00ED100E" w:rsidRDefault="005938DD" w:rsidP="005938DD">
      <w:pPr>
        <w:pStyle w:val="SingleTxt"/>
        <w:rPr>
          <w:lang w:val="es-ES_tradnl"/>
        </w:rPr>
      </w:pPr>
      <w:r w:rsidRPr="00ED100E">
        <w:rPr>
          <w:lang w:val="es-ES_tradnl"/>
        </w:rPr>
        <w:tab/>
      </w:r>
      <w:r w:rsidRPr="009B7D4A">
        <w:rPr>
          <w:i/>
          <w:lang w:val="es-ES_tradnl"/>
        </w:rPr>
        <w:t>b</w:t>
      </w:r>
      <w:r w:rsidRPr="00ED100E">
        <w:rPr>
          <w:lang w:val="es-ES_tradnl"/>
        </w:rPr>
        <w:t>)</w:t>
      </w:r>
      <w:r w:rsidRPr="00ED100E">
        <w:rPr>
          <w:lang w:val="es-ES_tradnl"/>
        </w:rPr>
        <w:tab/>
        <w:t>Publique la 19ª</w:t>
      </w:r>
      <w:r>
        <w:rPr>
          <w:lang w:val="es-ES_tradnl"/>
        </w:rPr>
        <w:t> </w:t>
      </w:r>
      <w:r w:rsidRPr="00ED100E">
        <w:rPr>
          <w:lang w:val="es-ES_tradnl"/>
        </w:rPr>
        <w:t xml:space="preserve">edición revisada de las </w:t>
      </w:r>
      <w:r w:rsidRPr="00ED100E">
        <w:rPr>
          <w:i/>
          <w:lang w:val="es-ES_tradnl"/>
        </w:rPr>
        <w:t>Recomendaciones relativas al Transporte de Mercancías Peligrosas: Reglamentación Modelo</w:t>
      </w:r>
      <w:r w:rsidRPr="00ED100E">
        <w:rPr>
          <w:lang w:val="es-ES_tradnl"/>
        </w:rPr>
        <w:t xml:space="preserve"> y la </w:t>
      </w:r>
      <w:r>
        <w:rPr>
          <w:lang w:val="es-ES_tradnl"/>
        </w:rPr>
        <w:t>6ª</w:t>
      </w:r>
      <w:r w:rsidRPr="00ED100E">
        <w:rPr>
          <w:lang w:val="es-ES_tradnl"/>
        </w:rPr>
        <w:t xml:space="preserve"> edición </w:t>
      </w:r>
      <w:r w:rsidRPr="009B7D4A">
        <w:rPr>
          <w:spacing w:val="2"/>
          <w:lang w:val="es-ES_tradnl"/>
        </w:rPr>
        <w:t xml:space="preserve">revisada de las </w:t>
      </w:r>
      <w:r w:rsidRPr="009B7D4A">
        <w:rPr>
          <w:i/>
          <w:spacing w:val="2"/>
          <w:lang w:val="es-ES_tradnl"/>
        </w:rPr>
        <w:t>Recomendaciones relativas al Transporte de Mercancías Peligrosas:</w:t>
      </w:r>
      <w:r w:rsidRPr="00ED100E">
        <w:rPr>
          <w:i/>
          <w:lang w:val="es-ES_tradnl"/>
        </w:rPr>
        <w:t xml:space="preserve"> Manual de Pruebas y Criterios</w:t>
      </w:r>
      <w:r w:rsidRPr="00ED100E">
        <w:rPr>
          <w:lang w:val="es-ES_tradnl"/>
        </w:rPr>
        <w:t xml:space="preserve"> en todos los idiomas oficiales de las Naciones Unidas, con la mejor relación costo-eficacia y a más tardar a fin</w:t>
      </w:r>
      <w:r>
        <w:rPr>
          <w:lang w:val="es-ES_tradnl"/>
        </w:rPr>
        <w:t>es</w:t>
      </w:r>
      <w:r w:rsidRPr="00ED100E">
        <w:rPr>
          <w:lang w:val="es-ES_tradnl"/>
        </w:rPr>
        <w:t xml:space="preserve"> de 2015;</w:t>
      </w:r>
    </w:p>
    <w:p w:rsidR="005938DD" w:rsidRPr="00ED100E" w:rsidRDefault="005938DD" w:rsidP="005938DD">
      <w:pPr>
        <w:pStyle w:val="SingleTxt"/>
        <w:rPr>
          <w:lang w:val="es-ES_tradnl"/>
        </w:rPr>
      </w:pPr>
      <w:r w:rsidRPr="00ED100E">
        <w:rPr>
          <w:lang w:val="es-ES_tradnl"/>
        </w:rPr>
        <w:tab/>
      </w:r>
      <w:r w:rsidRPr="009B7D4A">
        <w:rPr>
          <w:i/>
          <w:lang w:val="es-ES_tradnl"/>
        </w:rPr>
        <w:t>c</w:t>
      </w:r>
      <w:r w:rsidRPr="00ED100E">
        <w:rPr>
          <w:lang w:val="es-ES_tradnl"/>
        </w:rPr>
        <w:t>)</w:t>
      </w:r>
      <w:r w:rsidRPr="00ED100E">
        <w:rPr>
          <w:lang w:val="es-ES_tradnl"/>
        </w:rPr>
        <w:tab/>
        <w:t>Haga lo necesario para que esas publicaciones estén disponibles de forma impresa y electrónica, así como en el sitio web de la Comisión Económica para Europa, que presta servicios de secretaría al Comité;</w:t>
      </w:r>
    </w:p>
    <w:p w:rsidR="005938DD" w:rsidRPr="00ED100E" w:rsidRDefault="005938DD" w:rsidP="005938DD">
      <w:pPr>
        <w:pStyle w:val="SingleTxt"/>
        <w:rPr>
          <w:lang w:val="es-ES_tradnl"/>
        </w:rPr>
      </w:pPr>
      <w:r w:rsidRPr="00ED100E">
        <w:rPr>
          <w:lang w:val="es-ES_tradnl"/>
        </w:rPr>
        <w:tab/>
        <w:t>3.</w:t>
      </w:r>
      <w:r w:rsidRPr="00ED100E">
        <w:rPr>
          <w:lang w:val="es-ES_tradnl"/>
        </w:rPr>
        <w:tab/>
      </w:r>
      <w:r w:rsidRPr="00ED100E">
        <w:rPr>
          <w:i/>
          <w:lang w:val="es-ES_tradnl"/>
        </w:rPr>
        <w:t>Invita</w:t>
      </w:r>
      <w:r w:rsidRPr="00ED100E">
        <w:rPr>
          <w:lang w:val="es-ES_tradnl"/>
        </w:rPr>
        <w:t xml:space="preserve"> a todos los gobiernos, las comisiones regionales, los organismos especializados, el Organismo Internacional de Energía Atómica y las demás organizaciones internacionales interesadas a que comuniquen a la secretaría del Comité su parecer sobre la labor de este, junto con las observaciones que deseen hacer respecto de las </w:t>
      </w:r>
      <w:r>
        <w:rPr>
          <w:lang w:val="es-ES_tradnl"/>
        </w:rPr>
        <w:t>r</w:t>
      </w:r>
      <w:r w:rsidRPr="00ED100E">
        <w:rPr>
          <w:lang w:val="es-ES_tradnl"/>
        </w:rPr>
        <w:t xml:space="preserve">ecomendaciones relativas al </w:t>
      </w:r>
      <w:r>
        <w:rPr>
          <w:lang w:val="es-ES_tradnl"/>
        </w:rPr>
        <w:t>t</w:t>
      </w:r>
      <w:r w:rsidRPr="00ED100E">
        <w:rPr>
          <w:lang w:val="es-ES_tradnl"/>
        </w:rPr>
        <w:t xml:space="preserve">ransporte de </w:t>
      </w:r>
      <w:r>
        <w:rPr>
          <w:lang w:val="es-ES_tradnl"/>
        </w:rPr>
        <w:t>m</w:t>
      </w:r>
      <w:r w:rsidRPr="00ED100E">
        <w:rPr>
          <w:lang w:val="es-ES_tradnl"/>
        </w:rPr>
        <w:t xml:space="preserve">ercancías </w:t>
      </w:r>
      <w:r>
        <w:rPr>
          <w:lang w:val="es-ES_tradnl"/>
        </w:rPr>
        <w:t>p</w:t>
      </w:r>
      <w:r w:rsidRPr="00ED100E">
        <w:rPr>
          <w:lang w:val="es-ES_tradnl"/>
        </w:rPr>
        <w:t>eligrosas;</w:t>
      </w:r>
    </w:p>
    <w:p w:rsidR="005938DD" w:rsidRPr="00ED100E" w:rsidRDefault="005938DD" w:rsidP="005938DD">
      <w:pPr>
        <w:pStyle w:val="SingleTxt"/>
        <w:rPr>
          <w:lang w:val="es-ES_tradnl"/>
        </w:rPr>
      </w:pPr>
      <w:r w:rsidRPr="00ED100E">
        <w:rPr>
          <w:lang w:val="es-ES_tradnl"/>
        </w:rPr>
        <w:tab/>
        <w:t>4.</w:t>
      </w:r>
      <w:r w:rsidRPr="00ED100E">
        <w:rPr>
          <w:lang w:val="es-ES_tradnl"/>
        </w:rPr>
        <w:tab/>
      </w:r>
      <w:r w:rsidRPr="00ED100E">
        <w:rPr>
          <w:i/>
          <w:lang w:val="es-ES_tradnl"/>
        </w:rPr>
        <w:t>Invita</w:t>
      </w:r>
      <w:r w:rsidRPr="00ED100E">
        <w:rPr>
          <w:lang w:val="es-ES_tradnl"/>
        </w:rPr>
        <w:t xml:space="preserve"> a todos los gobiernos interesados, las comisiones regionales, los organismos especializados y las organizaciones internacionales interesadas a que, cuando formulen o actualicen códigos y reglamentaciones apropiados, tengan en cuenta las recomendaciones del Comité;</w:t>
      </w:r>
    </w:p>
    <w:p w:rsidR="005938DD" w:rsidRPr="00ED100E" w:rsidRDefault="005938DD" w:rsidP="005938DD">
      <w:pPr>
        <w:pStyle w:val="SingleTxt"/>
        <w:rPr>
          <w:lang w:val="es-ES_tradnl"/>
        </w:rPr>
      </w:pPr>
      <w:r w:rsidRPr="00ED100E">
        <w:rPr>
          <w:lang w:val="es-ES_tradnl"/>
        </w:rPr>
        <w:tab/>
        <w:t>5.</w:t>
      </w:r>
      <w:r w:rsidRPr="00ED100E">
        <w:rPr>
          <w:lang w:val="es-ES_tradnl"/>
        </w:rPr>
        <w:tab/>
      </w:r>
      <w:r w:rsidRPr="00ED100E">
        <w:rPr>
          <w:i/>
          <w:lang w:val="es-ES_tradnl"/>
        </w:rPr>
        <w:t>Solicita</w:t>
      </w:r>
      <w:r w:rsidRPr="00ED100E">
        <w:rPr>
          <w:lang w:val="es-ES_tradnl"/>
        </w:rPr>
        <w:t xml:space="preserve"> al Comité que, en consulta con la Organización Marítima Internacional, la Organización de Aviación Civil Internacional, las comisiones regionales y las organizaciones intergubernamentales interesadas, estudie la posibilidad de mejorar la aplicación de la Reglamentación Modelo relativa al transporte de mercancías peligrosas en todos los países a fin de que haya un alto grado de seguridad y de eliminar los obstáculos técnicos al comercio internacional, entre otras cosas mediante una mayor armonización de los acuerdos o </w:t>
      </w:r>
      <w:r>
        <w:rPr>
          <w:lang w:val="es-ES_tradnl"/>
        </w:rPr>
        <w:t xml:space="preserve">convenios y </w:t>
      </w:r>
      <w:r w:rsidRPr="00ED100E">
        <w:rPr>
          <w:lang w:val="es-ES_tradnl"/>
        </w:rPr>
        <w:t>convenciones internacionales que regulan el transporte internacional de mercancías peligrosas;</w:t>
      </w:r>
    </w:p>
    <w:p w:rsidR="005938DD" w:rsidRPr="00ED100E" w:rsidRDefault="005938DD" w:rsidP="005938DD">
      <w:pPr>
        <w:pStyle w:val="SingleTxt"/>
        <w:rPr>
          <w:lang w:val="es-ES_tradnl"/>
        </w:rPr>
      </w:pPr>
      <w:r w:rsidRPr="00ED100E">
        <w:rPr>
          <w:lang w:val="es-ES_tradnl"/>
        </w:rPr>
        <w:tab/>
        <w:t>6.</w:t>
      </w:r>
      <w:r w:rsidRPr="00ED100E">
        <w:rPr>
          <w:lang w:val="es-ES_tradnl"/>
        </w:rPr>
        <w:tab/>
      </w:r>
      <w:r w:rsidRPr="00ED100E">
        <w:rPr>
          <w:i/>
          <w:lang w:val="es-ES_tradnl"/>
        </w:rPr>
        <w:t>Invita</w:t>
      </w:r>
      <w:r w:rsidRPr="00ED100E">
        <w:rPr>
          <w:lang w:val="es-ES_tradnl"/>
        </w:rPr>
        <w:t xml:space="preserve"> a todos los gobiernos, así como a las comisiones regionales y las organizaciones interesadas, a la Organización Marítima Internacional y a la Organización de Aviación Civil Internacional, a que transmitan al Comité sus observaciones acerca de las diferencias entre las disposiciones de los instrumentos jurídicos nacionales, regionales o internacionales y las de la Reglamentación Modelo, a fin de que el Comité pueda preparar directrices </w:t>
      </w:r>
      <w:r>
        <w:rPr>
          <w:lang w:val="es-ES_tradnl"/>
        </w:rPr>
        <w:t xml:space="preserve">cooperativas </w:t>
      </w:r>
      <w:r w:rsidRPr="00ED100E">
        <w:rPr>
          <w:lang w:val="es-ES_tradnl"/>
        </w:rPr>
        <w:t xml:space="preserve">que establezcan más coherencia entre </w:t>
      </w:r>
      <w:r>
        <w:rPr>
          <w:lang w:val="es-ES_tradnl"/>
        </w:rPr>
        <w:t>esos requisitos</w:t>
      </w:r>
      <w:r w:rsidRPr="00ED100E">
        <w:rPr>
          <w:lang w:val="es-ES_tradnl"/>
        </w:rPr>
        <w:t xml:space="preserve"> y reduzcan los obstáculos innecesarios, a que determinen las diferencias de carácter sustantivo y en materia de transporte internacional, regional y nacional a fin de reducir </w:t>
      </w:r>
      <w:r>
        <w:rPr>
          <w:lang w:val="es-ES_tradnl"/>
        </w:rPr>
        <w:t xml:space="preserve">las diferencias relativas al tratamiento de los medios de transporte </w:t>
      </w:r>
      <w:r w:rsidRPr="00ED100E">
        <w:rPr>
          <w:lang w:val="es-ES_tradnl"/>
        </w:rPr>
        <w:t xml:space="preserve">en la medida de lo posible y </w:t>
      </w:r>
      <w:r>
        <w:rPr>
          <w:lang w:val="es-ES_tradnl"/>
        </w:rPr>
        <w:t xml:space="preserve">de </w:t>
      </w:r>
      <w:r w:rsidRPr="00ED100E">
        <w:rPr>
          <w:lang w:val="es-ES_tradnl"/>
        </w:rPr>
        <w:t xml:space="preserve">asegurar que, cuando esas diferencias sean necesarias, no constituyan un impedimento al transporte seguro y eficiente de mercancías peligrosas, y a que </w:t>
      </w:r>
      <w:r w:rsidRPr="00ED100E">
        <w:rPr>
          <w:lang w:val="es-ES_tradnl"/>
        </w:rPr>
        <w:lastRenderedPageBreak/>
        <w:t>realicen una revisión editorial de la Reglamentación Modelo y de diversos instrumentos modales con el objetivo de hacer más claros esos textos y facilitar su uso y su traducción;</w:t>
      </w:r>
    </w:p>
    <w:p w:rsidR="005938DD" w:rsidRPr="00ED100E" w:rsidRDefault="005938DD" w:rsidP="005938DD">
      <w:pPr>
        <w:pStyle w:val="SingleTxt"/>
        <w:spacing w:after="0" w:line="120" w:lineRule="exact"/>
        <w:rPr>
          <w:sz w:val="10"/>
          <w:lang w:val="es-ES_tradnl"/>
        </w:rPr>
      </w:pPr>
    </w:p>
    <w:p w:rsidR="005938DD" w:rsidRPr="00ED100E" w:rsidRDefault="005938DD" w:rsidP="005938DD">
      <w:pPr>
        <w:pStyle w:val="H23"/>
        <w:spacing w:after="120"/>
        <w:ind w:left="1699" w:hanging="432"/>
        <w:rPr>
          <w:i/>
          <w:lang w:val="es-ES_tradnl"/>
        </w:rPr>
      </w:pPr>
      <w:r w:rsidRPr="00ED100E">
        <w:rPr>
          <w:lang w:val="es-ES_tradnl"/>
        </w:rPr>
        <w:t>B</w:t>
      </w:r>
      <w:r>
        <w:rPr>
          <w:lang w:val="es-ES_tradnl"/>
        </w:rPr>
        <w:t>.</w:t>
      </w:r>
      <w:r>
        <w:rPr>
          <w:lang w:val="es-ES_tradnl"/>
        </w:rPr>
        <w:tab/>
      </w:r>
      <w:r w:rsidRPr="00ED100E">
        <w:rPr>
          <w:lang w:val="es-ES_tradnl"/>
        </w:rPr>
        <w:t xml:space="preserve">Apoyo administrativo recíproco para fiscalizar el cumplimiento de los sistemas de contención marcados “UN” con las </w:t>
      </w:r>
      <w:r w:rsidRPr="00ED100E">
        <w:rPr>
          <w:i/>
          <w:lang w:val="es-ES_tradnl"/>
        </w:rPr>
        <w:t>Recomendaci</w:t>
      </w:r>
      <w:r>
        <w:rPr>
          <w:i/>
          <w:lang w:val="es-ES_tradnl"/>
        </w:rPr>
        <w:t>ones relativas al </w:t>
      </w:r>
      <w:r w:rsidRPr="00ED100E">
        <w:rPr>
          <w:i/>
          <w:lang w:val="es-ES_tradnl"/>
        </w:rPr>
        <w:t>Transporte de Mercancías Peligrosas: Reglamentación Modelo</w:t>
      </w:r>
    </w:p>
    <w:p w:rsidR="005938DD" w:rsidRPr="00ED100E" w:rsidRDefault="005938DD" w:rsidP="005938DD">
      <w:pPr>
        <w:pStyle w:val="SingleTxt"/>
        <w:rPr>
          <w:lang w:val="es-ES_tradnl"/>
        </w:rPr>
      </w:pPr>
      <w:r w:rsidRPr="00ED100E">
        <w:rPr>
          <w:lang w:val="es-ES_tradnl"/>
        </w:rPr>
        <w:tab/>
      </w:r>
      <w:r w:rsidRPr="00ED100E">
        <w:rPr>
          <w:i/>
          <w:lang w:val="es-ES_tradnl"/>
        </w:rPr>
        <w:t>Observando con satisfacción</w:t>
      </w:r>
      <w:r w:rsidRPr="00ED100E">
        <w:rPr>
          <w:lang w:val="es-ES_tradnl"/>
        </w:rPr>
        <w:t xml:space="preserve"> que, en vista de la puesta en práctica efectiva de las </w:t>
      </w:r>
      <w:r w:rsidRPr="00ED100E">
        <w:rPr>
          <w:i/>
          <w:lang w:val="es-ES_tradnl"/>
        </w:rPr>
        <w:t>Recomendaciones relativas al Transporte de Mercancías Peligrosas: Reglamentación Modelo</w:t>
      </w:r>
      <w:r w:rsidRPr="00ED100E">
        <w:rPr>
          <w:lang w:val="es-ES_tradnl"/>
        </w:rPr>
        <w:t xml:space="preserve"> mediante instrumentos nacionales, regionales e internacionales con fuerza jurídica obligatoria, como se describe en el párrafo 8 del informe del Secretario General</w:t>
      </w:r>
      <w:r w:rsidRPr="00813DA9">
        <w:rPr>
          <w:vertAlign w:val="superscript"/>
          <w:lang w:val="es-ES_tradnl"/>
        </w:rPr>
        <w:fldChar w:fldCharType="begin"/>
      </w:r>
      <w:r w:rsidRPr="00813DA9">
        <w:rPr>
          <w:vertAlign w:val="superscript"/>
          <w:lang w:val="es-ES_tradnl"/>
        </w:rPr>
        <w:instrText xml:space="preserve"> NOTEREF _Ref424121062 \h </w:instrText>
      </w:r>
      <w:r>
        <w:rPr>
          <w:vertAlign w:val="superscript"/>
          <w:lang w:val="es-ES_tradnl"/>
        </w:rPr>
        <w:instrText xml:space="preserve"> \* MERGEFORMAT </w:instrText>
      </w:r>
      <w:r w:rsidRPr="00813DA9">
        <w:rPr>
          <w:vertAlign w:val="superscript"/>
          <w:lang w:val="es-ES_tradnl"/>
        </w:rPr>
      </w:r>
      <w:r w:rsidRPr="00813DA9">
        <w:rPr>
          <w:vertAlign w:val="superscript"/>
          <w:lang w:val="es-ES_tradnl"/>
        </w:rPr>
        <w:fldChar w:fldCharType="separate"/>
      </w:r>
      <w:r w:rsidR="0091604E">
        <w:rPr>
          <w:vertAlign w:val="superscript"/>
          <w:lang w:val="es-ES_tradnl"/>
        </w:rPr>
        <w:t>1</w:t>
      </w:r>
      <w:r w:rsidRPr="00813DA9">
        <w:rPr>
          <w:vertAlign w:val="superscript"/>
          <w:lang w:val="es-ES_tradnl"/>
        </w:rPr>
        <w:fldChar w:fldCharType="end"/>
      </w:r>
      <w:r w:rsidRPr="00ED100E">
        <w:rPr>
          <w:lang w:val="es-ES_tradnl"/>
        </w:rPr>
        <w:t xml:space="preserve">, las mercancías peligrosas que se transportan internacionalmente tienen que estar contenidas en </w:t>
      </w:r>
      <w:r>
        <w:rPr>
          <w:lang w:val="es-ES_tradnl"/>
        </w:rPr>
        <w:t>embalajes/envases</w:t>
      </w:r>
      <w:r w:rsidRPr="00ED100E">
        <w:rPr>
          <w:lang w:val="es-ES_tradnl"/>
        </w:rPr>
        <w:t xml:space="preserve">, contenedores o </w:t>
      </w:r>
      <w:r>
        <w:rPr>
          <w:lang w:val="es-ES_tradnl"/>
        </w:rPr>
        <w:t xml:space="preserve">cisternas </w:t>
      </w:r>
      <w:r w:rsidRPr="00ED100E">
        <w:rPr>
          <w:lang w:val="es-ES_tradnl"/>
        </w:rPr>
        <w:t>con la marca “UN”, que certifica que corresponden a un tipo de diseño que ha sido sometido a ensayo satisfactoriamente bajo el control de la autoridad competente del Estado que autoriza la colocación de la marca,</w:t>
      </w:r>
    </w:p>
    <w:p w:rsidR="005938DD" w:rsidRPr="00ED100E" w:rsidRDefault="005938DD" w:rsidP="005938DD">
      <w:pPr>
        <w:pStyle w:val="SingleTxt"/>
        <w:rPr>
          <w:lang w:val="es-ES_tradnl"/>
        </w:rPr>
      </w:pPr>
      <w:r w:rsidRPr="00ED100E">
        <w:rPr>
          <w:lang w:val="es-ES_tradnl"/>
        </w:rPr>
        <w:tab/>
      </w:r>
      <w:r w:rsidRPr="00ED100E">
        <w:rPr>
          <w:i/>
          <w:lang w:val="es-ES_tradnl"/>
        </w:rPr>
        <w:t>Tomando nota con preocupación</w:t>
      </w:r>
      <w:r w:rsidRPr="00ED100E">
        <w:rPr>
          <w:lang w:val="es-ES_tradnl"/>
        </w:rPr>
        <w:t xml:space="preserve"> de que se han observado en el transporte internacional casos de irregularidades en la certificación de la marca “UN” o su falsificación, lo que tiene como resultado la utilización de </w:t>
      </w:r>
      <w:r>
        <w:rPr>
          <w:lang w:val="es-ES_tradnl"/>
        </w:rPr>
        <w:t xml:space="preserve">embalajes/envases de rendimiento inferior al requerido </w:t>
      </w:r>
      <w:r w:rsidRPr="00ED100E">
        <w:rPr>
          <w:lang w:val="es-ES_tradnl"/>
        </w:rPr>
        <w:t xml:space="preserve">y un </w:t>
      </w:r>
      <w:r>
        <w:rPr>
          <w:lang w:val="es-ES_tradnl"/>
        </w:rPr>
        <w:t>riesgo</w:t>
      </w:r>
      <w:r w:rsidRPr="00ED100E">
        <w:rPr>
          <w:lang w:val="es-ES_tradnl"/>
        </w:rPr>
        <w:t xml:space="preserve"> </w:t>
      </w:r>
      <w:r>
        <w:rPr>
          <w:lang w:val="es-ES_tradnl"/>
        </w:rPr>
        <w:t xml:space="preserve">más elevado </w:t>
      </w:r>
      <w:r w:rsidRPr="00ED100E">
        <w:rPr>
          <w:lang w:val="es-ES_tradnl"/>
        </w:rPr>
        <w:t xml:space="preserve">de </w:t>
      </w:r>
      <w:r>
        <w:rPr>
          <w:lang w:val="es-ES_tradnl"/>
        </w:rPr>
        <w:t xml:space="preserve">trágicos </w:t>
      </w:r>
      <w:r w:rsidRPr="00ED100E">
        <w:rPr>
          <w:lang w:val="es-ES_tradnl"/>
        </w:rPr>
        <w:t>accidentes que afectarían a la población, los trabajadores, los medios de transporte, los bienes y el medio ambiente,</w:t>
      </w:r>
    </w:p>
    <w:p w:rsidR="005938DD" w:rsidRPr="00ED100E" w:rsidRDefault="005938DD" w:rsidP="005938DD">
      <w:pPr>
        <w:pStyle w:val="SingleTxt"/>
        <w:rPr>
          <w:lang w:val="es-ES_tradnl"/>
        </w:rPr>
      </w:pPr>
      <w:r w:rsidRPr="00ED100E">
        <w:rPr>
          <w:lang w:val="es-ES_tradnl"/>
        </w:rPr>
        <w:tab/>
      </w:r>
      <w:r w:rsidRPr="00ED100E">
        <w:rPr>
          <w:i/>
          <w:lang w:val="es-ES_tradnl"/>
        </w:rPr>
        <w:t>Recordando</w:t>
      </w:r>
      <w:r w:rsidRPr="00ED100E">
        <w:rPr>
          <w:lang w:val="es-ES_tradnl"/>
        </w:rPr>
        <w:t xml:space="preserve"> el principio básico enunciado por el Comité, según el cual “Incumbe a la autoridad competente la responsabilidad de verificar el cumplimiento de la presente Reglamentación. La forma de cumplir con tal responsabilidad incluye el establecimiento y ejecución de un programa de control del diseño, fabricación, ensayos, inspección y mantenimiento de los embalajes</w:t>
      </w:r>
      <w:r>
        <w:rPr>
          <w:lang w:val="es-ES_tradnl"/>
        </w:rPr>
        <w:t>/envases</w:t>
      </w:r>
      <w:r w:rsidRPr="00ED100E">
        <w:rPr>
          <w:lang w:val="es-ES_tradnl"/>
        </w:rPr>
        <w:t>, la clasificación de mercancías peligrosas y la preparación, documentación, manipulación y estiba de bultos por los remitentes y transportistas, para disponer así de pruebas de que se cumplen en la práctica las disposiciones de la Reglamentación Modelo”,</w:t>
      </w:r>
    </w:p>
    <w:p w:rsidR="005938DD" w:rsidRPr="00ED100E" w:rsidRDefault="005938DD" w:rsidP="005938DD">
      <w:pPr>
        <w:pStyle w:val="SingleTxt"/>
        <w:rPr>
          <w:lang w:val="es-ES_tradnl"/>
        </w:rPr>
      </w:pPr>
      <w:r w:rsidRPr="00ED100E">
        <w:rPr>
          <w:lang w:val="es-ES_tradnl"/>
        </w:rPr>
        <w:tab/>
      </w:r>
      <w:r w:rsidRPr="00ED100E">
        <w:rPr>
          <w:i/>
          <w:lang w:val="es-ES_tradnl"/>
        </w:rPr>
        <w:t>Reconociendo</w:t>
      </w:r>
      <w:r w:rsidRPr="00ED100E">
        <w:rPr>
          <w:lang w:val="es-ES_tradnl"/>
        </w:rPr>
        <w:t xml:space="preserve"> que la asistencia administrativa recíproca entre las autoridades competentes de los países a los cuales concierna facilitaría las investigaciones y aumentaría </w:t>
      </w:r>
      <w:r>
        <w:rPr>
          <w:lang w:val="es-ES_tradnl"/>
        </w:rPr>
        <w:t>la verificación del</w:t>
      </w:r>
      <w:r w:rsidRPr="00ED100E">
        <w:rPr>
          <w:lang w:val="es-ES_tradnl"/>
        </w:rPr>
        <w:t xml:space="preserve"> cumplimiento, pero en la actualidad obsta a ella la falta de información detallada acerca de los puntos de contacto de las autoridades competentes en todo el mundo,</w:t>
      </w:r>
    </w:p>
    <w:p w:rsidR="005938DD" w:rsidRPr="00ED100E" w:rsidRDefault="005938DD" w:rsidP="005938DD">
      <w:pPr>
        <w:pStyle w:val="SingleTxt"/>
        <w:keepNext/>
        <w:rPr>
          <w:lang w:val="es-ES_tradnl"/>
        </w:rPr>
      </w:pPr>
      <w:r w:rsidRPr="00ED100E">
        <w:rPr>
          <w:lang w:val="es-ES_tradnl"/>
        </w:rPr>
        <w:tab/>
        <w:t>1.</w:t>
      </w:r>
      <w:r w:rsidRPr="00ED100E">
        <w:rPr>
          <w:lang w:val="es-ES_tradnl"/>
        </w:rPr>
        <w:tab/>
      </w:r>
      <w:r>
        <w:rPr>
          <w:i/>
          <w:lang w:val="es-ES_tradnl"/>
        </w:rPr>
        <w:t>Solicita</w:t>
      </w:r>
      <w:r w:rsidRPr="00ED100E">
        <w:rPr>
          <w:lang w:val="es-ES_tradnl"/>
        </w:rPr>
        <w:t xml:space="preserve"> al Secretario General que:</w:t>
      </w:r>
    </w:p>
    <w:p w:rsidR="005938DD" w:rsidRPr="00ED100E" w:rsidRDefault="005938DD" w:rsidP="005938DD">
      <w:pPr>
        <w:pStyle w:val="SingleTxt"/>
        <w:rPr>
          <w:lang w:val="es-ES_tradnl"/>
        </w:rPr>
      </w:pPr>
      <w:r w:rsidRPr="00ED100E">
        <w:rPr>
          <w:lang w:val="es-ES_tradnl"/>
        </w:rPr>
        <w:tab/>
      </w:r>
      <w:r w:rsidRPr="009B7D4A">
        <w:rPr>
          <w:i/>
          <w:lang w:val="es-ES_tradnl"/>
        </w:rPr>
        <w:t>a</w:t>
      </w:r>
      <w:r w:rsidRPr="00ED100E">
        <w:rPr>
          <w:lang w:val="es-ES_tradnl"/>
        </w:rPr>
        <w:t>)</w:t>
      </w:r>
      <w:r w:rsidRPr="00ED100E">
        <w:rPr>
          <w:lang w:val="es-ES_tradnl"/>
        </w:rPr>
        <w:tab/>
        <w:t xml:space="preserve">Recabe de todos los </w:t>
      </w:r>
      <w:r>
        <w:rPr>
          <w:lang w:val="es-ES_tradnl"/>
        </w:rPr>
        <w:t xml:space="preserve">Estados </w:t>
      </w:r>
      <w:r w:rsidRPr="00ED100E">
        <w:rPr>
          <w:lang w:val="es-ES_tradnl"/>
        </w:rPr>
        <w:t>Miembros de las Naciones Unidas</w:t>
      </w:r>
      <w:r>
        <w:rPr>
          <w:lang w:val="es-ES_tradnl"/>
        </w:rPr>
        <w:t>,</w:t>
      </w:r>
      <w:r w:rsidRPr="00ED100E">
        <w:rPr>
          <w:lang w:val="es-ES_tradnl"/>
        </w:rPr>
        <w:t xml:space="preserve"> y de otros Estados, si procede, información detallada acerca de los </w:t>
      </w:r>
      <w:r>
        <w:rPr>
          <w:lang w:val="es-ES_tradnl"/>
        </w:rPr>
        <w:t>datos</w:t>
      </w:r>
      <w:r w:rsidRPr="00ED100E">
        <w:rPr>
          <w:lang w:val="es-ES_tradnl"/>
        </w:rPr>
        <w:t xml:space="preserve"> de contacto </w:t>
      </w:r>
      <w:r>
        <w:rPr>
          <w:lang w:val="es-ES_tradnl"/>
        </w:rPr>
        <w:t>de</w:t>
      </w:r>
      <w:r w:rsidRPr="00ED100E">
        <w:rPr>
          <w:lang w:val="es-ES_tradnl"/>
        </w:rPr>
        <w:t>:</w:t>
      </w:r>
    </w:p>
    <w:p w:rsidR="005938DD" w:rsidRPr="00ED100E" w:rsidRDefault="005938DD" w:rsidP="005938DD">
      <w:pPr>
        <w:pStyle w:val="SingleTxt"/>
        <w:ind w:left="1742" w:hanging="475"/>
        <w:rPr>
          <w:lang w:val="es-ES_tradnl"/>
        </w:rPr>
      </w:pPr>
      <w:r w:rsidRPr="00ED100E">
        <w:rPr>
          <w:lang w:val="es-ES_tradnl"/>
        </w:rPr>
        <w:tab/>
        <w:t>i)</w:t>
      </w:r>
      <w:r w:rsidRPr="00ED100E">
        <w:rPr>
          <w:lang w:val="es-ES_tradnl"/>
        </w:rPr>
        <w:tab/>
        <w:t xml:space="preserve">Las autoridades competentes </w:t>
      </w:r>
      <w:r>
        <w:rPr>
          <w:lang w:val="es-ES_tradnl"/>
        </w:rPr>
        <w:t>responsables de</w:t>
      </w:r>
      <w:r w:rsidRPr="00ED100E">
        <w:rPr>
          <w:lang w:val="es-ES_tradnl"/>
        </w:rPr>
        <w:t xml:space="preserve"> los reglamentos nacionales aplicables al transporte de mercancías peligrosas por medios de transporte que no sean </w:t>
      </w:r>
      <w:r>
        <w:rPr>
          <w:lang w:val="es-ES_tradnl"/>
        </w:rPr>
        <w:t>aéreos o marítimos</w:t>
      </w:r>
      <w:r w:rsidRPr="00ED100E">
        <w:rPr>
          <w:lang w:val="es-ES_tradnl"/>
        </w:rPr>
        <w:t>;</w:t>
      </w:r>
    </w:p>
    <w:p w:rsidR="005938DD" w:rsidRPr="00ED100E" w:rsidRDefault="005938DD" w:rsidP="005938DD">
      <w:pPr>
        <w:pStyle w:val="SingleTxt"/>
        <w:ind w:left="1742" w:hanging="475"/>
        <w:rPr>
          <w:lang w:val="es-ES_tradnl"/>
        </w:rPr>
      </w:pPr>
      <w:r w:rsidRPr="00ED100E">
        <w:rPr>
          <w:lang w:val="es-ES_tradnl"/>
        </w:rPr>
        <w:tab/>
        <w:t>ii)</w:t>
      </w:r>
      <w:r w:rsidRPr="00ED100E">
        <w:rPr>
          <w:lang w:val="es-ES_tradnl"/>
        </w:rPr>
        <w:tab/>
        <w:t>Las autoridades competentes</w:t>
      </w:r>
      <w:r>
        <w:rPr>
          <w:lang w:val="es-ES_tradnl"/>
        </w:rPr>
        <w:t>,</w:t>
      </w:r>
      <w:r w:rsidRPr="00ED100E">
        <w:rPr>
          <w:lang w:val="es-ES_tradnl"/>
        </w:rPr>
        <w:t xml:space="preserve"> y </w:t>
      </w:r>
      <w:r w:rsidRPr="00573EFD">
        <w:rPr>
          <w:lang w:val="es-ES_tradnl"/>
        </w:rPr>
        <w:t>sus códigos de identificación en el país,</w:t>
      </w:r>
      <w:r w:rsidRPr="00ED100E">
        <w:rPr>
          <w:lang w:val="es-ES_tradnl"/>
        </w:rPr>
        <w:t xml:space="preserve"> </w:t>
      </w:r>
      <w:r>
        <w:rPr>
          <w:lang w:val="es-ES_tradnl"/>
        </w:rPr>
        <w:t>encargadas de autorizar</w:t>
      </w:r>
      <w:r w:rsidRPr="00ED100E">
        <w:rPr>
          <w:lang w:val="es-ES_tradnl"/>
        </w:rPr>
        <w:t xml:space="preserve">, en nombre del Estado, la colocación de la marca “UN” en </w:t>
      </w:r>
      <w:r>
        <w:rPr>
          <w:lang w:val="es-ES_tradnl"/>
        </w:rPr>
        <w:t>embalajes/envases</w:t>
      </w:r>
      <w:r w:rsidRPr="00ED100E">
        <w:rPr>
          <w:lang w:val="es-ES_tradnl"/>
        </w:rPr>
        <w:t xml:space="preserve">, </w:t>
      </w:r>
      <w:r>
        <w:rPr>
          <w:lang w:val="es-ES_tradnl"/>
        </w:rPr>
        <w:t>recipientes</w:t>
      </w:r>
      <w:r w:rsidRPr="00ED100E">
        <w:rPr>
          <w:lang w:val="es-ES_tradnl"/>
        </w:rPr>
        <w:t xml:space="preserve"> a presión, contenedores </w:t>
      </w:r>
      <w:r>
        <w:rPr>
          <w:lang w:val="es-ES_tradnl"/>
        </w:rPr>
        <w:t xml:space="preserve">para </w:t>
      </w:r>
      <w:proofErr w:type="spellStart"/>
      <w:r>
        <w:rPr>
          <w:lang w:val="es-ES_tradnl"/>
        </w:rPr>
        <w:t>graneles</w:t>
      </w:r>
      <w:proofErr w:type="spellEnd"/>
      <w:r w:rsidRPr="00ED100E">
        <w:rPr>
          <w:lang w:val="es-ES_tradnl"/>
        </w:rPr>
        <w:t xml:space="preserve"> y </w:t>
      </w:r>
      <w:r>
        <w:rPr>
          <w:lang w:val="es-ES_tradnl"/>
        </w:rPr>
        <w:t>cisternas</w:t>
      </w:r>
      <w:r w:rsidRPr="00ED100E">
        <w:rPr>
          <w:lang w:val="es-ES_tradnl"/>
        </w:rPr>
        <w:t xml:space="preserve"> portátiles;</w:t>
      </w:r>
    </w:p>
    <w:p w:rsidR="005938DD" w:rsidRPr="00ED100E" w:rsidRDefault="005938DD" w:rsidP="005938DD">
      <w:pPr>
        <w:pStyle w:val="SingleTxt"/>
        <w:rPr>
          <w:lang w:val="es-ES_tradnl"/>
        </w:rPr>
      </w:pPr>
      <w:r w:rsidRPr="00ED100E">
        <w:rPr>
          <w:lang w:val="es-ES_tradnl"/>
        </w:rPr>
        <w:tab/>
      </w:r>
      <w:r w:rsidRPr="009B7D4A">
        <w:rPr>
          <w:i/>
          <w:lang w:val="es-ES_tradnl"/>
        </w:rPr>
        <w:t>b</w:t>
      </w:r>
      <w:r w:rsidRPr="00ED100E">
        <w:rPr>
          <w:lang w:val="es-ES_tradnl"/>
        </w:rPr>
        <w:t>)</w:t>
      </w:r>
      <w:r w:rsidRPr="00ED100E">
        <w:rPr>
          <w:lang w:val="es-ES_tradnl"/>
        </w:rPr>
        <w:tab/>
        <w:t xml:space="preserve">Confeccione y mantenga actualizada la lista de </w:t>
      </w:r>
      <w:r>
        <w:rPr>
          <w:lang w:val="es-ES_tradnl"/>
        </w:rPr>
        <w:t>datos</w:t>
      </w:r>
      <w:r w:rsidRPr="00ED100E">
        <w:rPr>
          <w:lang w:val="es-ES_tradnl"/>
        </w:rPr>
        <w:t xml:space="preserve"> de contacto;</w:t>
      </w:r>
    </w:p>
    <w:p w:rsidR="005938DD" w:rsidRPr="00ED100E" w:rsidRDefault="005938DD" w:rsidP="005938DD">
      <w:pPr>
        <w:pStyle w:val="SingleTxt"/>
        <w:rPr>
          <w:lang w:val="es-ES_tradnl"/>
        </w:rPr>
      </w:pPr>
      <w:r w:rsidRPr="00ED100E">
        <w:rPr>
          <w:lang w:val="es-ES_tradnl"/>
        </w:rPr>
        <w:lastRenderedPageBreak/>
        <w:tab/>
      </w:r>
      <w:r w:rsidRPr="009B7D4A">
        <w:rPr>
          <w:i/>
          <w:lang w:val="es-ES_tradnl"/>
        </w:rPr>
        <w:t>c</w:t>
      </w:r>
      <w:r w:rsidRPr="00ED100E">
        <w:rPr>
          <w:lang w:val="es-ES_tradnl"/>
        </w:rPr>
        <w:t>)</w:t>
      </w:r>
      <w:r w:rsidRPr="00ED100E">
        <w:rPr>
          <w:lang w:val="es-ES_tradnl"/>
        </w:rPr>
        <w:tab/>
        <w:t>Incluya esta información en el sitio web de la Comisión Económica para Europa, que presta servicios de secretaría al Comité;</w:t>
      </w:r>
    </w:p>
    <w:p w:rsidR="005938DD" w:rsidRPr="00ED100E" w:rsidRDefault="005938DD" w:rsidP="005938DD">
      <w:pPr>
        <w:pStyle w:val="SingleTxt"/>
        <w:rPr>
          <w:lang w:val="es-ES_tradnl"/>
        </w:rPr>
      </w:pPr>
      <w:r w:rsidRPr="00ED100E">
        <w:rPr>
          <w:lang w:val="es-ES_tradnl"/>
        </w:rPr>
        <w:tab/>
        <w:t>2.</w:t>
      </w:r>
      <w:r w:rsidRPr="00ED100E">
        <w:rPr>
          <w:lang w:val="es-ES_tradnl"/>
        </w:rPr>
        <w:tab/>
      </w:r>
      <w:r w:rsidRPr="00ED100E">
        <w:rPr>
          <w:i/>
          <w:lang w:val="es-ES_tradnl"/>
        </w:rPr>
        <w:t>Invita</w:t>
      </w:r>
      <w:r w:rsidRPr="00ED100E">
        <w:rPr>
          <w:lang w:val="es-ES_tradnl"/>
        </w:rPr>
        <w:t xml:space="preserve"> a todos los Estados Miembros a proporcionar la información solicitada;</w:t>
      </w:r>
    </w:p>
    <w:p w:rsidR="005938DD" w:rsidRPr="00ED100E" w:rsidRDefault="005938DD" w:rsidP="005938DD">
      <w:pPr>
        <w:pStyle w:val="SingleTxt"/>
        <w:spacing w:after="0" w:line="120" w:lineRule="exact"/>
        <w:rPr>
          <w:sz w:val="10"/>
          <w:lang w:val="es-ES_tradnl"/>
        </w:rPr>
      </w:pPr>
    </w:p>
    <w:p w:rsidR="005938DD" w:rsidRPr="00ED100E" w:rsidRDefault="005938DD" w:rsidP="005938DD">
      <w:pPr>
        <w:pStyle w:val="H23"/>
        <w:spacing w:after="120"/>
        <w:ind w:left="1699" w:hanging="432"/>
        <w:rPr>
          <w:lang w:val="es-ES_tradnl"/>
        </w:rPr>
      </w:pPr>
      <w:r w:rsidRPr="00ED100E">
        <w:rPr>
          <w:lang w:val="es-ES_tradnl"/>
        </w:rPr>
        <w:t>C</w:t>
      </w:r>
      <w:r>
        <w:rPr>
          <w:lang w:val="es-ES_tradnl"/>
        </w:rPr>
        <w:t>.</w:t>
      </w:r>
      <w:r>
        <w:rPr>
          <w:lang w:val="es-ES_tradnl"/>
        </w:rPr>
        <w:tab/>
      </w:r>
      <w:r w:rsidRPr="00ED100E">
        <w:rPr>
          <w:lang w:val="es-ES_tradnl"/>
        </w:rPr>
        <w:t>Labor del Comité en relación con el Si</w:t>
      </w:r>
      <w:r>
        <w:rPr>
          <w:lang w:val="es-ES_tradnl"/>
        </w:rPr>
        <w:t>stema Globalmente Armonizado de </w:t>
      </w:r>
      <w:r w:rsidRPr="00ED100E">
        <w:rPr>
          <w:lang w:val="es-ES_tradnl"/>
        </w:rPr>
        <w:t>Clasificación y Etiquetado de Productos Químicos</w:t>
      </w:r>
    </w:p>
    <w:p w:rsidR="005938DD" w:rsidRPr="00ED100E" w:rsidRDefault="005938DD" w:rsidP="005938DD">
      <w:pPr>
        <w:pStyle w:val="SingleTxt"/>
        <w:rPr>
          <w:lang w:val="es-ES_tradnl"/>
        </w:rPr>
      </w:pPr>
      <w:r w:rsidRPr="00ED100E">
        <w:rPr>
          <w:lang w:val="es-ES_tradnl"/>
        </w:rPr>
        <w:tab/>
      </w:r>
      <w:r w:rsidRPr="00ED100E">
        <w:rPr>
          <w:i/>
          <w:lang w:val="es-ES_tradnl"/>
        </w:rPr>
        <w:t>Teniendo presente</w:t>
      </w:r>
      <w:r>
        <w:rPr>
          <w:lang w:val="es-ES_tradnl"/>
        </w:rPr>
        <w:t xml:space="preserve"> que en el párrafo 23 </w:t>
      </w:r>
      <w:r w:rsidRPr="009B7D4A">
        <w:rPr>
          <w:i/>
          <w:lang w:val="es-ES_tradnl"/>
        </w:rPr>
        <w:t>c</w:t>
      </w:r>
      <w:r w:rsidRPr="00ED100E">
        <w:rPr>
          <w:lang w:val="es-ES_tradnl"/>
        </w:rPr>
        <w:t>) del Plan de Aplicación de las Decisiones de la Cumbre Mundial sobre el Desarrollo Sostenible (Plan de Aplicación de las Decisiones de Johannesburgo)</w:t>
      </w:r>
      <w:r w:rsidRPr="00ED100E">
        <w:rPr>
          <w:rStyle w:val="FootnoteReference"/>
          <w:lang w:val="es-ES_tradnl"/>
        </w:rPr>
        <w:footnoteReference w:id="4"/>
      </w:r>
      <w:r w:rsidRPr="00ED100E">
        <w:rPr>
          <w:lang w:val="es-ES_tradnl"/>
        </w:rPr>
        <w:t xml:space="preserve"> se alentó a los países a que aplicaran cuanto antes el Sistema Globalmente Armonizado de Clasificación y Etiquetado de Productos Químicos, a fin de que este </w:t>
      </w:r>
      <w:r>
        <w:rPr>
          <w:lang w:val="es-ES_tradnl"/>
        </w:rPr>
        <w:t>entrara plenamente en funcionamiento a más tardar</w:t>
      </w:r>
      <w:r w:rsidRPr="00ED100E">
        <w:rPr>
          <w:lang w:val="es-ES_tradnl"/>
        </w:rPr>
        <w:t xml:space="preserve"> en 2008,</w:t>
      </w:r>
    </w:p>
    <w:p w:rsidR="005938DD" w:rsidRPr="00ED100E" w:rsidRDefault="005938DD" w:rsidP="005938DD">
      <w:pPr>
        <w:pStyle w:val="SingleTxt"/>
        <w:rPr>
          <w:lang w:val="es-ES_tradnl"/>
        </w:rPr>
      </w:pPr>
      <w:r w:rsidRPr="00ED100E">
        <w:rPr>
          <w:lang w:val="es-ES_tradnl"/>
        </w:rPr>
        <w:tab/>
      </w:r>
      <w:r w:rsidRPr="00ED100E">
        <w:rPr>
          <w:i/>
          <w:lang w:val="es-ES_tradnl"/>
        </w:rPr>
        <w:t>Teniendo presente también</w:t>
      </w:r>
      <w:r w:rsidRPr="00ED100E">
        <w:rPr>
          <w:lang w:val="es-ES_tradnl"/>
        </w:rPr>
        <w:t xml:space="preserve"> que la Asamblea General, en su re</w:t>
      </w:r>
      <w:r>
        <w:rPr>
          <w:lang w:val="es-ES_tradnl"/>
        </w:rPr>
        <w:t>solución 57/253, de 20 </w:t>
      </w:r>
      <w:r w:rsidRPr="00ED100E">
        <w:rPr>
          <w:lang w:val="es-ES_tradnl"/>
        </w:rPr>
        <w:t xml:space="preserve">de diciembre de 2002, hizo suyo el Plan de Aplicación de las Decisiones de Johannesburgo y </w:t>
      </w:r>
      <w:r>
        <w:rPr>
          <w:lang w:val="es-ES_tradnl"/>
        </w:rPr>
        <w:t>solicitó</w:t>
      </w:r>
      <w:r w:rsidRPr="00ED100E">
        <w:rPr>
          <w:lang w:val="es-ES_tradnl"/>
        </w:rPr>
        <w:t xml:space="preserve"> al Consejo Económico y Social que aplicara las disposiciones del Plan relacionadas con su mandato y, en particular, que promoviera la ej</w:t>
      </w:r>
      <w:r>
        <w:rPr>
          <w:lang w:val="es-ES_tradnl"/>
        </w:rPr>
        <w:t>ecución del Programa </w:t>
      </w:r>
      <w:r w:rsidRPr="00ED100E">
        <w:rPr>
          <w:lang w:val="es-ES_tradnl"/>
        </w:rPr>
        <w:t>21</w:t>
      </w:r>
      <w:r w:rsidRPr="00ED100E">
        <w:rPr>
          <w:rStyle w:val="FootnoteReference"/>
          <w:lang w:val="es-ES_tradnl"/>
        </w:rPr>
        <w:footnoteReference w:id="5"/>
      </w:r>
      <w:r w:rsidRPr="00ED100E">
        <w:rPr>
          <w:lang w:val="es-ES_tradnl"/>
        </w:rPr>
        <w:t xml:space="preserve"> </w:t>
      </w:r>
      <w:r>
        <w:rPr>
          <w:lang w:val="es-ES_tradnl"/>
        </w:rPr>
        <w:t>fortaleciendo</w:t>
      </w:r>
      <w:r w:rsidRPr="00ED100E">
        <w:rPr>
          <w:lang w:val="es-ES_tradnl"/>
        </w:rPr>
        <w:t xml:space="preserve"> la coordinación </w:t>
      </w:r>
      <w:r>
        <w:rPr>
          <w:lang w:val="es-ES_tradnl"/>
        </w:rPr>
        <w:t>a nivel de</w:t>
      </w:r>
      <w:r w:rsidRPr="00ED100E">
        <w:rPr>
          <w:lang w:val="es-ES_tradnl"/>
        </w:rPr>
        <w:t xml:space="preserve"> todo el sistema,</w:t>
      </w:r>
    </w:p>
    <w:p w:rsidR="005938DD" w:rsidRPr="00ED100E" w:rsidRDefault="005938DD" w:rsidP="005938DD">
      <w:pPr>
        <w:pStyle w:val="SingleTxt"/>
        <w:keepNext/>
        <w:rPr>
          <w:lang w:val="es-ES_tradnl"/>
        </w:rPr>
      </w:pPr>
      <w:r w:rsidRPr="00ED100E">
        <w:rPr>
          <w:lang w:val="es-ES_tradnl"/>
        </w:rPr>
        <w:tab/>
      </w:r>
      <w:r w:rsidRPr="00ED100E">
        <w:rPr>
          <w:i/>
          <w:lang w:val="es-ES_tradnl"/>
        </w:rPr>
        <w:t>Observando con satisfacción</w:t>
      </w:r>
      <w:r w:rsidRPr="00ED100E">
        <w:rPr>
          <w:lang w:val="es-ES_tradnl"/>
        </w:rPr>
        <w:t xml:space="preserve"> que:</w:t>
      </w:r>
    </w:p>
    <w:p w:rsidR="005938DD" w:rsidRPr="00ED100E" w:rsidRDefault="005938DD" w:rsidP="005938DD">
      <w:pPr>
        <w:pStyle w:val="SingleTxt"/>
        <w:rPr>
          <w:lang w:val="es-ES_tradnl"/>
        </w:rPr>
      </w:pPr>
      <w:r w:rsidRPr="00ED100E">
        <w:rPr>
          <w:lang w:val="es-ES_tradnl"/>
        </w:rPr>
        <w:tab/>
      </w:r>
      <w:r w:rsidRPr="00573EFD">
        <w:rPr>
          <w:i/>
          <w:lang w:val="es-ES_tradnl"/>
        </w:rPr>
        <w:t>a</w:t>
      </w:r>
      <w:r w:rsidRPr="00573EFD">
        <w:rPr>
          <w:lang w:val="es-ES_tradnl"/>
        </w:rPr>
        <w:t>)</w:t>
      </w:r>
      <w:r w:rsidRPr="00573EFD">
        <w:rPr>
          <w:lang w:val="es-ES_tradnl"/>
        </w:rPr>
        <w:tab/>
        <w:t>La Comisión Económica para Europa y todos los programas y organismos especializados de las Naciones Unidas que se ocupan de</w:t>
      </w:r>
      <w:r w:rsidRPr="00ED100E">
        <w:rPr>
          <w:lang w:val="es-ES_tradnl"/>
        </w:rPr>
        <w:t xml:space="preserve"> la seguridad de los productos químicos en la esfera del transporte o del medio ambiente, en particular el Programa de las Naciones Unidas para el Medio Ambiente, la Organización Marítima Internacional y la Organización de Aviación Civil Internacional, han </w:t>
      </w:r>
      <w:r>
        <w:rPr>
          <w:lang w:val="es-ES_tradnl"/>
        </w:rPr>
        <w:t>adoptado ya las</w:t>
      </w:r>
      <w:r w:rsidRPr="00ED100E">
        <w:rPr>
          <w:lang w:val="es-ES_tradnl"/>
        </w:rPr>
        <w:t xml:space="preserve"> disposiciones adecuadas para enmendar o actualizar sus instrumentos jurídicos </w:t>
      </w:r>
      <w:r>
        <w:rPr>
          <w:lang w:val="es-ES_tradnl"/>
        </w:rPr>
        <w:t>a fin de</w:t>
      </w:r>
      <w:r w:rsidRPr="00ED100E">
        <w:rPr>
          <w:lang w:val="es-ES_tradnl"/>
        </w:rPr>
        <w:t xml:space="preserve"> hacer efectivo el Sistema Globalmente Armonizado, o están estudiando la posibilidad de enmendarlos lo antes posible</w:t>
      </w:r>
      <w:r>
        <w:rPr>
          <w:lang w:val="es-ES_tradnl"/>
        </w:rPr>
        <w:t>,</w:t>
      </w:r>
    </w:p>
    <w:p w:rsidR="005938DD" w:rsidRPr="00ED100E" w:rsidRDefault="005938DD" w:rsidP="005938DD">
      <w:pPr>
        <w:pStyle w:val="SingleTxt"/>
        <w:rPr>
          <w:lang w:val="es-ES_tradnl"/>
        </w:rPr>
      </w:pPr>
      <w:r w:rsidRPr="00ED100E">
        <w:rPr>
          <w:lang w:val="es-ES_tradnl"/>
        </w:rPr>
        <w:tab/>
      </w:r>
      <w:r w:rsidRPr="009B7D4A">
        <w:rPr>
          <w:i/>
          <w:lang w:val="es-ES_tradnl"/>
        </w:rPr>
        <w:t>b</w:t>
      </w:r>
      <w:r w:rsidRPr="00ED100E">
        <w:rPr>
          <w:lang w:val="es-ES_tradnl"/>
        </w:rPr>
        <w:t>)</w:t>
      </w:r>
      <w:r w:rsidRPr="00ED100E">
        <w:rPr>
          <w:lang w:val="es-ES_tradnl"/>
        </w:rPr>
        <w:tab/>
        <w:t xml:space="preserve">La Organización Internacional del Trabajo, la Organización de las Naciones Unidas para la Alimentación y la Agricultura y la Organización Mundial de la Salud también están </w:t>
      </w:r>
      <w:r>
        <w:rPr>
          <w:lang w:val="es-ES_tradnl"/>
        </w:rPr>
        <w:t>adoptando</w:t>
      </w:r>
      <w:r w:rsidRPr="00ED100E">
        <w:rPr>
          <w:lang w:val="es-ES_tradnl"/>
        </w:rPr>
        <w:t xml:space="preserve"> medidas apropiadas para adaptar sus actuales recomendaciones, códigos y directrices sobre seguridad de los productos químicos al Sistema Globalmente Armonizado, en particular en las esferas de la salud y la seguridad en el trabajo, el control de los plaguicidas y la prevención y tratamiento de intoxicaciones</w:t>
      </w:r>
      <w:r>
        <w:rPr>
          <w:lang w:val="es-ES_tradnl"/>
        </w:rPr>
        <w:t>,</w:t>
      </w:r>
    </w:p>
    <w:p w:rsidR="005938DD" w:rsidRPr="00ED100E" w:rsidRDefault="005938DD" w:rsidP="005938DD">
      <w:pPr>
        <w:pStyle w:val="SingleTxt"/>
        <w:rPr>
          <w:lang w:val="es-ES_tradnl"/>
        </w:rPr>
      </w:pPr>
      <w:r w:rsidRPr="00ED100E">
        <w:rPr>
          <w:lang w:val="es-ES_tradnl"/>
        </w:rPr>
        <w:tab/>
      </w:r>
      <w:r w:rsidRPr="009B7D4A">
        <w:rPr>
          <w:i/>
          <w:lang w:val="es-ES_tradnl"/>
        </w:rPr>
        <w:t>c</w:t>
      </w:r>
      <w:r w:rsidRPr="00ED100E">
        <w:rPr>
          <w:lang w:val="es-ES_tradnl"/>
        </w:rPr>
        <w:t>)</w:t>
      </w:r>
      <w:r w:rsidRPr="00ED100E">
        <w:rPr>
          <w:lang w:val="es-ES_tradnl"/>
        </w:rPr>
        <w:tab/>
        <w:t xml:space="preserve">Se han publicado </w:t>
      </w:r>
      <w:r>
        <w:rPr>
          <w:lang w:val="es-ES_tradnl"/>
        </w:rPr>
        <w:t>ya instrumentos jurídicos</w:t>
      </w:r>
      <w:r w:rsidRPr="00ED100E">
        <w:rPr>
          <w:lang w:val="es-ES_tradnl"/>
        </w:rPr>
        <w:t xml:space="preserve"> o normas nacionales que </w:t>
      </w:r>
      <w:r>
        <w:rPr>
          <w:lang w:val="es-ES_tradnl"/>
        </w:rPr>
        <w:t>aplican, o permiten aplicar,</w:t>
      </w:r>
      <w:r w:rsidRPr="00ED100E">
        <w:rPr>
          <w:lang w:val="es-ES_tradnl"/>
        </w:rPr>
        <w:t xml:space="preserve"> </w:t>
      </w:r>
      <w:r>
        <w:rPr>
          <w:lang w:val="es-ES_tradnl"/>
        </w:rPr>
        <w:t>el</w:t>
      </w:r>
      <w:r w:rsidRPr="00ED100E">
        <w:rPr>
          <w:lang w:val="es-ES_tradnl"/>
        </w:rPr>
        <w:t xml:space="preserve"> Sistema Globalmente Armonizado</w:t>
      </w:r>
      <w:r>
        <w:rPr>
          <w:lang w:val="es-ES_tradnl"/>
        </w:rPr>
        <w:t xml:space="preserve"> </w:t>
      </w:r>
      <w:r w:rsidRPr="00ED100E">
        <w:rPr>
          <w:lang w:val="es-ES_tradnl"/>
        </w:rPr>
        <w:t>en uno o varios sectores distintos del transporte en Australia (</w:t>
      </w:r>
      <w:r>
        <w:rPr>
          <w:lang w:val="es-ES_tradnl"/>
        </w:rPr>
        <w:t>2012</w:t>
      </w:r>
      <w:r w:rsidRPr="00ED100E">
        <w:rPr>
          <w:lang w:val="es-ES_tradnl"/>
        </w:rPr>
        <w:t xml:space="preserve">), el Brasil (2009), China (2010), el Ecuador (2009), los Estados Unidos de América (2012), la Federación de Rusia (2010), el Japón (2006), Mauricio (2004), México (2011), Nueva Zelandia (2001), la República de Corea (2006), Serbia (2010), Singapur (2008), </w:t>
      </w:r>
      <w:r w:rsidRPr="00ED100E">
        <w:rPr>
          <w:lang w:val="es-ES_tradnl"/>
        </w:rPr>
        <w:lastRenderedPageBreak/>
        <w:t xml:space="preserve">Sudáfrica (2009), Suiza (2009), Tailandia (2012), el Uruguay (2009), </w:t>
      </w:r>
      <w:proofErr w:type="spellStart"/>
      <w:r w:rsidRPr="00ED100E">
        <w:rPr>
          <w:lang w:val="es-ES_tradnl"/>
        </w:rPr>
        <w:t>Viet</w:t>
      </w:r>
      <w:proofErr w:type="spellEnd"/>
      <w:r w:rsidRPr="00ED100E">
        <w:rPr>
          <w:lang w:val="es-ES_tradnl"/>
        </w:rPr>
        <w:t xml:space="preserve"> </w:t>
      </w:r>
      <w:proofErr w:type="spellStart"/>
      <w:r w:rsidRPr="00ED100E">
        <w:rPr>
          <w:lang w:val="es-ES_tradnl"/>
        </w:rPr>
        <w:t>Nam</w:t>
      </w:r>
      <w:proofErr w:type="spellEnd"/>
      <w:r w:rsidRPr="00ED100E">
        <w:rPr>
          <w:lang w:val="es-ES_tradnl"/>
        </w:rPr>
        <w:t xml:space="preserve"> (2009) y Zambia (2013), así como en los 28 países miembros de la Unión Europea y los </w:t>
      </w:r>
      <w:r>
        <w:rPr>
          <w:lang w:val="es-ES_tradnl"/>
        </w:rPr>
        <w:t>3</w:t>
      </w:r>
      <w:r w:rsidRPr="00ED100E">
        <w:rPr>
          <w:lang w:val="es-ES_tradnl"/>
        </w:rPr>
        <w:t xml:space="preserve"> países miembros del Espacio Económico Europeo (2008)</w:t>
      </w:r>
      <w:r>
        <w:rPr>
          <w:lang w:val="es-ES_tradnl"/>
        </w:rPr>
        <w:t>,</w:t>
      </w:r>
    </w:p>
    <w:p w:rsidR="005938DD" w:rsidRPr="00ED100E" w:rsidRDefault="005938DD" w:rsidP="005938DD">
      <w:pPr>
        <w:pStyle w:val="SingleTxt"/>
        <w:rPr>
          <w:lang w:val="es-ES_tradnl"/>
        </w:rPr>
      </w:pPr>
      <w:r w:rsidRPr="00ED100E">
        <w:rPr>
          <w:lang w:val="es-ES_tradnl"/>
        </w:rPr>
        <w:tab/>
      </w:r>
      <w:r w:rsidRPr="009B7D4A">
        <w:rPr>
          <w:i/>
          <w:lang w:val="es-ES_tradnl"/>
        </w:rPr>
        <w:t>d</w:t>
      </w:r>
      <w:r w:rsidRPr="00ED100E">
        <w:rPr>
          <w:lang w:val="es-ES_tradnl"/>
        </w:rPr>
        <w:t>)</w:t>
      </w:r>
      <w:r w:rsidRPr="00ED100E">
        <w:rPr>
          <w:lang w:val="es-ES_tradnl"/>
        </w:rPr>
        <w:tab/>
        <w:t xml:space="preserve"> En </w:t>
      </w:r>
      <w:r>
        <w:rPr>
          <w:lang w:val="es-ES_tradnl"/>
        </w:rPr>
        <w:t>algunos</w:t>
      </w:r>
      <w:r w:rsidRPr="00ED100E">
        <w:rPr>
          <w:lang w:val="es-ES_tradnl"/>
        </w:rPr>
        <w:t xml:space="preserve"> países prosigue la labor de </w:t>
      </w:r>
      <w:r>
        <w:rPr>
          <w:lang w:val="es-ES_tradnl"/>
        </w:rPr>
        <w:t>redacción o revisión de textos jurídicos</w:t>
      </w:r>
      <w:r w:rsidRPr="00ED100E">
        <w:rPr>
          <w:lang w:val="es-ES_tradnl"/>
        </w:rPr>
        <w:t>, normas o directrices nacionales aplicables a los productos químicos para dar aplicación al Sistema Globalmente Armonizado, mientras que en otros se han iniciado, o se prevé iniciar pronto, actividades relacionadas con la formulación de planes de aplicación sectoriales o estrategias de aplicación nacionales</w:t>
      </w:r>
      <w:r>
        <w:rPr>
          <w:lang w:val="es-ES_tradnl"/>
        </w:rPr>
        <w:t>,</w:t>
      </w:r>
    </w:p>
    <w:p w:rsidR="005938DD" w:rsidRPr="00ED100E" w:rsidRDefault="005938DD" w:rsidP="005938DD">
      <w:pPr>
        <w:pStyle w:val="SingleTxt"/>
        <w:rPr>
          <w:lang w:val="es-ES_tradnl"/>
        </w:rPr>
      </w:pPr>
      <w:r w:rsidRPr="00ED100E">
        <w:rPr>
          <w:lang w:val="es-ES_tradnl"/>
        </w:rPr>
        <w:tab/>
      </w:r>
      <w:r w:rsidRPr="009B7D4A">
        <w:rPr>
          <w:i/>
          <w:lang w:val="es-ES_tradnl"/>
        </w:rPr>
        <w:t>e</w:t>
      </w:r>
      <w:r w:rsidRPr="00ED100E">
        <w:rPr>
          <w:lang w:val="es-ES_tradnl"/>
        </w:rPr>
        <w:t>)</w:t>
      </w:r>
      <w:r w:rsidRPr="00ED100E">
        <w:rPr>
          <w:lang w:val="es-ES_tradnl"/>
        </w:rPr>
        <w:tab/>
        <w:t xml:space="preserve">Varios </w:t>
      </w:r>
      <w:r w:rsidRPr="00573EFD">
        <w:rPr>
          <w:lang w:val="es-ES_tradnl"/>
        </w:rPr>
        <w:t>programas y organismos especializados de las Naciones Unidas y organizaciones regionales, en particular, el Instituto de las Naciones Unidas para Formación Profesional e Investigaciones, la Organización Internacional del Trabajo, la Organización Mundial de la Salud, la Comisión Económica para Europa, el Foro de Cooperación Económica de Asia y el Pacífico, la Organización de Cooperación y Desarrollo Económicos, así como la Unión Europea, gobiernos y organizaciones no gubernamentales que representan a la industria química, han organizado o han contribuido a realizar múltiples talleres, seminarios y otras actividades de creación de capacidad en los planos internacional, regional, subregional y nacional para que se</w:t>
      </w:r>
      <w:r w:rsidRPr="00ED100E">
        <w:rPr>
          <w:lang w:val="es-ES_tradnl"/>
        </w:rPr>
        <w:t xml:space="preserve"> tome más conciencia del Sistema Globalmente Armonizado en los sectores de la administración, la salud y la industria y </w:t>
      </w:r>
      <w:r>
        <w:rPr>
          <w:lang w:val="es-ES_tradnl"/>
        </w:rPr>
        <w:t xml:space="preserve">para </w:t>
      </w:r>
      <w:r w:rsidRPr="00ED100E">
        <w:rPr>
          <w:lang w:val="es-ES_tradnl"/>
        </w:rPr>
        <w:t>preparar o apoyar su puesta en práctica</w:t>
      </w:r>
      <w:r>
        <w:rPr>
          <w:lang w:val="es-ES_tradnl"/>
        </w:rPr>
        <w:t>,</w:t>
      </w:r>
    </w:p>
    <w:p w:rsidR="005938DD" w:rsidRPr="00ED100E" w:rsidRDefault="005938DD" w:rsidP="005938DD">
      <w:pPr>
        <w:pStyle w:val="SingleTxt"/>
        <w:rPr>
          <w:lang w:val="es-ES_tradnl"/>
        </w:rPr>
      </w:pPr>
      <w:r w:rsidRPr="00ED100E">
        <w:rPr>
          <w:lang w:val="es-ES_tradnl"/>
        </w:rPr>
        <w:tab/>
      </w:r>
      <w:r w:rsidRPr="009B06DE">
        <w:rPr>
          <w:i/>
          <w:lang w:val="es-ES_tradnl"/>
        </w:rPr>
        <w:t>Consciente</w:t>
      </w:r>
      <w:r w:rsidRPr="009B06DE">
        <w:rPr>
          <w:lang w:val="es-ES_tradnl"/>
        </w:rPr>
        <w:t xml:space="preserve"> de que para la aplicación efectiva del sistema serán </w:t>
      </w:r>
      <w:r w:rsidRPr="00813DA9">
        <w:rPr>
          <w:lang w:val="es-ES_tradnl"/>
        </w:rPr>
        <w:t>necesarias</w:t>
      </w:r>
      <w:r w:rsidRPr="009B06DE">
        <w:rPr>
          <w:lang w:val="es-ES_tradnl"/>
        </w:rPr>
        <w:t xml:space="preserve"> una mayor cooperación entre el Subcomité de Expertos en el Sistema Globalmente Armonizado de Clasificación y Etiquetado de Productos Químicos y los órganos internacionales</w:t>
      </w:r>
      <w:r w:rsidRPr="00ED100E">
        <w:rPr>
          <w:lang w:val="es-ES_tradnl"/>
        </w:rPr>
        <w:t xml:space="preserve"> interesados, la labor ininterrumpida de los gobiernos de los Estados Miembros, la cooperación con el sector industrial y con otras partes interesadas y un apoyo importante a fin de realizar actividades </w:t>
      </w:r>
      <w:r>
        <w:rPr>
          <w:lang w:val="es-ES_tradnl"/>
        </w:rPr>
        <w:t>de creación de</w:t>
      </w:r>
      <w:r w:rsidRPr="00ED100E">
        <w:rPr>
          <w:lang w:val="es-ES_tradnl"/>
        </w:rPr>
        <w:t xml:space="preserve"> capacidad en países de economía en transición y en países en desarrollo,</w:t>
      </w:r>
    </w:p>
    <w:p w:rsidR="005938DD" w:rsidRPr="00ED100E" w:rsidRDefault="005938DD" w:rsidP="005938DD">
      <w:pPr>
        <w:pStyle w:val="SingleTxt"/>
        <w:rPr>
          <w:lang w:val="es-ES_tradnl"/>
        </w:rPr>
      </w:pPr>
      <w:r w:rsidRPr="00ED100E">
        <w:rPr>
          <w:lang w:val="es-ES_tradnl"/>
        </w:rPr>
        <w:tab/>
      </w:r>
      <w:r w:rsidRPr="00ED100E">
        <w:rPr>
          <w:i/>
          <w:lang w:val="es-ES_tradnl"/>
        </w:rPr>
        <w:t>Recordando</w:t>
      </w:r>
      <w:r w:rsidRPr="00ED100E">
        <w:rPr>
          <w:lang w:val="es-ES_tradnl"/>
        </w:rPr>
        <w:t xml:space="preserve"> la especial importancia </w:t>
      </w:r>
      <w:r>
        <w:rPr>
          <w:lang w:val="es-ES_tradnl"/>
        </w:rPr>
        <w:t xml:space="preserve">de </w:t>
      </w:r>
      <w:r w:rsidRPr="00ED100E">
        <w:rPr>
          <w:lang w:val="es-ES_tradnl"/>
        </w:rPr>
        <w:t xml:space="preserve">la Alianza Mundial para </w:t>
      </w:r>
      <w:r>
        <w:rPr>
          <w:lang w:val="es-ES_tradnl"/>
        </w:rPr>
        <w:t>F</w:t>
      </w:r>
      <w:r w:rsidRPr="00ED100E">
        <w:rPr>
          <w:lang w:val="es-ES_tradnl"/>
        </w:rPr>
        <w:t xml:space="preserve">omentar la </w:t>
      </w:r>
      <w:r>
        <w:rPr>
          <w:lang w:val="es-ES_tradnl"/>
        </w:rPr>
        <w:t>C</w:t>
      </w:r>
      <w:r w:rsidRPr="00ED100E">
        <w:rPr>
          <w:lang w:val="es-ES_tradnl"/>
        </w:rPr>
        <w:t xml:space="preserve">apacidad </w:t>
      </w:r>
      <w:r>
        <w:rPr>
          <w:lang w:val="es-ES_tradnl"/>
        </w:rPr>
        <w:t>de A</w:t>
      </w:r>
      <w:r w:rsidRPr="00ED100E">
        <w:rPr>
          <w:lang w:val="es-ES_tradnl"/>
        </w:rPr>
        <w:t xml:space="preserve">plicación del Sistema Globalmente Armonizado de Clasificación y Etiquetado de Productos Químicos </w:t>
      </w:r>
      <w:r>
        <w:rPr>
          <w:lang w:val="es-ES_tradnl"/>
        </w:rPr>
        <w:t>d</w:t>
      </w:r>
      <w:r w:rsidRPr="00ED100E">
        <w:rPr>
          <w:lang w:val="es-ES_tradnl"/>
        </w:rPr>
        <w:t>el Instituto de las Naciones Unidas para Formación Profesional e Investigaciones, la Organización Internacional del Trabajo y la Organización de Cooperación y Desarrollo Económicos</w:t>
      </w:r>
      <w:r>
        <w:rPr>
          <w:lang w:val="es-ES_tradnl"/>
        </w:rPr>
        <w:t xml:space="preserve"> en lo que respecta a crear capacidad a todos los niveles,</w:t>
      </w:r>
    </w:p>
    <w:p w:rsidR="005938DD" w:rsidRPr="00573EFD" w:rsidRDefault="005938DD" w:rsidP="005938DD">
      <w:pPr>
        <w:pStyle w:val="SingleTxt"/>
        <w:rPr>
          <w:lang w:val="es-ES_tradnl"/>
        </w:rPr>
      </w:pPr>
      <w:r w:rsidRPr="00ED100E">
        <w:rPr>
          <w:lang w:val="es-ES_tradnl"/>
        </w:rPr>
        <w:tab/>
        <w:t>1.</w:t>
      </w:r>
      <w:r w:rsidRPr="00ED100E">
        <w:rPr>
          <w:lang w:val="es-ES_tradnl"/>
        </w:rPr>
        <w:tab/>
      </w:r>
      <w:r w:rsidRPr="00ED100E">
        <w:rPr>
          <w:i/>
          <w:lang w:val="es-ES_tradnl"/>
        </w:rPr>
        <w:t>Encomia</w:t>
      </w:r>
      <w:r w:rsidRPr="00ED100E">
        <w:rPr>
          <w:lang w:val="es-ES_tradnl"/>
        </w:rPr>
        <w:t xml:space="preserve"> al Secretario General por la publicación de la quinta edición revisada del </w:t>
      </w:r>
      <w:r w:rsidRPr="00ED100E">
        <w:rPr>
          <w:i/>
          <w:lang w:val="es-ES_tradnl"/>
        </w:rPr>
        <w:t>Sistema Globalmente Armonizado de Clasificación y Etiquetado de Productos Químicos</w:t>
      </w:r>
      <w:r w:rsidRPr="00ED100E">
        <w:rPr>
          <w:rStyle w:val="FootnoteReference"/>
          <w:lang w:val="es-ES_tradnl"/>
        </w:rPr>
        <w:footnoteReference w:id="6"/>
      </w:r>
      <w:r w:rsidRPr="00ED100E">
        <w:rPr>
          <w:lang w:val="es-ES_tradnl"/>
        </w:rPr>
        <w:t xml:space="preserve"> en los seis idiomas oficiales de las Naciones Unidas, en forma de libro y en CD-ROM, </w:t>
      </w:r>
      <w:r>
        <w:rPr>
          <w:lang w:val="es-ES_tradnl"/>
        </w:rPr>
        <w:t xml:space="preserve">y por su disponibilidad, </w:t>
      </w:r>
      <w:r w:rsidRPr="00ED100E">
        <w:rPr>
          <w:lang w:val="es-ES_tradnl"/>
        </w:rPr>
        <w:t xml:space="preserve">así como </w:t>
      </w:r>
      <w:r>
        <w:rPr>
          <w:lang w:val="es-ES_tradnl"/>
        </w:rPr>
        <w:t xml:space="preserve">por </w:t>
      </w:r>
      <w:r w:rsidRPr="00ED100E">
        <w:rPr>
          <w:lang w:val="es-ES_tradnl"/>
        </w:rPr>
        <w:t>su inclusión, junto con material de información conexo, en el sitio web de la Comisión Económica para Europa, que presta servicios de secretaría al Comité</w:t>
      </w:r>
      <w:r w:rsidRPr="00573EFD">
        <w:rPr>
          <w:lang w:val="es-ES_tradnl"/>
        </w:rPr>
        <w:t>;</w:t>
      </w:r>
    </w:p>
    <w:p w:rsidR="005938DD" w:rsidRPr="00573EFD" w:rsidRDefault="005938DD" w:rsidP="005938DD">
      <w:pPr>
        <w:pStyle w:val="SingleTxt"/>
        <w:rPr>
          <w:lang w:val="es-ES_tradnl"/>
        </w:rPr>
      </w:pPr>
      <w:r w:rsidRPr="00573EFD">
        <w:rPr>
          <w:lang w:val="es-ES_tradnl"/>
        </w:rPr>
        <w:tab/>
        <w:t>2.</w:t>
      </w:r>
      <w:r w:rsidRPr="00573EFD">
        <w:rPr>
          <w:lang w:val="es-ES_tradnl"/>
        </w:rPr>
        <w:tab/>
      </w:r>
      <w:r w:rsidRPr="00573EFD">
        <w:rPr>
          <w:i/>
          <w:lang w:val="es-ES_tradnl"/>
        </w:rPr>
        <w:t>Expresa su profundo reconocimiento</w:t>
      </w:r>
      <w:r w:rsidRPr="00573EFD">
        <w:rPr>
          <w:lang w:val="es-ES_tradnl"/>
        </w:rPr>
        <w:t xml:space="preserve"> al Comité, a la Comisión, a los programas y organismos especializados de las Naciones Unidas y a las demás organizaciones interesadas por su fructífera cooperación y su empeño en la aplicación del Sistema Globalmente Armonizado;</w:t>
      </w:r>
    </w:p>
    <w:p w:rsidR="005938DD" w:rsidRPr="00573EFD" w:rsidRDefault="005938DD" w:rsidP="005938DD">
      <w:pPr>
        <w:pStyle w:val="SingleTxt"/>
        <w:keepNext/>
        <w:rPr>
          <w:lang w:val="es-ES_tradnl"/>
        </w:rPr>
      </w:pPr>
      <w:r w:rsidRPr="00573EFD">
        <w:rPr>
          <w:lang w:val="es-ES_tradnl"/>
        </w:rPr>
        <w:lastRenderedPageBreak/>
        <w:tab/>
        <w:t>3.</w:t>
      </w:r>
      <w:r w:rsidRPr="00573EFD">
        <w:rPr>
          <w:lang w:val="es-ES_tradnl"/>
        </w:rPr>
        <w:tab/>
      </w:r>
      <w:r w:rsidRPr="00573EFD">
        <w:rPr>
          <w:i/>
          <w:lang w:val="es-ES_tradnl"/>
        </w:rPr>
        <w:t>Solicita</w:t>
      </w:r>
      <w:r w:rsidRPr="00573EFD">
        <w:rPr>
          <w:lang w:val="es-ES_tradnl"/>
        </w:rPr>
        <w:t xml:space="preserve"> al Secretario General que:</w:t>
      </w:r>
    </w:p>
    <w:p w:rsidR="005938DD" w:rsidRPr="00573EFD" w:rsidRDefault="005938DD" w:rsidP="005938DD">
      <w:pPr>
        <w:pStyle w:val="SingleTxt"/>
        <w:rPr>
          <w:lang w:val="es-ES_tradnl"/>
        </w:rPr>
      </w:pPr>
      <w:r w:rsidRPr="00573EFD">
        <w:rPr>
          <w:lang w:val="es-ES_tradnl"/>
        </w:rPr>
        <w:tab/>
      </w:r>
      <w:r w:rsidRPr="00573EFD">
        <w:rPr>
          <w:i/>
          <w:lang w:val="es-ES_tradnl"/>
        </w:rPr>
        <w:t>a</w:t>
      </w:r>
      <w:r w:rsidRPr="00573EFD">
        <w:rPr>
          <w:lang w:val="es-ES_tradnl"/>
        </w:rPr>
        <w:t>)</w:t>
      </w:r>
      <w:r w:rsidRPr="00573EFD">
        <w:rPr>
          <w:lang w:val="es-ES_tradnl"/>
        </w:rPr>
        <w:tab/>
        <w:t>Distribuya las enmiendas</w:t>
      </w:r>
      <w:r w:rsidRPr="00573EFD">
        <w:rPr>
          <w:rStyle w:val="FootnoteReference"/>
          <w:lang w:val="es-ES_tradnl"/>
        </w:rPr>
        <w:footnoteReference w:id="7"/>
      </w:r>
      <w:r w:rsidRPr="00573EFD">
        <w:rPr>
          <w:lang w:val="es-ES_tradnl"/>
        </w:rPr>
        <w:t xml:space="preserve"> de la quinta edición revisada del </w:t>
      </w:r>
      <w:r w:rsidRPr="00573EFD">
        <w:rPr>
          <w:i/>
          <w:lang w:val="es-ES_tradnl"/>
        </w:rPr>
        <w:t xml:space="preserve">Sistema Globalmente Armonizado </w:t>
      </w:r>
      <w:r w:rsidRPr="00573EFD">
        <w:rPr>
          <w:lang w:val="es-ES_tradnl"/>
        </w:rPr>
        <w:t>a los gobiernos de los Estados Miembros, a los organismos especializados y a las demás organizaciones internacionales interesadas;</w:t>
      </w:r>
    </w:p>
    <w:p w:rsidR="005938DD" w:rsidRPr="00573EFD" w:rsidRDefault="005938DD" w:rsidP="005938DD">
      <w:pPr>
        <w:pStyle w:val="SingleTxt"/>
        <w:rPr>
          <w:lang w:val="es-ES_tradnl"/>
        </w:rPr>
      </w:pPr>
      <w:r w:rsidRPr="00573EFD">
        <w:rPr>
          <w:lang w:val="es-ES_tradnl"/>
        </w:rPr>
        <w:tab/>
      </w:r>
      <w:r w:rsidRPr="00573EFD">
        <w:rPr>
          <w:i/>
          <w:lang w:val="es-ES_tradnl"/>
        </w:rPr>
        <w:t>b</w:t>
      </w:r>
      <w:r w:rsidRPr="00573EFD">
        <w:rPr>
          <w:lang w:val="es-ES_tradnl"/>
        </w:rPr>
        <w:t>)</w:t>
      </w:r>
      <w:r w:rsidRPr="00573EFD">
        <w:rPr>
          <w:lang w:val="es-ES_tradnl"/>
        </w:rPr>
        <w:tab/>
      </w:r>
      <w:r w:rsidRPr="00573EFD">
        <w:rPr>
          <w:spacing w:val="0"/>
          <w:lang w:val="es-ES_tradnl"/>
        </w:rPr>
        <w:t xml:space="preserve">Publique la sexta edición revisada del </w:t>
      </w:r>
      <w:r w:rsidRPr="00573EFD">
        <w:rPr>
          <w:i/>
          <w:spacing w:val="0"/>
          <w:lang w:val="es-ES_tradnl"/>
        </w:rPr>
        <w:t>Sistema Globalmente Armonizado</w:t>
      </w:r>
      <w:r w:rsidRPr="00573EFD">
        <w:rPr>
          <w:lang w:val="es-ES_tradnl"/>
        </w:rPr>
        <w:t xml:space="preserve"> en todos los idiomas oficiales de las Naciones Unidas, con la mejor relación costo-eficacia y a más tardar a fines de 2015 y disponga que esté disponible en forma impresa y electrónica, así como en el sitio web de la Comisión;</w:t>
      </w:r>
    </w:p>
    <w:p w:rsidR="005938DD" w:rsidRPr="00573EFD" w:rsidRDefault="005938DD" w:rsidP="005938DD">
      <w:pPr>
        <w:pStyle w:val="SingleTxt"/>
        <w:rPr>
          <w:lang w:val="es-ES_tradnl"/>
        </w:rPr>
      </w:pPr>
      <w:r w:rsidRPr="00573EFD">
        <w:rPr>
          <w:lang w:val="es-ES_tradnl"/>
        </w:rPr>
        <w:tab/>
      </w:r>
      <w:r w:rsidRPr="00573EFD">
        <w:rPr>
          <w:i/>
          <w:lang w:val="es-ES_tradnl"/>
        </w:rPr>
        <w:t>c</w:t>
      </w:r>
      <w:r w:rsidRPr="00573EFD">
        <w:rPr>
          <w:lang w:val="es-ES_tradnl"/>
        </w:rPr>
        <w:t>)</w:t>
      </w:r>
      <w:r w:rsidRPr="00573EFD">
        <w:rPr>
          <w:lang w:val="es-ES_tradnl"/>
        </w:rPr>
        <w:tab/>
        <w:t>Continúe facilitando información sobre la aplicación del Sistema Globalmente Armonizado en el sitio web de la Comisión;</w:t>
      </w:r>
    </w:p>
    <w:p w:rsidR="005938DD" w:rsidRPr="00573EFD" w:rsidRDefault="005938DD" w:rsidP="005938DD">
      <w:pPr>
        <w:pStyle w:val="SingleTxt"/>
        <w:rPr>
          <w:lang w:val="es-ES_tradnl"/>
        </w:rPr>
      </w:pPr>
      <w:r w:rsidRPr="00573EFD">
        <w:rPr>
          <w:lang w:val="es-ES_tradnl"/>
        </w:rPr>
        <w:tab/>
        <w:t>4.</w:t>
      </w:r>
      <w:r w:rsidRPr="00573EFD">
        <w:rPr>
          <w:lang w:val="es-ES_tradnl"/>
        </w:rPr>
        <w:tab/>
      </w:r>
      <w:r w:rsidRPr="00573EFD">
        <w:rPr>
          <w:i/>
          <w:lang w:val="es-ES_tradnl"/>
        </w:rPr>
        <w:t>Invita</w:t>
      </w:r>
      <w:r w:rsidRPr="00573EFD">
        <w:rPr>
          <w:lang w:val="es-ES_tradnl"/>
        </w:rPr>
        <w:t xml:space="preserve"> a los gobiernos que aún no lo hayan hecho a que adopten las disposiciones necesarias mediante procedimientos o leyes nacionales </w:t>
      </w:r>
      <w:proofErr w:type="gramStart"/>
      <w:r w:rsidRPr="00573EFD">
        <w:rPr>
          <w:lang w:val="es-ES_tradnl"/>
        </w:rPr>
        <w:t>apropiados</w:t>
      </w:r>
      <w:proofErr w:type="gramEnd"/>
      <w:r w:rsidRPr="00573EFD">
        <w:rPr>
          <w:lang w:val="es-ES_tradnl"/>
        </w:rPr>
        <w:t xml:space="preserve"> para poner en práctica cuanto antes el Sistema Globalmente Armonizado;</w:t>
      </w:r>
    </w:p>
    <w:p w:rsidR="005938DD" w:rsidRPr="00ED100E" w:rsidRDefault="005938DD" w:rsidP="005938DD">
      <w:pPr>
        <w:pStyle w:val="SingleTxt"/>
        <w:rPr>
          <w:lang w:val="es-ES_tradnl"/>
        </w:rPr>
      </w:pPr>
      <w:r w:rsidRPr="00573EFD">
        <w:rPr>
          <w:lang w:val="es-ES_tradnl"/>
        </w:rPr>
        <w:tab/>
        <w:t>5.</w:t>
      </w:r>
      <w:r w:rsidRPr="00573EFD">
        <w:rPr>
          <w:lang w:val="es-ES_tradnl"/>
        </w:rPr>
        <w:tab/>
      </w:r>
      <w:r w:rsidRPr="00573EFD">
        <w:rPr>
          <w:i/>
          <w:lang w:val="es-ES_tradnl"/>
        </w:rPr>
        <w:t>Reitera su invitación</w:t>
      </w:r>
      <w:r w:rsidRPr="00573EFD">
        <w:rPr>
          <w:lang w:val="es-ES_tradnl"/>
        </w:rPr>
        <w:t xml:space="preserve"> a las comisiones regionales, los programas y organismos especializados de las Naciones Unidas y otras organizaciones interesadas a que promuevan la aplicación del Sistema Globalmente Armonizado y, si procede, enmienden sus respectivos instrumentos jurídicos</w:t>
      </w:r>
      <w:r w:rsidRPr="00ED100E">
        <w:rPr>
          <w:lang w:val="es-ES_tradnl"/>
        </w:rPr>
        <w:t xml:space="preserve"> internacionales relativos a la seguridad del transporte, la seguridad en el lugar de trabajo, la protección del consumidor o la protección del medio ambiente, a fin de poner en práctica las disposiciones del Sistema Globalmente Armonizado mediante esos instrumentos;</w:t>
      </w:r>
    </w:p>
    <w:p w:rsidR="005938DD" w:rsidRPr="00573EFD" w:rsidRDefault="005938DD" w:rsidP="005938DD">
      <w:pPr>
        <w:pStyle w:val="SingleTxt"/>
        <w:rPr>
          <w:lang w:val="es-ES_tradnl"/>
        </w:rPr>
      </w:pPr>
      <w:r w:rsidRPr="00ED100E">
        <w:rPr>
          <w:lang w:val="es-ES_tradnl"/>
        </w:rPr>
        <w:tab/>
        <w:t>6.</w:t>
      </w:r>
      <w:r w:rsidRPr="00ED100E">
        <w:rPr>
          <w:lang w:val="es-ES_tradnl"/>
        </w:rPr>
        <w:tab/>
      </w:r>
      <w:r w:rsidRPr="00ED100E">
        <w:rPr>
          <w:i/>
          <w:lang w:val="es-ES_tradnl"/>
        </w:rPr>
        <w:t>Invita</w:t>
      </w:r>
      <w:r w:rsidRPr="00ED100E">
        <w:rPr>
          <w:lang w:val="es-ES_tradnl"/>
        </w:rPr>
        <w:t xml:space="preserve"> </w:t>
      </w:r>
      <w:r w:rsidRPr="00573EFD">
        <w:rPr>
          <w:lang w:val="es-ES_tradnl"/>
        </w:rPr>
        <w:t>a los gobiernos, las comisiones regionales, los programas y los organismos especializados de las Naciones Unidas y otras organizaciones interesadas a que transmitan al Subcomité de Expertos en el Sistema Globalmente Armonizado de Clasificación y Etiquetado de Productos Químicos información relativa a las medidas que hayan adoptado para aplicar el Sistema Globalmente Armonizado en todos los sectores pertinentes mediante instrumentos jurídicos, recomendaciones, códigos y directrices de carácter internacional, regional o nacional, y, cuando proceda, información sobre los períodos de transición para la aplicación;</w:t>
      </w:r>
    </w:p>
    <w:p w:rsidR="005938DD" w:rsidRPr="00D578A1" w:rsidRDefault="005938DD" w:rsidP="005938DD">
      <w:pPr>
        <w:pStyle w:val="SingleTxt"/>
        <w:rPr>
          <w:lang w:val="es-ES_tradnl"/>
        </w:rPr>
      </w:pPr>
      <w:r w:rsidRPr="00573EFD">
        <w:rPr>
          <w:lang w:val="es-ES_tradnl"/>
        </w:rPr>
        <w:tab/>
        <w:t>7.</w:t>
      </w:r>
      <w:r w:rsidRPr="00573EFD">
        <w:rPr>
          <w:lang w:val="es-ES_tradnl"/>
        </w:rPr>
        <w:tab/>
      </w:r>
      <w:r w:rsidRPr="00573EFD">
        <w:rPr>
          <w:i/>
          <w:lang w:val="es-ES_tradnl"/>
        </w:rPr>
        <w:t>Alienta</w:t>
      </w:r>
      <w:r w:rsidRPr="00573EFD">
        <w:rPr>
          <w:lang w:val="es-ES_tradnl"/>
        </w:rPr>
        <w:t xml:space="preserve"> a los gobiernos, las comisiones regionales, los programas y los organismos especializados de las Naciones Unidas y otras organizaciones internacionales y no gubernamentales pertinentes, en particular las que representan al sector industrial, a que fortalezcan su</w:t>
      </w:r>
      <w:r w:rsidRPr="00ED100E">
        <w:rPr>
          <w:lang w:val="es-ES_tradnl"/>
        </w:rPr>
        <w:t xml:space="preserve"> apoyo a la aplicación del Sistema Globalmente Armonizado haciendo contribuciones financieras u ofreciendo asistencia técnica para las actividades </w:t>
      </w:r>
      <w:r>
        <w:rPr>
          <w:lang w:val="es-ES_tradnl"/>
        </w:rPr>
        <w:t>de creación de</w:t>
      </w:r>
      <w:r w:rsidRPr="00ED100E">
        <w:rPr>
          <w:lang w:val="es-ES_tradnl"/>
        </w:rPr>
        <w:t xml:space="preserve"> </w:t>
      </w:r>
      <w:r w:rsidRPr="00D578A1">
        <w:rPr>
          <w:lang w:val="es-ES_tradnl"/>
        </w:rPr>
        <w:t>capacidad en los países en desarrollo y en los países de economía en transición;</w:t>
      </w:r>
    </w:p>
    <w:p w:rsidR="005938DD" w:rsidRPr="00D578A1" w:rsidRDefault="005938DD" w:rsidP="005938DD">
      <w:pPr>
        <w:pStyle w:val="SingleTxt"/>
        <w:spacing w:after="0" w:line="120" w:lineRule="exact"/>
        <w:rPr>
          <w:sz w:val="10"/>
          <w:lang w:val="es-ES_tradnl"/>
        </w:rPr>
      </w:pPr>
    </w:p>
    <w:p w:rsidR="005938DD" w:rsidRPr="00D578A1" w:rsidRDefault="005938DD" w:rsidP="005938DD">
      <w:pPr>
        <w:pStyle w:val="H23"/>
        <w:spacing w:after="120"/>
        <w:rPr>
          <w:lang w:val="es-ES_tradnl"/>
        </w:rPr>
      </w:pPr>
      <w:r w:rsidRPr="00D578A1">
        <w:rPr>
          <w:lang w:val="es-ES_tradnl"/>
        </w:rPr>
        <w:t>D.</w:t>
      </w:r>
      <w:r w:rsidRPr="00D578A1">
        <w:rPr>
          <w:lang w:val="es-ES_tradnl"/>
        </w:rPr>
        <w:tab/>
        <w:t>Programa de trabajo del Comité</w:t>
      </w:r>
    </w:p>
    <w:p w:rsidR="005938DD" w:rsidRPr="00D578A1" w:rsidRDefault="005938DD" w:rsidP="005938DD">
      <w:pPr>
        <w:pStyle w:val="SingleTxt"/>
        <w:rPr>
          <w:lang w:val="es-ES_tradnl"/>
        </w:rPr>
      </w:pPr>
      <w:r w:rsidRPr="00D578A1">
        <w:rPr>
          <w:lang w:val="es-ES_tradnl"/>
        </w:rPr>
        <w:tab/>
      </w:r>
      <w:r w:rsidRPr="00D578A1">
        <w:rPr>
          <w:i/>
          <w:lang w:val="es-ES_tradnl"/>
        </w:rPr>
        <w:t>Tomando nota</w:t>
      </w:r>
      <w:r w:rsidRPr="00D578A1">
        <w:rPr>
          <w:lang w:val="es-ES_tradnl"/>
        </w:rPr>
        <w:t xml:space="preserve"> del programa de trabajo del Comité para el bienio 2015-2016 que figura en los párrafos 50 y 51 del informe del Secretario General</w:t>
      </w:r>
      <w:r w:rsidRPr="00D578A1">
        <w:rPr>
          <w:vertAlign w:val="superscript"/>
          <w:lang w:val="es-ES_tradnl"/>
        </w:rPr>
        <w:fldChar w:fldCharType="begin"/>
      </w:r>
      <w:r w:rsidRPr="00D578A1">
        <w:rPr>
          <w:vertAlign w:val="superscript"/>
          <w:lang w:val="es-ES_tradnl"/>
        </w:rPr>
        <w:instrText xml:space="preserve"> NOTEREF _Ref424121062 \h </w:instrText>
      </w:r>
      <w:r>
        <w:rPr>
          <w:vertAlign w:val="superscript"/>
          <w:lang w:val="es-ES_tradnl"/>
        </w:rPr>
        <w:instrText xml:space="preserve"> \* MERGEFORMAT </w:instrText>
      </w:r>
      <w:r w:rsidRPr="00D578A1">
        <w:rPr>
          <w:vertAlign w:val="superscript"/>
          <w:lang w:val="es-ES_tradnl"/>
        </w:rPr>
      </w:r>
      <w:r w:rsidRPr="00D578A1">
        <w:rPr>
          <w:vertAlign w:val="superscript"/>
          <w:lang w:val="es-ES_tradnl"/>
        </w:rPr>
        <w:fldChar w:fldCharType="separate"/>
      </w:r>
      <w:r w:rsidR="0091604E">
        <w:rPr>
          <w:vertAlign w:val="superscript"/>
          <w:lang w:val="es-ES_tradnl"/>
        </w:rPr>
        <w:t>1</w:t>
      </w:r>
      <w:r w:rsidRPr="00D578A1">
        <w:rPr>
          <w:vertAlign w:val="superscript"/>
          <w:lang w:val="es-ES_tradnl"/>
        </w:rPr>
        <w:fldChar w:fldCharType="end"/>
      </w:r>
      <w:r w:rsidRPr="00D578A1">
        <w:rPr>
          <w:lang w:val="es-ES_tradnl"/>
        </w:rPr>
        <w:t>,</w:t>
      </w:r>
    </w:p>
    <w:p w:rsidR="005938DD" w:rsidRPr="00D578A1" w:rsidRDefault="005938DD" w:rsidP="005938DD">
      <w:pPr>
        <w:pStyle w:val="SingleTxt"/>
        <w:rPr>
          <w:lang w:val="es-ES_tradnl"/>
        </w:rPr>
      </w:pPr>
      <w:r w:rsidRPr="00D578A1">
        <w:rPr>
          <w:lang w:val="es-ES_tradnl"/>
        </w:rPr>
        <w:tab/>
      </w:r>
      <w:r w:rsidRPr="00D578A1">
        <w:rPr>
          <w:i/>
          <w:lang w:val="es-ES_tradnl"/>
        </w:rPr>
        <w:t>Observando</w:t>
      </w:r>
      <w:r w:rsidRPr="00D578A1">
        <w:rPr>
          <w:lang w:val="es-ES_tradnl"/>
        </w:rPr>
        <w:t xml:space="preserve"> el grado relativamente bajo de participación de expertos de países en desarrollo y países de economía en transición en la labor del Comité y </w:t>
      </w:r>
      <w:r w:rsidRPr="00D578A1">
        <w:rPr>
          <w:lang w:val="es-ES_tradnl"/>
        </w:rPr>
        <w:lastRenderedPageBreak/>
        <w:t>la necesidad de promover una participación más amplia de esos expertos en su labor,</w:t>
      </w:r>
    </w:p>
    <w:p w:rsidR="005938DD" w:rsidRPr="00ED100E" w:rsidRDefault="005938DD" w:rsidP="005938DD">
      <w:pPr>
        <w:pStyle w:val="SingleTxt"/>
        <w:rPr>
          <w:lang w:val="es-ES_tradnl"/>
        </w:rPr>
      </w:pPr>
      <w:r w:rsidRPr="00D578A1">
        <w:rPr>
          <w:lang w:val="es-ES_tradnl"/>
        </w:rPr>
        <w:tab/>
        <w:t>1.</w:t>
      </w:r>
      <w:r w:rsidRPr="00D578A1">
        <w:rPr>
          <w:lang w:val="es-ES_tradnl"/>
        </w:rPr>
        <w:tab/>
      </w:r>
      <w:r w:rsidRPr="00D578A1">
        <w:rPr>
          <w:i/>
          <w:lang w:val="es-ES_tradnl"/>
        </w:rPr>
        <w:t>Aprueba</w:t>
      </w:r>
      <w:r w:rsidRPr="00D578A1">
        <w:rPr>
          <w:lang w:val="es-ES_tradnl"/>
        </w:rPr>
        <w:t xml:space="preserve"> el programa de trabajo</w:t>
      </w:r>
      <w:r w:rsidRPr="00ED100E">
        <w:rPr>
          <w:lang w:val="es-ES_tradnl"/>
        </w:rPr>
        <w:t xml:space="preserve"> del Comité</w:t>
      </w:r>
      <w:r w:rsidRPr="00D92B8D">
        <w:rPr>
          <w:vertAlign w:val="superscript"/>
          <w:lang w:val="es-ES_tradnl"/>
        </w:rPr>
        <w:fldChar w:fldCharType="begin"/>
      </w:r>
      <w:r w:rsidRPr="00D92B8D">
        <w:rPr>
          <w:vertAlign w:val="superscript"/>
          <w:lang w:val="es-ES_tradnl"/>
        </w:rPr>
        <w:instrText xml:space="preserve"> NOTEREF _Ref424121062 \h </w:instrText>
      </w:r>
      <w:r>
        <w:rPr>
          <w:vertAlign w:val="superscript"/>
          <w:lang w:val="es-ES_tradnl"/>
        </w:rPr>
        <w:instrText xml:space="preserve"> \* MERGEFORMAT </w:instrText>
      </w:r>
      <w:r w:rsidRPr="00D92B8D">
        <w:rPr>
          <w:vertAlign w:val="superscript"/>
          <w:lang w:val="es-ES_tradnl"/>
        </w:rPr>
      </w:r>
      <w:r w:rsidRPr="00D92B8D">
        <w:rPr>
          <w:vertAlign w:val="superscript"/>
          <w:lang w:val="es-ES_tradnl"/>
        </w:rPr>
        <w:fldChar w:fldCharType="separate"/>
      </w:r>
      <w:r w:rsidR="0091604E">
        <w:rPr>
          <w:vertAlign w:val="superscript"/>
          <w:lang w:val="es-ES_tradnl"/>
        </w:rPr>
        <w:t>1</w:t>
      </w:r>
      <w:r w:rsidRPr="00D92B8D">
        <w:rPr>
          <w:vertAlign w:val="superscript"/>
          <w:lang w:val="es-ES_tradnl"/>
        </w:rPr>
        <w:fldChar w:fldCharType="end"/>
      </w:r>
      <w:r w:rsidRPr="00ED100E">
        <w:rPr>
          <w:lang w:val="es-ES_tradnl"/>
        </w:rPr>
        <w:t>;</w:t>
      </w:r>
    </w:p>
    <w:p w:rsidR="005938DD" w:rsidRPr="00ED100E" w:rsidRDefault="005938DD" w:rsidP="005938DD">
      <w:pPr>
        <w:pStyle w:val="SingleTxt"/>
        <w:rPr>
          <w:lang w:val="es-ES_tradnl"/>
        </w:rPr>
      </w:pPr>
      <w:r w:rsidRPr="00ED100E">
        <w:rPr>
          <w:lang w:val="es-ES_tradnl"/>
        </w:rPr>
        <w:tab/>
        <w:t>2.</w:t>
      </w:r>
      <w:r w:rsidRPr="00ED100E">
        <w:rPr>
          <w:lang w:val="es-ES_tradnl"/>
        </w:rPr>
        <w:tab/>
      </w:r>
      <w:r w:rsidRPr="00ED100E">
        <w:rPr>
          <w:i/>
          <w:lang w:val="es-ES_tradnl"/>
        </w:rPr>
        <w:t>Destaca</w:t>
      </w:r>
      <w:r w:rsidRPr="00ED100E">
        <w:rPr>
          <w:lang w:val="es-ES_tradnl"/>
        </w:rPr>
        <w:t xml:space="preserve"> la importancia de que en la labor del Comité participen expertos de países en desarrollo y de países de economía en transición, </w:t>
      </w:r>
      <w:r>
        <w:rPr>
          <w:lang w:val="es-ES_tradnl"/>
        </w:rPr>
        <w:t xml:space="preserve">pide, </w:t>
      </w:r>
      <w:r w:rsidRPr="00ED100E">
        <w:rPr>
          <w:lang w:val="es-ES_tradnl"/>
        </w:rPr>
        <w:t>a ese respecto, que se hagan contribuciones voluntarias para facilitar su participación, en particular prestando apoyo para gastos de viaje y dietas, e invita a los Estados Miembros y a las organizaciones internacionales que estén en condiciones de hacerlo a que contribuyan;</w:t>
      </w:r>
      <w:r>
        <w:rPr>
          <w:lang w:val="es-ES_tradnl"/>
        </w:rPr>
        <w:t xml:space="preserve"> </w:t>
      </w:r>
    </w:p>
    <w:p w:rsidR="005938DD" w:rsidRPr="00ED100E" w:rsidRDefault="005938DD" w:rsidP="005938DD">
      <w:pPr>
        <w:pStyle w:val="SingleTxt"/>
        <w:rPr>
          <w:lang w:val="es-ES_tradnl"/>
        </w:rPr>
      </w:pPr>
      <w:r w:rsidRPr="00ED100E">
        <w:rPr>
          <w:lang w:val="es-ES_tradnl"/>
        </w:rPr>
        <w:tab/>
        <w:t>3.</w:t>
      </w:r>
      <w:r w:rsidRPr="00ED100E">
        <w:rPr>
          <w:lang w:val="es-ES_tradnl"/>
        </w:rPr>
        <w:tab/>
      </w:r>
      <w:r w:rsidRPr="00ED100E">
        <w:rPr>
          <w:i/>
          <w:lang w:val="es-ES_tradnl"/>
        </w:rPr>
        <w:t>Solicita</w:t>
      </w:r>
      <w:r w:rsidRPr="00ED100E">
        <w:rPr>
          <w:lang w:val="es-ES_tradnl"/>
        </w:rPr>
        <w:t xml:space="preserve"> al Secretario General que en 2017 le presente un informe sobre la aplicación de la presente resolución, las Recomendaciones relativas al Transporte de Mercancías Peligrosas y el</w:t>
      </w:r>
      <w:r w:rsidRPr="001341DB">
        <w:rPr>
          <w:lang w:val="es-ES_tradnl"/>
        </w:rPr>
        <w:t xml:space="preserve"> </w:t>
      </w:r>
      <w:r w:rsidRPr="00813DA9">
        <w:rPr>
          <w:lang w:val="es-ES_tradnl"/>
        </w:rPr>
        <w:t>Sistema Globalmente Armonizado de Clasificación y Etiquetado de Productos Químicos</w:t>
      </w:r>
      <w:r w:rsidRPr="00ED100E">
        <w:rPr>
          <w:lang w:val="es-ES_tradnl"/>
        </w:rPr>
        <w:t>.</w:t>
      </w:r>
    </w:p>
    <w:p w:rsidR="005938DD" w:rsidRPr="00ED100E" w:rsidRDefault="005938DD" w:rsidP="005938DD">
      <w:pPr>
        <w:widowControl w:val="0"/>
        <w:spacing w:line="120" w:lineRule="exact"/>
        <w:ind w:left="1267"/>
        <w:jc w:val="both"/>
        <w:rPr>
          <w:sz w:val="8"/>
          <w:lang w:val="es-ES_tradnl"/>
        </w:rPr>
      </w:pPr>
    </w:p>
    <w:p w:rsidR="005938DD" w:rsidRPr="00ED100E" w:rsidRDefault="005938DD" w:rsidP="005938DD">
      <w:pPr>
        <w:pStyle w:val="SingleTxt"/>
        <w:spacing w:line="240" w:lineRule="auto"/>
        <w:jc w:val="right"/>
        <w:rPr>
          <w:i/>
          <w:iCs/>
          <w:lang w:val="es-ES_tradnl"/>
        </w:rPr>
      </w:pPr>
      <w:r w:rsidRPr="00ED100E">
        <w:rPr>
          <w:i/>
          <w:iCs/>
          <w:lang w:val="es-ES_tradnl"/>
        </w:rPr>
        <w:t>32</w:t>
      </w:r>
      <w:r w:rsidRPr="00ED100E">
        <w:rPr>
          <w:i/>
          <w:iCs/>
          <w:vertAlign w:val="superscript"/>
          <w:lang w:val="es-ES_tradnl"/>
        </w:rPr>
        <w:t>a</w:t>
      </w:r>
      <w:r w:rsidRPr="00ED100E">
        <w:rPr>
          <w:i/>
          <w:iCs/>
          <w:lang w:val="es-ES_tradnl"/>
        </w:rPr>
        <w:t> sesión plenaria</w:t>
      </w:r>
      <w:r w:rsidRPr="00ED100E">
        <w:rPr>
          <w:i/>
          <w:iCs/>
          <w:lang w:val="es-ES_tradnl"/>
        </w:rPr>
        <w:br/>
        <w:t>8 de junio de 2015</w:t>
      </w:r>
    </w:p>
    <w:p w:rsidR="005938DD" w:rsidRPr="00ED100E" w:rsidRDefault="005938DD" w:rsidP="005938DD">
      <w:pPr>
        <w:pStyle w:val="SingleTxt"/>
        <w:rPr>
          <w:i/>
          <w:iCs/>
          <w:lang w:val="es-ES_tradnl"/>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8890" t="12065" r="1016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dQ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" strokeweight=".25pt"/>
            </w:pict>
          </mc:Fallback>
        </mc:AlternateContent>
      </w:r>
    </w:p>
    <w:p w:rsidR="003E0194" w:rsidRDefault="003E0194">
      <w:pPr>
        <w:suppressAutoHyphens w:val="0"/>
        <w:spacing w:line="240" w:lineRule="auto"/>
        <w:rPr>
          <w:sz w:val="28"/>
        </w:rPr>
      </w:pPr>
    </w:p>
    <w:sectPr w:rsidR="003E0194" w:rsidSect="0049771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6" w:rsidRDefault="00ED1986"/>
  </w:endnote>
  <w:endnote w:type="continuationSeparator" w:id="0">
    <w:p w:rsidR="00ED1986" w:rsidRDefault="00ED1986"/>
  </w:endnote>
  <w:endnote w:type="continuationNotice" w:id="1">
    <w:p w:rsidR="00ED1986" w:rsidRDefault="00ED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91604E">
      <w:rPr>
        <w:b/>
        <w:noProof/>
        <w:sz w:val="18"/>
      </w:rPr>
      <w:t>8</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91604E">
      <w:rPr>
        <w:b/>
        <w:noProof/>
        <w:sz w:val="18"/>
      </w:rPr>
      <w:t>7</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C64534">
    <w:pPr>
      <w:pStyle w:val="Footer"/>
      <w:rPr>
        <w:sz w:val="20"/>
      </w:rPr>
    </w:pPr>
    <w:r>
      <w:rPr>
        <w:noProof/>
        <w:lang w:eastAsia="en-GB"/>
      </w:rPr>
      <w:drawing>
        <wp:anchor distT="0" distB="0" distL="114300" distR="114300" simplePos="0" relativeHeight="251657728" behindDoc="0" locked="1" layoutInCell="1" allowOverlap="1" wp14:anchorId="2683690E" wp14:editId="1A621023">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6" w:rsidRPr="000B175B" w:rsidRDefault="00ED1986" w:rsidP="000B175B">
      <w:pPr>
        <w:tabs>
          <w:tab w:val="right" w:pos="2155"/>
        </w:tabs>
        <w:spacing w:after="80"/>
        <w:ind w:left="680"/>
        <w:rPr>
          <w:u w:val="single"/>
        </w:rPr>
      </w:pPr>
      <w:r>
        <w:rPr>
          <w:u w:val="single"/>
        </w:rPr>
        <w:tab/>
      </w:r>
    </w:p>
  </w:footnote>
  <w:footnote w:type="continuationSeparator" w:id="0">
    <w:p w:rsidR="00ED1986" w:rsidRPr="00FC68B7" w:rsidRDefault="00ED1986" w:rsidP="00FC68B7">
      <w:pPr>
        <w:tabs>
          <w:tab w:val="left" w:pos="2155"/>
        </w:tabs>
        <w:spacing w:after="80"/>
        <w:ind w:left="680"/>
        <w:rPr>
          <w:u w:val="single"/>
        </w:rPr>
      </w:pPr>
      <w:r>
        <w:rPr>
          <w:u w:val="single"/>
        </w:rPr>
        <w:tab/>
      </w:r>
    </w:p>
  </w:footnote>
  <w:footnote w:type="continuationNotice" w:id="1">
    <w:p w:rsidR="00ED1986" w:rsidRDefault="00ED1986"/>
  </w:footnote>
  <w:footnote w:id="2">
    <w:p w:rsidR="005938DD" w:rsidRPr="00813DA9" w:rsidRDefault="005938DD" w:rsidP="005938DD">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rPr>
          <w:lang w:val="en-US"/>
        </w:rPr>
      </w:pPr>
      <w:r w:rsidRPr="00813DA9">
        <w:rPr>
          <w:rStyle w:val="FootnoteReference"/>
        </w:rPr>
        <w:footnoteRef/>
      </w:r>
      <w:r>
        <w:t> </w:t>
      </w:r>
      <w:hyperlink r:id="rId1" w:history="1">
        <w:proofErr w:type="gramStart"/>
        <w:r w:rsidRPr="00813DA9">
          <w:rPr>
            <w:rStyle w:val="Hyperlink"/>
            <w:lang w:val="en-US"/>
          </w:rPr>
          <w:t>E/2015/66</w:t>
        </w:r>
      </w:hyperlink>
      <w:r w:rsidRPr="00813DA9">
        <w:rPr>
          <w:lang w:val="en-US"/>
        </w:rPr>
        <w:t>.</w:t>
      </w:r>
      <w:proofErr w:type="gramEnd"/>
    </w:p>
  </w:footnote>
  <w:footnote w:id="3">
    <w:p w:rsidR="005938DD" w:rsidRPr="00813DA9" w:rsidRDefault="005938DD" w:rsidP="005938DD">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rPr>
          <w:lang w:val="en-US"/>
        </w:rPr>
      </w:pPr>
      <w:r w:rsidRPr="00813DA9">
        <w:rPr>
          <w:rStyle w:val="FootnoteReference"/>
        </w:rPr>
        <w:footnoteRef/>
      </w:r>
      <w:r>
        <w:rPr>
          <w:lang w:val="en-US"/>
        </w:rPr>
        <w:t> </w:t>
      </w:r>
      <w:proofErr w:type="spellStart"/>
      <w:proofErr w:type="gramStart"/>
      <w:r w:rsidRPr="00813DA9">
        <w:rPr>
          <w:lang w:val="en-US"/>
        </w:rPr>
        <w:t>Véase</w:t>
      </w:r>
      <w:proofErr w:type="spellEnd"/>
      <w:r w:rsidRPr="00813DA9">
        <w:rPr>
          <w:lang w:val="en-US"/>
        </w:rPr>
        <w:t xml:space="preserve"> </w:t>
      </w:r>
      <w:hyperlink r:id="rId2" w:history="1">
        <w:r w:rsidRPr="00813DA9">
          <w:rPr>
            <w:rStyle w:val="Hyperlink"/>
            <w:lang w:val="en-US"/>
          </w:rPr>
          <w:t>ST/SG/AC.10/42/Add.1</w:t>
        </w:r>
      </w:hyperlink>
      <w:r w:rsidRPr="00813DA9">
        <w:rPr>
          <w:lang w:val="en-US"/>
        </w:rPr>
        <w:t xml:space="preserve"> y 2.</w:t>
      </w:r>
      <w:proofErr w:type="gramEnd"/>
    </w:p>
  </w:footnote>
  <w:footnote w:id="4">
    <w:p w:rsidR="005938DD" w:rsidRPr="00813DA9" w:rsidRDefault="005938DD" w:rsidP="005938DD">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13DA9">
        <w:rPr>
          <w:rStyle w:val="FootnoteReference"/>
        </w:rPr>
        <w:footnoteRef/>
      </w:r>
      <w:r>
        <w:rPr>
          <w:i/>
        </w:rPr>
        <w:t> </w:t>
      </w:r>
      <w:proofErr w:type="spellStart"/>
      <w:r w:rsidRPr="00813DA9">
        <w:rPr>
          <w:i/>
        </w:rPr>
        <w:t>Informe</w:t>
      </w:r>
      <w:proofErr w:type="spellEnd"/>
      <w:r w:rsidRPr="00813DA9">
        <w:rPr>
          <w:i/>
        </w:rPr>
        <w:t xml:space="preserve"> de la </w:t>
      </w:r>
      <w:proofErr w:type="spellStart"/>
      <w:r w:rsidRPr="00813DA9">
        <w:rPr>
          <w:i/>
        </w:rPr>
        <w:t>Cumbre</w:t>
      </w:r>
      <w:proofErr w:type="spellEnd"/>
      <w:r w:rsidRPr="00813DA9">
        <w:rPr>
          <w:i/>
        </w:rPr>
        <w:t xml:space="preserve"> Mundial </w:t>
      </w:r>
      <w:proofErr w:type="spellStart"/>
      <w:r w:rsidRPr="00813DA9">
        <w:rPr>
          <w:i/>
        </w:rPr>
        <w:t>sobre</w:t>
      </w:r>
      <w:proofErr w:type="spellEnd"/>
      <w:r w:rsidRPr="00813DA9">
        <w:rPr>
          <w:i/>
        </w:rPr>
        <w:t xml:space="preserve"> el </w:t>
      </w:r>
      <w:proofErr w:type="spellStart"/>
      <w:r w:rsidRPr="00813DA9">
        <w:rPr>
          <w:i/>
        </w:rPr>
        <w:t>Desarrollo</w:t>
      </w:r>
      <w:proofErr w:type="spellEnd"/>
      <w:r w:rsidRPr="00813DA9">
        <w:rPr>
          <w:i/>
        </w:rPr>
        <w:t xml:space="preserve"> </w:t>
      </w:r>
      <w:proofErr w:type="spellStart"/>
      <w:r w:rsidRPr="00813DA9">
        <w:rPr>
          <w:i/>
        </w:rPr>
        <w:t>Sostenible</w:t>
      </w:r>
      <w:proofErr w:type="spellEnd"/>
      <w:r w:rsidRPr="00813DA9">
        <w:rPr>
          <w:i/>
        </w:rPr>
        <w:t xml:space="preserve">, </w:t>
      </w:r>
      <w:proofErr w:type="spellStart"/>
      <w:r w:rsidRPr="00813DA9">
        <w:rPr>
          <w:i/>
        </w:rPr>
        <w:t>Johannesburgo</w:t>
      </w:r>
      <w:proofErr w:type="spellEnd"/>
      <w:r w:rsidRPr="00813DA9">
        <w:rPr>
          <w:i/>
        </w:rPr>
        <w:t xml:space="preserve"> (</w:t>
      </w:r>
      <w:proofErr w:type="spellStart"/>
      <w:r w:rsidRPr="00813DA9">
        <w:rPr>
          <w:i/>
        </w:rPr>
        <w:t>Sudáfrica</w:t>
      </w:r>
      <w:proofErr w:type="spellEnd"/>
      <w:r w:rsidRPr="00813DA9">
        <w:rPr>
          <w:i/>
        </w:rPr>
        <w:t xml:space="preserve">), 26 de </w:t>
      </w:r>
      <w:proofErr w:type="spellStart"/>
      <w:r w:rsidRPr="00813DA9">
        <w:rPr>
          <w:i/>
        </w:rPr>
        <w:t>agosto</w:t>
      </w:r>
      <w:proofErr w:type="spellEnd"/>
      <w:r w:rsidRPr="00813DA9">
        <w:rPr>
          <w:i/>
        </w:rPr>
        <w:t xml:space="preserve"> a 4 de </w:t>
      </w:r>
      <w:proofErr w:type="spellStart"/>
      <w:r w:rsidRPr="00813DA9">
        <w:rPr>
          <w:i/>
        </w:rPr>
        <w:t>septiembre</w:t>
      </w:r>
      <w:proofErr w:type="spellEnd"/>
      <w:r w:rsidRPr="00813DA9">
        <w:rPr>
          <w:i/>
        </w:rPr>
        <w:t xml:space="preserve"> de 2002</w:t>
      </w:r>
      <w:r w:rsidRPr="00813DA9">
        <w:t xml:space="preserve"> (</w:t>
      </w:r>
      <w:proofErr w:type="spellStart"/>
      <w:r w:rsidRPr="00813DA9">
        <w:t>publicación</w:t>
      </w:r>
      <w:proofErr w:type="spellEnd"/>
      <w:r w:rsidRPr="00813DA9">
        <w:t xml:space="preserve"> de </w:t>
      </w:r>
      <w:proofErr w:type="spellStart"/>
      <w:r w:rsidRPr="00813DA9">
        <w:t>las</w:t>
      </w:r>
      <w:proofErr w:type="spellEnd"/>
      <w:r w:rsidRPr="00813DA9">
        <w:t xml:space="preserve"> </w:t>
      </w:r>
      <w:proofErr w:type="spellStart"/>
      <w:r w:rsidRPr="00813DA9">
        <w:t>Naciones</w:t>
      </w:r>
      <w:proofErr w:type="spellEnd"/>
      <w:r w:rsidRPr="00813DA9">
        <w:t xml:space="preserve"> </w:t>
      </w:r>
      <w:proofErr w:type="spellStart"/>
      <w:r w:rsidRPr="00813DA9">
        <w:t>Unidas</w:t>
      </w:r>
      <w:proofErr w:type="spellEnd"/>
      <w:r w:rsidRPr="00813DA9">
        <w:t xml:space="preserve">, </w:t>
      </w:r>
      <w:proofErr w:type="spellStart"/>
      <w:r w:rsidRPr="00813DA9">
        <w:t>núm</w:t>
      </w:r>
      <w:proofErr w:type="spellEnd"/>
      <w:r w:rsidRPr="00813DA9">
        <w:t xml:space="preserve">. de </w:t>
      </w:r>
      <w:proofErr w:type="spellStart"/>
      <w:r w:rsidRPr="00813DA9">
        <w:t>venta</w:t>
      </w:r>
      <w:proofErr w:type="spellEnd"/>
      <w:r w:rsidRPr="00813DA9">
        <w:t xml:space="preserve">: S.03.II.A.1 y </w:t>
      </w:r>
      <w:proofErr w:type="spellStart"/>
      <w:r w:rsidRPr="00813DA9">
        <w:t>correcciones</w:t>
      </w:r>
      <w:proofErr w:type="spellEnd"/>
      <w:r w:rsidRPr="00813DA9">
        <w:t xml:space="preserve">), cap. I, </w:t>
      </w:r>
      <w:proofErr w:type="spellStart"/>
      <w:r w:rsidRPr="00813DA9">
        <w:t>resolución</w:t>
      </w:r>
      <w:proofErr w:type="spellEnd"/>
      <w:r w:rsidRPr="00813DA9">
        <w:t xml:space="preserve"> 2, </w:t>
      </w:r>
      <w:proofErr w:type="spellStart"/>
      <w:r w:rsidRPr="00813DA9">
        <w:t>anexo</w:t>
      </w:r>
      <w:proofErr w:type="spellEnd"/>
      <w:r w:rsidRPr="00813DA9">
        <w:t>.</w:t>
      </w:r>
    </w:p>
  </w:footnote>
  <w:footnote w:id="5">
    <w:p w:rsidR="005938DD" w:rsidRPr="00813DA9" w:rsidRDefault="005938DD" w:rsidP="005938DD">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13DA9">
        <w:rPr>
          <w:rStyle w:val="FootnoteReference"/>
        </w:rPr>
        <w:footnoteRef/>
      </w:r>
      <w:r>
        <w:rPr>
          <w:i/>
        </w:rPr>
        <w:t> </w:t>
      </w:r>
      <w:proofErr w:type="spellStart"/>
      <w:r w:rsidRPr="00813DA9">
        <w:rPr>
          <w:i/>
        </w:rPr>
        <w:t>Informe</w:t>
      </w:r>
      <w:proofErr w:type="spellEnd"/>
      <w:r w:rsidRPr="00813DA9">
        <w:rPr>
          <w:i/>
        </w:rPr>
        <w:t xml:space="preserve"> de la </w:t>
      </w:r>
      <w:proofErr w:type="spellStart"/>
      <w:r w:rsidRPr="00813DA9">
        <w:rPr>
          <w:i/>
        </w:rPr>
        <w:t>Conferencia</w:t>
      </w:r>
      <w:proofErr w:type="spellEnd"/>
      <w:r w:rsidRPr="00813DA9">
        <w:rPr>
          <w:i/>
        </w:rPr>
        <w:t xml:space="preserve"> de </w:t>
      </w:r>
      <w:proofErr w:type="spellStart"/>
      <w:r w:rsidRPr="00813DA9">
        <w:rPr>
          <w:i/>
        </w:rPr>
        <w:t>las</w:t>
      </w:r>
      <w:proofErr w:type="spellEnd"/>
      <w:r w:rsidRPr="00813DA9">
        <w:rPr>
          <w:i/>
        </w:rPr>
        <w:t xml:space="preserve"> </w:t>
      </w:r>
      <w:proofErr w:type="spellStart"/>
      <w:r w:rsidRPr="00813DA9">
        <w:rPr>
          <w:i/>
        </w:rPr>
        <w:t>Naciones</w:t>
      </w:r>
      <w:proofErr w:type="spellEnd"/>
      <w:r w:rsidRPr="00813DA9">
        <w:rPr>
          <w:i/>
        </w:rPr>
        <w:t xml:space="preserve"> </w:t>
      </w:r>
      <w:proofErr w:type="spellStart"/>
      <w:r w:rsidRPr="00813DA9">
        <w:rPr>
          <w:i/>
        </w:rPr>
        <w:t>Unidas</w:t>
      </w:r>
      <w:proofErr w:type="spellEnd"/>
      <w:r w:rsidRPr="00813DA9">
        <w:rPr>
          <w:i/>
        </w:rPr>
        <w:t xml:space="preserve"> </w:t>
      </w:r>
      <w:proofErr w:type="spellStart"/>
      <w:r w:rsidRPr="00813DA9">
        <w:rPr>
          <w:i/>
        </w:rPr>
        <w:t>sobre</w:t>
      </w:r>
      <w:proofErr w:type="spellEnd"/>
      <w:r w:rsidRPr="00813DA9">
        <w:rPr>
          <w:i/>
        </w:rPr>
        <w:t xml:space="preserve"> el Medio </w:t>
      </w:r>
      <w:proofErr w:type="spellStart"/>
      <w:r w:rsidRPr="00813DA9">
        <w:rPr>
          <w:i/>
        </w:rPr>
        <w:t>Ambiente</w:t>
      </w:r>
      <w:proofErr w:type="spellEnd"/>
      <w:r w:rsidRPr="00813DA9">
        <w:rPr>
          <w:i/>
        </w:rPr>
        <w:t xml:space="preserve"> y el </w:t>
      </w:r>
      <w:proofErr w:type="spellStart"/>
      <w:r w:rsidRPr="00813DA9">
        <w:rPr>
          <w:i/>
        </w:rPr>
        <w:t>Desarrollo</w:t>
      </w:r>
      <w:proofErr w:type="spellEnd"/>
      <w:r w:rsidRPr="00813DA9">
        <w:rPr>
          <w:i/>
        </w:rPr>
        <w:t xml:space="preserve">, Río de Janeiro, 3 a 14 de </w:t>
      </w:r>
      <w:proofErr w:type="spellStart"/>
      <w:r w:rsidRPr="00813DA9">
        <w:rPr>
          <w:i/>
        </w:rPr>
        <w:t>junio</w:t>
      </w:r>
      <w:proofErr w:type="spellEnd"/>
      <w:r w:rsidRPr="00813DA9">
        <w:rPr>
          <w:i/>
        </w:rPr>
        <w:t xml:space="preserve"> de 1992,</w:t>
      </w:r>
      <w:r w:rsidRPr="00813DA9">
        <w:t xml:space="preserve"> vol. I,</w:t>
      </w:r>
      <w:r w:rsidRPr="00813DA9">
        <w:rPr>
          <w:i/>
        </w:rPr>
        <w:t xml:space="preserve"> </w:t>
      </w:r>
      <w:proofErr w:type="spellStart"/>
      <w:r w:rsidRPr="00813DA9">
        <w:rPr>
          <w:i/>
        </w:rPr>
        <w:t>Resoluciones</w:t>
      </w:r>
      <w:proofErr w:type="spellEnd"/>
      <w:r w:rsidRPr="00813DA9">
        <w:rPr>
          <w:i/>
        </w:rPr>
        <w:t xml:space="preserve"> </w:t>
      </w:r>
      <w:proofErr w:type="spellStart"/>
      <w:r w:rsidRPr="00813DA9">
        <w:rPr>
          <w:i/>
        </w:rPr>
        <w:t>aprobadas</w:t>
      </w:r>
      <w:proofErr w:type="spellEnd"/>
      <w:r w:rsidRPr="00813DA9">
        <w:rPr>
          <w:i/>
        </w:rPr>
        <w:t xml:space="preserve"> </w:t>
      </w:r>
      <w:proofErr w:type="spellStart"/>
      <w:r w:rsidRPr="00813DA9">
        <w:rPr>
          <w:i/>
        </w:rPr>
        <w:t>por</w:t>
      </w:r>
      <w:proofErr w:type="spellEnd"/>
      <w:r w:rsidRPr="00813DA9">
        <w:rPr>
          <w:i/>
        </w:rPr>
        <w:t xml:space="preserve"> la </w:t>
      </w:r>
      <w:proofErr w:type="spellStart"/>
      <w:r w:rsidRPr="00813DA9">
        <w:rPr>
          <w:i/>
        </w:rPr>
        <w:t>Conferencia</w:t>
      </w:r>
      <w:proofErr w:type="spellEnd"/>
      <w:r w:rsidRPr="00813DA9">
        <w:t xml:space="preserve"> (</w:t>
      </w:r>
      <w:proofErr w:type="spellStart"/>
      <w:r w:rsidRPr="00813DA9">
        <w:t>publicación</w:t>
      </w:r>
      <w:proofErr w:type="spellEnd"/>
      <w:r w:rsidRPr="00813DA9">
        <w:t xml:space="preserve"> de </w:t>
      </w:r>
      <w:proofErr w:type="spellStart"/>
      <w:r w:rsidRPr="00813DA9">
        <w:t>las</w:t>
      </w:r>
      <w:proofErr w:type="spellEnd"/>
      <w:r w:rsidRPr="00813DA9">
        <w:t xml:space="preserve"> </w:t>
      </w:r>
      <w:proofErr w:type="spellStart"/>
      <w:r w:rsidRPr="00813DA9">
        <w:t>Naciones</w:t>
      </w:r>
      <w:proofErr w:type="spellEnd"/>
      <w:r w:rsidRPr="00813DA9">
        <w:t xml:space="preserve"> </w:t>
      </w:r>
      <w:proofErr w:type="spellStart"/>
      <w:r w:rsidRPr="00813DA9">
        <w:t>Unidas</w:t>
      </w:r>
      <w:proofErr w:type="spellEnd"/>
      <w:r w:rsidRPr="00813DA9">
        <w:t xml:space="preserve">, </w:t>
      </w:r>
      <w:proofErr w:type="spellStart"/>
      <w:r w:rsidRPr="00813DA9">
        <w:t>núm</w:t>
      </w:r>
      <w:proofErr w:type="spellEnd"/>
      <w:r w:rsidRPr="00813DA9">
        <w:t xml:space="preserve">. de </w:t>
      </w:r>
      <w:proofErr w:type="spellStart"/>
      <w:r w:rsidRPr="00813DA9">
        <w:t>venta</w:t>
      </w:r>
      <w:proofErr w:type="spellEnd"/>
      <w:r w:rsidRPr="00813DA9">
        <w:t xml:space="preserve">: S.93.I.8 y </w:t>
      </w:r>
      <w:proofErr w:type="spellStart"/>
      <w:r w:rsidRPr="00813DA9">
        <w:t>corrección</w:t>
      </w:r>
      <w:proofErr w:type="spellEnd"/>
      <w:r w:rsidRPr="00813DA9">
        <w:t xml:space="preserve">), </w:t>
      </w:r>
      <w:proofErr w:type="spellStart"/>
      <w:r w:rsidRPr="00813DA9">
        <w:t>resolución</w:t>
      </w:r>
      <w:proofErr w:type="spellEnd"/>
      <w:r w:rsidRPr="00813DA9">
        <w:t xml:space="preserve"> 1, </w:t>
      </w:r>
      <w:proofErr w:type="spellStart"/>
      <w:r w:rsidRPr="00813DA9">
        <w:t>anexo</w:t>
      </w:r>
      <w:proofErr w:type="spellEnd"/>
      <w:r w:rsidRPr="00813DA9">
        <w:t xml:space="preserve"> II.</w:t>
      </w:r>
    </w:p>
  </w:footnote>
  <w:footnote w:id="6">
    <w:p w:rsidR="005938DD" w:rsidRPr="00813DA9" w:rsidRDefault="005938DD" w:rsidP="005938DD">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13DA9">
        <w:rPr>
          <w:rStyle w:val="FootnoteReference"/>
        </w:rPr>
        <w:footnoteRef/>
      </w:r>
      <w:r>
        <w:t> </w:t>
      </w:r>
      <w:r w:rsidRPr="00813DA9">
        <w:t>ST/SG/AC.10/30/Rev.5.</w:t>
      </w:r>
    </w:p>
  </w:footnote>
  <w:footnote w:id="7">
    <w:p w:rsidR="005938DD" w:rsidRPr="00813DA9" w:rsidRDefault="005938DD" w:rsidP="005938DD">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rPr>
          <w:lang w:val="en-US"/>
        </w:rPr>
      </w:pPr>
      <w:r w:rsidRPr="00813DA9">
        <w:rPr>
          <w:rStyle w:val="FootnoteReference"/>
        </w:rPr>
        <w:footnoteRef/>
      </w:r>
      <w:r>
        <w:rPr>
          <w:lang w:val="en-US"/>
        </w:rPr>
        <w:t> </w:t>
      </w:r>
      <w:hyperlink r:id="rId3" w:history="1">
        <w:r w:rsidRPr="00813DA9">
          <w:rPr>
            <w:rStyle w:val="Hyperlink"/>
            <w:lang w:val="en-US"/>
          </w:rPr>
          <w:t>ST/SG/AC.10/42/Add.3</w:t>
        </w:r>
      </w:hyperlink>
      <w:r w:rsidRPr="00813DA9">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6009F" w:rsidRDefault="00BD0F01">
    <w:pPr>
      <w:pStyle w:val="Header"/>
      <w:rPr>
        <w:lang w:val="fr-BE"/>
      </w:rPr>
    </w:pPr>
    <w:r w:rsidRPr="0016009F">
      <w:rPr>
        <w:lang w:val="fr-BE"/>
      </w:rPr>
      <w:t>UN/SCETDG/4</w:t>
    </w:r>
    <w:r>
      <w:rPr>
        <w:lang w:val="fr-BE"/>
      </w:rPr>
      <w:t>8</w:t>
    </w:r>
    <w:r w:rsidRPr="0016009F">
      <w:rPr>
        <w:lang w:val="fr-BE"/>
      </w:rPr>
      <w:t>/</w:t>
    </w:r>
    <w:r w:rsidR="002C1B14">
      <w:rPr>
        <w:lang w:val="fr-BE"/>
      </w:rPr>
      <w:t>INF.</w:t>
    </w:r>
    <w:r w:rsidR="00FB40A1">
      <w:rPr>
        <w:lang w:val="fr-BE"/>
      </w:rPr>
      <w:t>21</w:t>
    </w:r>
  </w:p>
  <w:p w:rsidR="00BD0F01" w:rsidRPr="0016009F" w:rsidRDefault="00BD0F01">
    <w:pPr>
      <w:pStyle w:val="Header"/>
      <w:rPr>
        <w:lang w:val="fr-BE"/>
      </w:rPr>
    </w:pPr>
    <w:r>
      <w:rPr>
        <w:lang w:val="fr-BE"/>
      </w:rPr>
      <w:t>UN/SCEGHS/30</w:t>
    </w:r>
    <w:r w:rsidRPr="0016009F">
      <w:rPr>
        <w:lang w:val="fr-BE"/>
      </w:rPr>
      <w:t>/</w:t>
    </w:r>
    <w:r w:rsidR="002C1B14">
      <w:rPr>
        <w:lang w:val="fr-BE"/>
      </w:rPr>
      <w:t>INF.</w:t>
    </w:r>
    <w:r w:rsidR="00FB40A1">
      <w:rPr>
        <w:lang w:val="fr-BE"/>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F0113" w:rsidRDefault="00BD0F01" w:rsidP="000216CC">
    <w:pPr>
      <w:pStyle w:val="Header"/>
      <w:jc w:val="right"/>
      <w:rPr>
        <w:lang w:val="fr-CH"/>
      </w:rPr>
    </w:pPr>
    <w:r w:rsidRPr="001F0113">
      <w:rPr>
        <w:lang w:val="fr-CH"/>
      </w:rPr>
      <w:t>UN/SCETDG/4</w:t>
    </w:r>
    <w:r>
      <w:rPr>
        <w:lang w:val="fr-CH"/>
      </w:rPr>
      <w:t>8</w:t>
    </w:r>
    <w:r w:rsidRPr="001F0113">
      <w:rPr>
        <w:lang w:val="fr-CH"/>
      </w:rPr>
      <w:t>/INF.</w:t>
    </w:r>
    <w:r w:rsidR="00FB40A1">
      <w:rPr>
        <w:lang w:val="fr-CH"/>
      </w:rPr>
      <w:t>21</w:t>
    </w:r>
    <w:r w:rsidRPr="001F0113">
      <w:rPr>
        <w:lang w:val="fr-CH"/>
      </w:rPr>
      <w:br/>
      <w:t>UN/SCEGHS/</w:t>
    </w:r>
    <w:r>
      <w:rPr>
        <w:lang w:val="fr-CH"/>
      </w:rPr>
      <w:t>30</w:t>
    </w:r>
    <w:r w:rsidRPr="001F0113">
      <w:rPr>
        <w:lang w:val="fr-CH"/>
      </w:rPr>
      <w:t>/INF.</w:t>
    </w:r>
    <w:r w:rsidR="00FB40A1">
      <w:rPr>
        <w:lang w:val="fr-CH"/>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Default="00BD0F01" w:rsidP="00796F36">
    <w:pPr>
      <w:pStyle w:val="Header"/>
      <w:pBdr>
        <w:bottom w:val="none" w:sz="0" w:space="0" w:color="auto"/>
      </w:pBdr>
    </w:pPr>
  </w:p>
  <w:p w:rsidR="00BD0F01" w:rsidRDefault="00BD0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94146"/>
    <w:multiLevelType w:val="hybridMultilevel"/>
    <w:tmpl w:val="B5DE7E56"/>
    <w:lvl w:ilvl="0" w:tplc="94E0F3F2">
      <w:start w:val="2"/>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B01C5"/>
    <w:multiLevelType w:val="hybridMultilevel"/>
    <w:tmpl w:val="252ED8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1F2A3ED4"/>
    <w:multiLevelType w:val="hybridMultilevel"/>
    <w:tmpl w:val="38FC83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52C1055"/>
    <w:multiLevelType w:val="hybridMultilevel"/>
    <w:tmpl w:val="4148B4CE"/>
    <w:lvl w:ilvl="0" w:tplc="7ACC73FE">
      <w:start w:val="4"/>
      <w:numFmt w:val="bullet"/>
      <w:lvlText w:val="–"/>
      <w:lvlJc w:val="left"/>
      <w:pPr>
        <w:ind w:left="2061" w:hanging="360"/>
      </w:pPr>
      <w:rPr>
        <w:rFonts w:ascii="Times New Roman" w:eastAsia="MS Mincho"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478FF"/>
    <w:multiLevelType w:val="hybridMultilevel"/>
    <w:tmpl w:val="666EE9CC"/>
    <w:lvl w:ilvl="0" w:tplc="C1626BF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8"/>
  </w:num>
  <w:num w:numId="17">
    <w:abstractNumId w:val="10"/>
  </w:num>
  <w:num w:numId="18">
    <w:abstractNumId w:val="14"/>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it-IT" w:vendorID="64" w:dllVersion="131078" w:nlCheck="1" w:checkStyle="0"/>
  <w:activeWritingStyle w:appName="MSWord" w:lang="fr-FR" w:vendorID="64" w:dllVersion="131078" w:nlCheck="1" w:checkStyle="1"/>
  <w:activeWritingStyle w:appName="MSWord" w:lang="fr-CA"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150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28"/>
    <w:rsid w:val="000019B8"/>
    <w:rsid w:val="00004AF5"/>
    <w:rsid w:val="00006FAE"/>
    <w:rsid w:val="000133C5"/>
    <w:rsid w:val="00017D24"/>
    <w:rsid w:val="000216CC"/>
    <w:rsid w:val="00025A5A"/>
    <w:rsid w:val="00025CC7"/>
    <w:rsid w:val="00025D4C"/>
    <w:rsid w:val="00031B2C"/>
    <w:rsid w:val="00032900"/>
    <w:rsid w:val="00041DF5"/>
    <w:rsid w:val="00043180"/>
    <w:rsid w:val="000504CE"/>
    <w:rsid w:val="00050922"/>
    <w:rsid w:val="00050F6B"/>
    <w:rsid w:val="00051B26"/>
    <w:rsid w:val="00052F5B"/>
    <w:rsid w:val="00053492"/>
    <w:rsid w:val="0005710C"/>
    <w:rsid w:val="00062EC0"/>
    <w:rsid w:val="00064402"/>
    <w:rsid w:val="00066172"/>
    <w:rsid w:val="00066DDE"/>
    <w:rsid w:val="00067E6D"/>
    <w:rsid w:val="00072C8C"/>
    <w:rsid w:val="00073129"/>
    <w:rsid w:val="00073EB2"/>
    <w:rsid w:val="000750E0"/>
    <w:rsid w:val="00075F99"/>
    <w:rsid w:val="00076A0A"/>
    <w:rsid w:val="00082C0C"/>
    <w:rsid w:val="00082CE1"/>
    <w:rsid w:val="00083598"/>
    <w:rsid w:val="00084632"/>
    <w:rsid w:val="00091046"/>
    <w:rsid w:val="00091419"/>
    <w:rsid w:val="00091CB3"/>
    <w:rsid w:val="000931C0"/>
    <w:rsid w:val="00095433"/>
    <w:rsid w:val="000968A3"/>
    <w:rsid w:val="000A1500"/>
    <w:rsid w:val="000A2236"/>
    <w:rsid w:val="000A2F6B"/>
    <w:rsid w:val="000A35F2"/>
    <w:rsid w:val="000A3A48"/>
    <w:rsid w:val="000A4C38"/>
    <w:rsid w:val="000A7BE7"/>
    <w:rsid w:val="000B175B"/>
    <w:rsid w:val="000B1E76"/>
    <w:rsid w:val="000B3A0F"/>
    <w:rsid w:val="000B3A70"/>
    <w:rsid w:val="000B4919"/>
    <w:rsid w:val="000B6FFE"/>
    <w:rsid w:val="000B7AF2"/>
    <w:rsid w:val="000C0AA1"/>
    <w:rsid w:val="000C1ED8"/>
    <w:rsid w:val="000C377F"/>
    <w:rsid w:val="000C4A5C"/>
    <w:rsid w:val="000C5D4B"/>
    <w:rsid w:val="000C717F"/>
    <w:rsid w:val="000C7C61"/>
    <w:rsid w:val="000D0B8F"/>
    <w:rsid w:val="000D0CE1"/>
    <w:rsid w:val="000D3110"/>
    <w:rsid w:val="000D481F"/>
    <w:rsid w:val="000D48B3"/>
    <w:rsid w:val="000D5F41"/>
    <w:rsid w:val="000D66CA"/>
    <w:rsid w:val="000D6D97"/>
    <w:rsid w:val="000D7830"/>
    <w:rsid w:val="000E0415"/>
    <w:rsid w:val="000E0FF2"/>
    <w:rsid w:val="000E45DF"/>
    <w:rsid w:val="000F2A0D"/>
    <w:rsid w:val="000F342D"/>
    <w:rsid w:val="000F52D6"/>
    <w:rsid w:val="000F6A20"/>
    <w:rsid w:val="001022E7"/>
    <w:rsid w:val="0010403A"/>
    <w:rsid w:val="0010461A"/>
    <w:rsid w:val="00107DEB"/>
    <w:rsid w:val="001109F4"/>
    <w:rsid w:val="0011390A"/>
    <w:rsid w:val="00115303"/>
    <w:rsid w:val="001156DC"/>
    <w:rsid w:val="0011685A"/>
    <w:rsid w:val="00116B6D"/>
    <w:rsid w:val="00117787"/>
    <w:rsid w:val="00117D0D"/>
    <w:rsid w:val="00121EB7"/>
    <w:rsid w:val="001310A8"/>
    <w:rsid w:val="00131B10"/>
    <w:rsid w:val="00131D42"/>
    <w:rsid w:val="0013329E"/>
    <w:rsid w:val="00133C50"/>
    <w:rsid w:val="001366A7"/>
    <w:rsid w:val="001404D2"/>
    <w:rsid w:val="001406F4"/>
    <w:rsid w:val="0015083C"/>
    <w:rsid w:val="00156BC1"/>
    <w:rsid w:val="0016009F"/>
    <w:rsid w:val="0016022D"/>
    <w:rsid w:val="0016127F"/>
    <w:rsid w:val="001633FB"/>
    <w:rsid w:val="00163A1B"/>
    <w:rsid w:val="001649E1"/>
    <w:rsid w:val="00165735"/>
    <w:rsid w:val="0016713E"/>
    <w:rsid w:val="00167786"/>
    <w:rsid w:val="00174A57"/>
    <w:rsid w:val="00181019"/>
    <w:rsid w:val="001823EA"/>
    <w:rsid w:val="00182779"/>
    <w:rsid w:val="001835BF"/>
    <w:rsid w:val="00184B86"/>
    <w:rsid w:val="0018584B"/>
    <w:rsid w:val="001B00AA"/>
    <w:rsid w:val="001B1C9D"/>
    <w:rsid w:val="001B35EE"/>
    <w:rsid w:val="001B4B04"/>
    <w:rsid w:val="001B6B72"/>
    <w:rsid w:val="001C429D"/>
    <w:rsid w:val="001C5C37"/>
    <w:rsid w:val="001C6663"/>
    <w:rsid w:val="001C6BD5"/>
    <w:rsid w:val="001C7895"/>
    <w:rsid w:val="001D26DF"/>
    <w:rsid w:val="001D2FDC"/>
    <w:rsid w:val="001D3123"/>
    <w:rsid w:val="001D35BB"/>
    <w:rsid w:val="001D3A88"/>
    <w:rsid w:val="001D4B2D"/>
    <w:rsid w:val="001D4E70"/>
    <w:rsid w:val="001D63DA"/>
    <w:rsid w:val="001E47E0"/>
    <w:rsid w:val="001E797C"/>
    <w:rsid w:val="001E7F60"/>
    <w:rsid w:val="001F0113"/>
    <w:rsid w:val="001F1227"/>
    <w:rsid w:val="001F6182"/>
    <w:rsid w:val="001F70C3"/>
    <w:rsid w:val="00205B25"/>
    <w:rsid w:val="00207851"/>
    <w:rsid w:val="002079E2"/>
    <w:rsid w:val="00211B12"/>
    <w:rsid w:val="00211E0B"/>
    <w:rsid w:val="00211F09"/>
    <w:rsid w:val="0021481D"/>
    <w:rsid w:val="00215E6D"/>
    <w:rsid w:val="00221589"/>
    <w:rsid w:val="00221AC2"/>
    <w:rsid w:val="00223892"/>
    <w:rsid w:val="00224CD9"/>
    <w:rsid w:val="00226318"/>
    <w:rsid w:val="002275D5"/>
    <w:rsid w:val="002309A7"/>
    <w:rsid w:val="00231360"/>
    <w:rsid w:val="00233317"/>
    <w:rsid w:val="00234491"/>
    <w:rsid w:val="00234FB3"/>
    <w:rsid w:val="00235381"/>
    <w:rsid w:val="00237785"/>
    <w:rsid w:val="00241178"/>
    <w:rsid w:val="00241466"/>
    <w:rsid w:val="00241C2C"/>
    <w:rsid w:val="002436CF"/>
    <w:rsid w:val="002440E7"/>
    <w:rsid w:val="00247570"/>
    <w:rsid w:val="00251E89"/>
    <w:rsid w:val="00252764"/>
    <w:rsid w:val="00253CEE"/>
    <w:rsid w:val="00255CB7"/>
    <w:rsid w:val="00257C1E"/>
    <w:rsid w:val="00261B71"/>
    <w:rsid w:val="00262056"/>
    <w:rsid w:val="002621F5"/>
    <w:rsid w:val="002666E4"/>
    <w:rsid w:val="00266919"/>
    <w:rsid w:val="002700C6"/>
    <w:rsid w:val="002708B5"/>
    <w:rsid w:val="00271084"/>
    <w:rsid w:val="002725CA"/>
    <w:rsid w:val="00273A92"/>
    <w:rsid w:val="00277896"/>
    <w:rsid w:val="00280EB7"/>
    <w:rsid w:val="002826A7"/>
    <w:rsid w:val="00286149"/>
    <w:rsid w:val="00286448"/>
    <w:rsid w:val="002914A5"/>
    <w:rsid w:val="002934C9"/>
    <w:rsid w:val="002938CD"/>
    <w:rsid w:val="002939DC"/>
    <w:rsid w:val="002969E3"/>
    <w:rsid w:val="002976CF"/>
    <w:rsid w:val="002A0BD2"/>
    <w:rsid w:val="002A173E"/>
    <w:rsid w:val="002A21FE"/>
    <w:rsid w:val="002A30ED"/>
    <w:rsid w:val="002A5B17"/>
    <w:rsid w:val="002B067A"/>
    <w:rsid w:val="002B1514"/>
    <w:rsid w:val="002B1CDA"/>
    <w:rsid w:val="002B2BC6"/>
    <w:rsid w:val="002B5442"/>
    <w:rsid w:val="002B7272"/>
    <w:rsid w:val="002C008A"/>
    <w:rsid w:val="002C0BFA"/>
    <w:rsid w:val="002C1B14"/>
    <w:rsid w:val="002C4E2B"/>
    <w:rsid w:val="002C7F25"/>
    <w:rsid w:val="002D0D10"/>
    <w:rsid w:val="002D5A85"/>
    <w:rsid w:val="002D5C7D"/>
    <w:rsid w:val="002D5CB7"/>
    <w:rsid w:val="002D6285"/>
    <w:rsid w:val="002E0F85"/>
    <w:rsid w:val="002E3252"/>
    <w:rsid w:val="002E35BB"/>
    <w:rsid w:val="002E7F68"/>
    <w:rsid w:val="002F68FD"/>
    <w:rsid w:val="002F73F3"/>
    <w:rsid w:val="00302EE4"/>
    <w:rsid w:val="003107FA"/>
    <w:rsid w:val="00311125"/>
    <w:rsid w:val="003122C9"/>
    <w:rsid w:val="00315D73"/>
    <w:rsid w:val="00316120"/>
    <w:rsid w:val="00316FF9"/>
    <w:rsid w:val="00320FC6"/>
    <w:rsid w:val="00321716"/>
    <w:rsid w:val="003229D8"/>
    <w:rsid w:val="00327D0A"/>
    <w:rsid w:val="00332969"/>
    <w:rsid w:val="003465B2"/>
    <w:rsid w:val="003517C3"/>
    <w:rsid w:val="00355502"/>
    <w:rsid w:val="00356165"/>
    <w:rsid w:val="00356BC7"/>
    <w:rsid w:val="00357A20"/>
    <w:rsid w:val="00362C53"/>
    <w:rsid w:val="00364E66"/>
    <w:rsid w:val="00365C30"/>
    <w:rsid w:val="00366155"/>
    <w:rsid w:val="00372F06"/>
    <w:rsid w:val="003734E1"/>
    <w:rsid w:val="00374D04"/>
    <w:rsid w:val="00377254"/>
    <w:rsid w:val="00377E68"/>
    <w:rsid w:val="003802BD"/>
    <w:rsid w:val="0038193D"/>
    <w:rsid w:val="00385B73"/>
    <w:rsid w:val="003866B1"/>
    <w:rsid w:val="00391647"/>
    <w:rsid w:val="0039277A"/>
    <w:rsid w:val="00396F6A"/>
    <w:rsid w:val="003972E0"/>
    <w:rsid w:val="00397A63"/>
    <w:rsid w:val="003A1B18"/>
    <w:rsid w:val="003A1EC2"/>
    <w:rsid w:val="003A2364"/>
    <w:rsid w:val="003A4549"/>
    <w:rsid w:val="003A47AE"/>
    <w:rsid w:val="003A4F59"/>
    <w:rsid w:val="003A52D7"/>
    <w:rsid w:val="003A5A16"/>
    <w:rsid w:val="003B150B"/>
    <w:rsid w:val="003B5F02"/>
    <w:rsid w:val="003B724B"/>
    <w:rsid w:val="003C0657"/>
    <w:rsid w:val="003C0B6B"/>
    <w:rsid w:val="003C18C9"/>
    <w:rsid w:val="003C22C1"/>
    <w:rsid w:val="003C2CC4"/>
    <w:rsid w:val="003C3986"/>
    <w:rsid w:val="003C655D"/>
    <w:rsid w:val="003D0AB2"/>
    <w:rsid w:val="003D44B4"/>
    <w:rsid w:val="003D4B23"/>
    <w:rsid w:val="003D4C45"/>
    <w:rsid w:val="003D4F79"/>
    <w:rsid w:val="003D57E0"/>
    <w:rsid w:val="003D6EA6"/>
    <w:rsid w:val="003E0194"/>
    <w:rsid w:val="003E04BF"/>
    <w:rsid w:val="003E190B"/>
    <w:rsid w:val="003E42AD"/>
    <w:rsid w:val="003F23A4"/>
    <w:rsid w:val="003F53FB"/>
    <w:rsid w:val="003F55CE"/>
    <w:rsid w:val="003F5B52"/>
    <w:rsid w:val="00400970"/>
    <w:rsid w:val="00403EC6"/>
    <w:rsid w:val="00406CD4"/>
    <w:rsid w:val="00412739"/>
    <w:rsid w:val="004153DA"/>
    <w:rsid w:val="00417ECE"/>
    <w:rsid w:val="00430086"/>
    <w:rsid w:val="00430918"/>
    <w:rsid w:val="00431704"/>
    <w:rsid w:val="004321D6"/>
    <w:rsid w:val="004325CB"/>
    <w:rsid w:val="00434413"/>
    <w:rsid w:val="0043585B"/>
    <w:rsid w:val="00435F25"/>
    <w:rsid w:val="00437F3F"/>
    <w:rsid w:val="004410CF"/>
    <w:rsid w:val="00441DF6"/>
    <w:rsid w:val="00446A10"/>
    <w:rsid w:val="00446DE4"/>
    <w:rsid w:val="004508F0"/>
    <w:rsid w:val="00451BA6"/>
    <w:rsid w:val="00452D10"/>
    <w:rsid w:val="00454036"/>
    <w:rsid w:val="004562AA"/>
    <w:rsid w:val="00460024"/>
    <w:rsid w:val="0046309B"/>
    <w:rsid w:val="0046443A"/>
    <w:rsid w:val="00464BFB"/>
    <w:rsid w:val="004653B3"/>
    <w:rsid w:val="004654C4"/>
    <w:rsid w:val="0046668F"/>
    <w:rsid w:val="0046773D"/>
    <w:rsid w:val="0046788D"/>
    <w:rsid w:val="00471761"/>
    <w:rsid w:val="00475256"/>
    <w:rsid w:val="00475B2C"/>
    <w:rsid w:val="0048304D"/>
    <w:rsid w:val="00484883"/>
    <w:rsid w:val="00484A9B"/>
    <w:rsid w:val="00485892"/>
    <w:rsid w:val="004864AC"/>
    <w:rsid w:val="00487DD6"/>
    <w:rsid w:val="0049203D"/>
    <w:rsid w:val="00492AF9"/>
    <w:rsid w:val="004941E1"/>
    <w:rsid w:val="00494C77"/>
    <w:rsid w:val="00497711"/>
    <w:rsid w:val="004A1DBA"/>
    <w:rsid w:val="004A6149"/>
    <w:rsid w:val="004B2C9D"/>
    <w:rsid w:val="004B2D1E"/>
    <w:rsid w:val="004B5939"/>
    <w:rsid w:val="004B6649"/>
    <w:rsid w:val="004B73D6"/>
    <w:rsid w:val="004C39D0"/>
    <w:rsid w:val="004C4F1A"/>
    <w:rsid w:val="004C6D6D"/>
    <w:rsid w:val="004C7DC3"/>
    <w:rsid w:val="004D3DF9"/>
    <w:rsid w:val="004D6794"/>
    <w:rsid w:val="004D714C"/>
    <w:rsid w:val="004D7333"/>
    <w:rsid w:val="004E0C5D"/>
    <w:rsid w:val="004E26F6"/>
    <w:rsid w:val="004E440F"/>
    <w:rsid w:val="004E7E6F"/>
    <w:rsid w:val="004F1A2A"/>
    <w:rsid w:val="004F2AE3"/>
    <w:rsid w:val="004F4240"/>
    <w:rsid w:val="004F4740"/>
    <w:rsid w:val="004F7540"/>
    <w:rsid w:val="004F77CD"/>
    <w:rsid w:val="005004EE"/>
    <w:rsid w:val="00501526"/>
    <w:rsid w:val="00502FFA"/>
    <w:rsid w:val="005038ED"/>
    <w:rsid w:val="005052F3"/>
    <w:rsid w:val="0050550B"/>
    <w:rsid w:val="00506F70"/>
    <w:rsid w:val="00507CF1"/>
    <w:rsid w:val="00522177"/>
    <w:rsid w:val="00523333"/>
    <w:rsid w:val="00524E3B"/>
    <w:rsid w:val="0052512E"/>
    <w:rsid w:val="00527622"/>
    <w:rsid w:val="00527910"/>
    <w:rsid w:val="0054008E"/>
    <w:rsid w:val="005420F2"/>
    <w:rsid w:val="00542505"/>
    <w:rsid w:val="00542843"/>
    <w:rsid w:val="00542FC5"/>
    <w:rsid w:val="005472EC"/>
    <w:rsid w:val="005475D4"/>
    <w:rsid w:val="0055160B"/>
    <w:rsid w:val="00551629"/>
    <w:rsid w:val="0055356D"/>
    <w:rsid w:val="00555C6A"/>
    <w:rsid w:val="00555CDB"/>
    <w:rsid w:val="00557CDC"/>
    <w:rsid w:val="00561B6D"/>
    <w:rsid w:val="00562D45"/>
    <w:rsid w:val="00563859"/>
    <w:rsid w:val="0056615B"/>
    <w:rsid w:val="00566CBE"/>
    <w:rsid w:val="00567DFB"/>
    <w:rsid w:val="00571DAA"/>
    <w:rsid w:val="00573DAA"/>
    <w:rsid w:val="0057677F"/>
    <w:rsid w:val="0058129D"/>
    <w:rsid w:val="0058561D"/>
    <w:rsid w:val="005872BA"/>
    <w:rsid w:val="00590144"/>
    <w:rsid w:val="005932A9"/>
    <w:rsid w:val="005933B9"/>
    <w:rsid w:val="005938DD"/>
    <w:rsid w:val="0059682C"/>
    <w:rsid w:val="005A64DD"/>
    <w:rsid w:val="005A6FD4"/>
    <w:rsid w:val="005B09F0"/>
    <w:rsid w:val="005B0BDE"/>
    <w:rsid w:val="005B0CED"/>
    <w:rsid w:val="005B3DB3"/>
    <w:rsid w:val="005B528A"/>
    <w:rsid w:val="005B5CA3"/>
    <w:rsid w:val="005C4CB5"/>
    <w:rsid w:val="005C64BA"/>
    <w:rsid w:val="005D0C6C"/>
    <w:rsid w:val="005D29A5"/>
    <w:rsid w:val="005E3316"/>
    <w:rsid w:val="005E5946"/>
    <w:rsid w:val="005F0E62"/>
    <w:rsid w:val="005F1C5D"/>
    <w:rsid w:val="005F3A39"/>
    <w:rsid w:val="005F4310"/>
    <w:rsid w:val="005F5793"/>
    <w:rsid w:val="005F5C2F"/>
    <w:rsid w:val="005F7BB1"/>
    <w:rsid w:val="00602490"/>
    <w:rsid w:val="00603E3C"/>
    <w:rsid w:val="006107FE"/>
    <w:rsid w:val="00611FC4"/>
    <w:rsid w:val="006127F1"/>
    <w:rsid w:val="00616AB5"/>
    <w:rsid w:val="006176FB"/>
    <w:rsid w:val="00617AEC"/>
    <w:rsid w:val="006201A7"/>
    <w:rsid w:val="00622B5D"/>
    <w:rsid w:val="006237FA"/>
    <w:rsid w:val="006245CC"/>
    <w:rsid w:val="00626B06"/>
    <w:rsid w:val="006279AC"/>
    <w:rsid w:val="0063419C"/>
    <w:rsid w:val="00635381"/>
    <w:rsid w:val="00636986"/>
    <w:rsid w:val="00637542"/>
    <w:rsid w:val="006404F8"/>
    <w:rsid w:val="00640B26"/>
    <w:rsid w:val="00641194"/>
    <w:rsid w:val="00641D6E"/>
    <w:rsid w:val="00642C08"/>
    <w:rsid w:val="0064436B"/>
    <w:rsid w:val="00645A0B"/>
    <w:rsid w:val="0064628E"/>
    <w:rsid w:val="006500BA"/>
    <w:rsid w:val="006506DB"/>
    <w:rsid w:val="00650744"/>
    <w:rsid w:val="006543F9"/>
    <w:rsid w:val="00662121"/>
    <w:rsid w:val="00662E09"/>
    <w:rsid w:val="00666AAA"/>
    <w:rsid w:val="00670CF0"/>
    <w:rsid w:val="0067507A"/>
    <w:rsid w:val="00675F87"/>
    <w:rsid w:val="0067652F"/>
    <w:rsid w:val="00677DE2"/>
    <w:rsid w:val="006806F5"/>
    <w:rsid w:val="00680BD6"/>
    <w:rsid w:val="00682603"/>
    <w:rsid w:val="00684008"/>
    <w:rsid w:val="00684A39"/>
    <w:rsid w:val="00685818"/>
    <w:rsid w:val="00690CD6"/>
    <w:rsid w:val="006946A4"/>
    <w:rsid w:val="006A3932"/>
    <w:rsid w:val="006A50EB"/>
    <w:rsid w:val="006A63E3"/>
    <w:rsid w:val="006A6F87"/>
    <w:rsid w:val="006A7392"/>
    <w:rsid w:val="006B1C55"/>
    <w:rsid w:val="006B51FD"/>
    <w:rsid w:val="006B688A"/>
    <w:rsid w:val="006C0D34"/>
    <w:rsid w:val="006C0FAB"/>
    <w:rsid w:val="006C251B"/>
    <w:rsid w:val="006C2F7E"/>
    <w:rsid w:val="006D3560"/>
    <w:rsid w:val="006D5557"/>
    <w:rsid w:val="006E3866"/>
    <w:rsid w:val="006E3B65"/>
    <w:rsid w:val="006E44FD"/>
    <w:rsid w:val="006E50D2"/>
    <w:rsid w:val="006E51C8"/>
    <w:rsid w:val="006E564B"/>
    <w:rsid w:val="006F1FAC"/>
    <w:rsid w:val="006F6037"/>
    <w:rsid w:val="007018E3"/>
    <w:rsid w:val="007025C0"/>
    <w:rsid w:val="007027D5"/>
    <w:rsid w:val="00704AC2"/>
    <w:rsid w:val="00706AD8"/>
    <w:rsid w:val="00707F04"/>
    <w:rsid w:val="00711637"/>
    <w:rsid w:val="007129E4"/>
    <w:rsid w:val="00714F4F"/>
    <w:rsid w:val="00715F47"/>
    <w:rsid w:val="00721A98"/>
    <w:rsid w:val="00721DEB"/>
    <w:rsid w:val="00723EEE"/>
    <w:rsid w:val="00724470"/>
    <w:rsid w:val="0072632A"/>
    <w:rsid w:val="007305F3"/>
    <w:rsid w:val="00731B0A"/>
    <w:rsid w:val="00735C7E"/>
    <w:rsid w:val="00736E6A"/>
    <w:rsid w:val="00737812"/>
    <w:rsid w:val="00741F59"/>
    <w:rsid w:val="00742571"/>
    <w:rsid w:val="007438B5"/>
    <w:rsid w:val="0074697D"/>
    <w:rsid w:val="00751772"/>
    <w:rsid w:val="00755EBE"/>
    <w:rsid w:val="007578EC"/>
    <w:rsid w:val="00761619"/>
    <w:rsid w:val="0076177C"/>
    <w:rsid w:val="00762B6E"/>
    <w:rsid w:val="00763C33"/>
    <w:rsid w:val="00764111"/>
    <w:rsid w:val="00766322"/>
    <w:rsid w:val="00770BCD"/>
    <w:rsid w:val="00770E82"/>
    <w:rsid w:val="007711D1"/>
    <w:rsid w:val="00771904"/>
    <w:rsid w:val="00772DE9"/>
    <w:rsid w:val="00773353"/>
    <w:rsid w:val="00774129"/>
    <w:rsid w:val="00774475"/>
    <w:rsid w:val="00774E8F"/>
    <w:rsid w:val="00774EAA"/>
    <w:rsid w:val="00776E7D"/>
    <w:rsid w:val="0078123B"/>
    <w:rsid w:val="00784221"/>
    <w:rsid w:val="00786434"/>
    <w:rsid w:val="00790791"/>
    <w:rsid w:val="0079402A"/>
    <w:rsid w:val="00796F36"/>
    <w:rsid w:val="007A104E"/>
    <w:rsid w:val="007A2CDB"/>
    <w:rsid w:val="007A33AC"/>
    <w:rsid w:val="007A3458"/>
    <w:rsid w:val="007A3A83"/>
    <w:rsid w:val="007A62EC"/>
    <w:rsid w:val="007B0464"/>
    <w:rsid w:val="007B11AE"/>
    <w:rsid w:val="007B1A7E"/>
    <w:rsid w:val="007B2BA8"/>
    <w:rsid w:val="007B4ACF"/>
    <w:rsid w:val="007B6BA5"/>
    <w:rsid w:val="007C1BE8"/>
    <w:rsid w:val="007C1E6D"/>
    <w:rsid w:val="007C2C0D"/>
    <w:rsid w:val="007C3162"/>
    <w:rsid w:val="007C3390"/>
    <w:rsid w:val="007C3E1D"/>
    <w:rsid w:val="007C404A"/>
    <w:rsid w:val="007C4F4B"/>
    <w:rsid w:val="007C644D"/>
    <w:rsid w:val="007C6E6E"/>
    <w:rsid w:val="007D0C31"/>
    <w:rsid w:val="007D363E"/>
    <w:rsid w:val="007D36AB"/>
    <w:rsid w:val="007D7BC6"/>
    <w:rsid w:val="007E1547"/>
    <w:rsid w:val="007E3D95"/>
    <w:rsid w:val="007E4BD3"/>
    <w:rsid w:val="007E5500"/>
    <w:rsid w:val="007E5D7C"/>
    <w:rsid w:val="007F2A54"/>
    <w:rsid w:val="007F4F5A"/>
    <w:rsid w:val="007F5104"/>
    <w:rsid w:val="007F6611"/>
    <w:rsid w:val="007F7576"/>
    <w:rsid w:val="007F7A0B"/>
    <w:rsid w:val="007F7DE3"/>
    <w:rsid w:val="00800024"/>
    <w:rsid w:val="00800C4A"/>
    <w:rsid w:val="00801FDE"/>
    <w:rsid w:val="0080330D"/>
    <w:rsid w:val="008037A2"/>
    <w:rsid w:val="00813A33"/>
    <w:rsid w:val="008162C9"/>
    <w:rsid w:val="00816582"/>
    <w:rsid w:val="008175E9"/>
    <w:rsid w:val="00820A2D"/>
    <w:rsid w:val="00823EC1"/>
    <w:rsid w:val="008242D7"/>
    <w:rsid w:val="00825AE0"/>
    <w:rsid w:val="00826C09"/>
    <w:rsid w:val="0083043E"/>
    <w:rsid w:val="0083069A"/>
    <w:rsid w:val="00832A1D"/>
    <w:rsid w:val="00834479"/>
    <w:rsid w:val="00835988"/>
    <w:rsid w:val="00836879"/>
    <w:rsid w:val="00836A18"/>
    <w:rsid w:val="00836CC3"/>
    <w:rsid w:val="008373D2"/>
    <w:rsid w:val="00842387"/>
    <w:rsid w:val="00846809"/>
    <w:rsid w:val="00847EE4"/>
    <w:rsid w:val="00847F95"/>
    <w:rsid w:val="00850F5F"/>
    <w:rsid w:val="0086107D"/>
    <w:rsid w:val="00864251"/>
    <w:rsid w:val="008655E0"/>
    <w:rsid w:val="00871FD5"/>
    <w:rsid w:val="00881213"/>
    <w:rsid w:val="00881344"/>
    <w:rsid w:val="00883DDF"/>
    <w:rsid w:val="00884AA3"/>
    <w:rsid w:val="00887024"/>
    <w:rsid w:val="008979B1"/>
    <w:rsid w:val="008A02A2"/>
    <w:rsid w:val="008A0B75"/>
    <w:rsid w:val="008A1542"/>
    <w:rsid w:val="008A6B25"/>
    <w:rsid w:val="008A6C4F"/>
    <w:rsid w:val="008A7679"/>
    <w:rsid w:val="008A7AB3"/>
    <w:rsid w:val="008B1592"/>
    <w:rsid w:val="008B5810"/>
    <w:rsid w:val="008B65FB"/>
    <w:rsid w:val="008C1334"/>
    <w:rsid w:val="008C2E2D"/>
    <w:rsid w:val="008C3B3C"/>
    <w:rsid w:val="008C4283"/>
    <w:rsid w:val="008C42B8"/>
    <w:rsid w:val="008C6522"/>
    <w:rsid w:val="008C74C3"/>
    <w:rsid w:val="008C7BF7"/>
    <w:rsid w:val="008D134F"/>
    <w:rsid w:val="008D1585"/>
    <w:rsid w:val="008D2905"/>
    <w:rsid w:val="008D3C75"/>
    <w:rsid w:val="008D42FB"/>
    <w:rsid w:val="008D5212"/>
    <w:rsid w:val="008D6942"/>
    <w:rsid w:val="008E0E46"/>
    <w:rsid w:val="008E1DAE"/>
    <w:rsid w:val="008E295A"/>
    <w:rsid w:val="008E6C4C"/>
    <w:rsid w:val="008E7CC8"/>
    <w:rsid w:val="008F1FFF"/>
    <w:rsid w:val="008F2D9A"/>
    <w:rsid w:val="008F44B8"/>
    <w:rsid w:val="008F504A"/>
    <w:rsid w:val="00900C96"/>
    <w:rsid w:val="009079BC"/>
    <w:rsid w:val="00911049"/>
    <w:rsid w:val="00915346"/>
    <w:rsid w:val="0091604E"/>
    <w:rsid w:val="00923019"/>
    <w:rsid w:val="00924B63"/>
    <w:rsid w:val="00925094"/>
    <w:rsid w:val="00925807"/>
    <w:rsid w:val="009320EB"/>
    <w:rsid w:val="009363B6"/>
    <w:rsid w:val="00940F46"/>
    <w:rsid w:val="00941ECC"/>
    <w:rsid w:val="00945724"/>
    <w:rsid w:val="00945A5D"/>
    <w:rsid w:val="00946A0D"/>
    <w:rsid w:val="0095402C"/>
    <w:rsid w:val="00954D20"/>
    <w:rsid w:val="00955109"/>
    <w:rsid w:val="00957F7C"/>
    <w:rsid w:val="00962326"/>
    <w:rsid w:val="00963B67"/>
    <w:rsid w:val="00963CBA"/>
    <w:rsid w:val="009701ED"/>
    <w:rsid w:val="00983E28"/>
    <w:rsid w:val="00984471"/>
    <w:rsid w:val="00985F37"/>
    <w:rsid w:val="009879EA"/>
    <w:rsid w:val="00987E37"/>
    <w:rsid w:val="009908A5"/>
    <w:rsid w:val="0099124E"/>
    <w:rsid w:val="00991261"/>
    <w:rsid w:val="0099198D"/>
    <w:rsid w:val="0099412A"/>
    <w:rsid w:val="009953D5"/>
    <w:rsid w:val="0099563F"/>
    <w:rsid w:val="009A1D29"/>
    <w:rsid w:val="009A3AF8"/>
    <w:rsid w:val="009A6598"/>
    <w:rsid w:val="009C2002"/>
    <w:rsid w:val="009C6394"/>
    <w:rsid w:val="009D0E2A"/>
    <w:rsid w:val="009D0F0E"/>
    <w:rsid w:val="009D1AAE"/>
    <w:rsid w:val="009D23F5"/>
    <w:rsid w:val="009D634E"/>
    <w:rsid w:val="009D6DBA"/>
    <w:rsid w:val="009D6FD9"/>
    <w:rsid w:val="009E1560"/>
    <w:rsid w:val="009E1B32"/>
    <w:rsid w:val="009E3663"/>
    <w:rsid w:val="009F0F06"/>
    <w:rsid w:val="009F1245"/>
    <w:rsid w:val="009F248A"/>
    <w:rsid w:val="009F4FC5"/>
    <w:rsid w:val="009F7014"/>
    <w:rsid w:val="009F7816"/>
    <w:rsid w:val="00A03582"/>
    <w:rsid w:val="00A06161"/>
    <w:rsid w:val="00A06F3B"/>
    <w:rsid w:val="00A1427D"/>
    <w:rsid w:val="00A149A1"/>
    <w:rsid w:val="00A22829"/>
    <w:rsid w:val="00A235F1"/>
    <w:rsid w:val="00A24157"/>
    <w:rsid w:val="00A24910"/>
    <w:rsid w:val="00A26A35"/>
    <w:rsid w:val="00A34456"/>
    <w:rsid w:val="00A34B00"/>
    <w:rsid w:val="00A36083"/>
    <w:rsid w:val="00A3777A"/>
    <w:rsid w:val="00A4482C"/>
    <w:rsid w:val="00A46821"/>
    <w:rsid w:val="00A47703"/>
    <w:rsid w:val="00A50077"/>
    <w:rsid w:val="00A52E49"/>
    <w:rsid w:val="00A539B7"/>
    <w:rsid w:val="00A54CA8"/>
    <w:rsid w:val="00A60196"/>
    <w:rsid w:val="00A6199C"/>
    <w:rsid w:val="00A622AF"/>
    <w:rsid w:val="00A655AC"/>
    <w:rsid w:val="00A65F4A"/>
    <w:rsid w:val="00A661CB"/>
    <w:rsid w:val="00A66636"/>
    <w:rsid w:val="00A67E32"/>
    <w:rsid w:val="00A715B4"/>
    <w:rsid w:val="00A72F22"/>
    <w:rsid w:val="00A744D7"/>
    <w:rsid w:val="00A748A6"/>
    <w:rsid w:val="00A74A46"/>
    <w:rsid w:val="00A75EC9"/>
    <w:rsid w:val="00A810D4"/>
    <w:rsid w:val="00A83538"/>
    <w:rsid w:val="00A83EAF"/>
    <w:rsid w:val="00A8523D"/>
    <w:rsid w:val="00A879A4"/>
    <w:rsid w:val="00A90DAA"/>
    <w:rsid w:val="00A91F81"/>
    <w:rsid w:val="00A9256C"/>
    <w:rsid w:val="00A97192"/>
    <w:rsid w:val="00A97BFC"/>
    <w:rsid w:val="00AA046C"/>
    <w:rsid w:val="00AA1D9A"/>
    <w:rsid w:val="00AA32EB"/>
    <w:rsid w:val="00AA37DA"/>
    <w:rsid w:val="00AA71E2"/>
    <w:rsid w:val="00AA72BE"/>
    <w:rsid w:val="00AB303C"/>
    <w:rsid w:val="00AB382F"/>
    <w:rsid w:val="00AB4CF1"/>
    <w:rsid w:val="00AC1254"/>
    <w:rsid w:val="00AC38A4"/>
    <w:rsid w:val="00AD033F"/>
    <w:rsid w:val="00AD2A6D"/>
    <w:rsid w:val="00AD4359"/>
    <w:rsid w:val="00AD4D77"/>
    <w:rsid w:val="00AD7C88"/>
    <w:rsid w:val="00AE16E8"/>
    <w:rsid w:val="00AE193D"/>
    <w:rsid w:val="00AE3ACE"/>
    <w:rsid w:val="00AE45DE"/>
    <w:rsid w:val="00AE7AC0"/>
    <w:rsid w:val="00AF0878"/>
    <w:rsid w:val="00AF2296"/>
    <w:rsid w:val="00AF2F9D"/>
    <w:rsid w:val="00AF6710"/>
    <w:rsid w:val="00AF7728"/>
    <w:rsid w:val="00B013E6"/>
    <w:rsid w:val="00B01BB8"/>
    <w:rsid w:val="00B04D66"/>
    <w:rsid w:val="00B069DE"/>
    <w:rsid w:val="00B06A3B"/>
    <w:rsid w:val="00B10401"/>
    <w:rsid w:val="00B10C19"/>
    <w:rsid w:val="00B1157C"/>
    <w:rsid w:val="00B1290D"/>
    <w:rsid w:val="00B1501F"/>
    <w:rsid w:val="00B15236"/>
    <w:rsid w:val="00B1648C"/>
    <w:rsid w:val="00B17961"/>
    <w:rsid w:val="00B26710"/>
    <w:rsid w:val="00B26B3C"/>
    <w:rsid w:val="00B30179"/>
    <w:rsid w:val="00B3317B"/>
    <w:rsid w:val="00B41384"/>
    <w:rsid w:val="00B46CF0"/>
    <w:rsid w:val="00B52974"/>
    <w:rsid w:val="00B5392B"/>
    <w:rsid w:val="00B53B1D"/>
    <w:rsid w:val="00B55809"/>
    <w:rsid w:val="00B600F4"/>
    <w:rsid w:val="00B607BF"/>
    <w:rsid w:val="00B71E2B"/>
    <w:rsid w:val="00B737AB"/>
    <w:rsid w:val="00B73DA8"/>
    <w:rsid w:val="00B74F7C"/>
    <w:rsid w:val="00B75E05"/>
    <w:rsid w:val="00B80066"/>
    <w:rsid w:val="00B8026A"/>
    <w:rsid w:val="00B80FD5"/>
    <w:rsid w:val="00B81E12"/>
    <w:rsid w:val="00B828CA"/>
    <w:rsid w:val="00B846BB"/>
    <w:rsid w:val="00B84AAC"/>
    <w:rsid w:val="00B85149"/>
    <w:rsid w:val="00B87BE4"/>
    <w:rsid w:val="00B90F54"/>
    <w:rsid w:val="00B91CC3"/>
    <w:rsid w:val="00B92A0C"/>
    <w:rsid w:val="00B93068"/>
    <w:rsid w:val="00BB086A"/>
    <w:rsid w:val="00BB176D"/>
    <w:rsid w:val="00BB31C3"/>
    <w:rsid w:val="00BB36FF"/>
    <w:rsid w:val="00BB3B28"/>
    <w:rsid w:val="00BB7E76"/>
    <w:rsid w:val="00BC74E9"/>
    <w:rsid w:val="00BD0F01"/>
    <w:rsid w:val="00BD20F7"/>
    <w:rsid w:val="00BD30E4"/>
    <w:rsid w:val="00BD40C2"/>
    <w:rsid w:val="00BD44F1"/>
    <w:rsid w:val="00BD4EB7"/>
    <w:rsid w:val="00BE1FF8"/>
    <w:rsid w:val="00BE50CA"/>
    <w:rsid w:val="00BE618E"/>
    <w:rsid w:val="00BF1B6B"/>
    <w:rsid w:val="00C0263F"/>
    <w:rsid w:val="00C03B44"/>
    <w:rsid w:val="00C07BCE"/>
    <w:rsid w:val="00C13A85"/>
    <w:rsid w:val="00C143FD"/>
    <w:rsid w:val="00C15B97"/>
    <w:rsid w:val="00C20CF1"/>
    <w:rsid w:val="00C218A4"/>
    <w:rsid w:val="00C237E6"/>
    <w:rsid w:val="00C2606E"/>
    <w:rsid w:val="00C276A1"/>
    <w:rsid w:val="00C27E6B"/>
    <w:rsid w:val="00C3010E"/>
    <w:rsid w:val="00C33E8B"/>
    <w:rsid w:val="00C3606F"/>
    <w:rsid w:val="00C36D37"/>
    <w:rsid w:val="00C40FA8"/>
    <w:rsid w:val="00C43CC9"/>
    <w:rsid w:val="00C463DD"/>
    <w:rsid w:val="00C46C0E"/>
    <w:rsid w:val="00C46D5B"/>
    <w:rsid w:val="00C516D9"/>
    <w:rsid w:val="00C5366F"/>
    <w:rsid w:val="00C537D5"/>
    <w:rsid w:val="00C551F9"/>
    <w:rsid w:val="00C5604B"/>
    <w:rsid w:val="00C62B40"/>
    <w:rsid w:val="00C62F76"/>
    <w:rsid w:val="00C64534"/>
    <w:rsid w:val="00C66D78"/>
    <w:rsid w:val="00C745C3"/>
    <w:rsid w:val="00C772FA"/>
    <w:rsid w:val="00C81212"/>
    <w:rsid w:val="00C82A0C"/>
    <w:rsid w:val="00C84FF1"/>
    <w:rsid w:val="00C91180"/>
    <w:rsid w:val="00C928A4"/>
    <w:rsid w:val="00C93C11"/>
    <w:rsid w:val="00C971F6"/>
    <w:rsid w:val="00CA049C"/>
    <w:rsid w:val="00CA381C"/>
    <w:rsid w:val="00CA5482"/>
    <w:rsid w:val="00CA6BD6"/>
    <w:rsid w:val="00CA74D3"/>
    <w:rsid w:val="00CB2158"/>
    <w:rsid w:val="00CB28F0"/>
    <w:rsid w:val="00CB2E75"/>
    <w:rsid w:val="00CB6380"/>
    <w:rsid w:val="00CB738E"/>
    <w:rsid w:val="00CC07D0"/>
    <w:rsid w:val="00CC0AB9"/>
    <w:rsid w:val="00CC1005"/>
    <w:rsid w:val="00CC293B"/>
    <w:rsid w:val="00CC4CA6"/>
    <w:rsid w:val="00CC6D92"/>
    <w:rsid w:val="00CC7A7B"/>
    <w:rsid w:val="00CC7EC8"/>
    <w:rsid w:val="00CD0009"/>
    <w:rsid w:val="00CD30EE"/>
    <w:rsid w:val="00CD3225"/>
    <w:rsid w:val="00CD5BC9"/>
    <w:rsid w:val="00CD7637"/>
    <w:rsid w:val="00CD7BAF"/>
    <w:rsid w:val="00CE3B37"/>
    <w:rsid w:val="00CE4083"/>
    <w:rsid w:val="00CE46BA"/>
    <w:rsid w:val="00CE4A8F"/>
    <w:rsid w:val="00CE54BF"/>
    <w:rsid w:val="00CE620D"/>
    <w:rsid w:val="00CF69E0"/>
    <w:rsid w:val="00CF6F32"/>
    <w:rsid w:val="00CF778D"/>
    <w:rsid w:val="00D001E0"/>
    <w:rsid w:val="00D0631B"/>
    <w:rsid w:val="00D06C3A"/>
    <w:rsid w:val="00D11B81"/>
    <w:rsid w:val="00D14FF5"/>
    <w:rsid w:val="00D1546E"/>
    <w:rsid w:val="00D15473"/>
    <w:rsid w:val="00D15D68"/>
    <w:rsid w:val="00D164BA"/>
    <w:rsid w:val="00D2031B"/>
    <w:rsid w:val="00D248EF"/>
    <w:rsid w:val="00D25E8C"/>
    <w:rsid w:val="00D25FE2"/>
    <w:rsid w:val="00D26D33"/>
    <w:rsid w:val="00D27E89"/>
    <w:rsid w:val="00D310D4"/>
    <w:rsid w:val="00D334AF"/>
    <w:rsid w:val="00D34F8B"/>
    <w:rsid w:val="00D37E80"/>
    <w:rsid w:val="00D422D7"/>
    <w:rsid w:val="00D42A95"/>
    <w:rsid w:val="00D43252"/>
    <w:rsid w:val="00D46231"/>
    <w:rsid w:val="00D5409C"/>
    <w:rsid w:val="00D54C31"/>
    <w:rsid w:val="00D551EA"/>
    <w:rsid w:val="00D560C2"/>
    <w:rsid w:val="00D571D1"/>
    <w:rsid w:val="00D57C13"/>
    <w:rsid w:val="00D57FD9"/>
    <w:rsid w:val="00D610C1"/>
    <w:rsid w:val="00D648A2"/>
    <w:rsid w:val="00D658FA"/>
    <w:rsid w:val="00D70CD2"/>
    <w:rsid w:val="00D71338"/>
    <w:rsid w:val="00D7163F"/>
    <w:rsid w:val="00D721BB"/>
    <w:rsid w:val="00D730E3"/>
    <w:rsid w:val="00D74201"/>
    <w:rsid w:val="00D74599"/>
    <w:rsid w:val="00D753D8"/>
    <w:rsid w:val="00D776C9"/>
    <w:rsid w:val="00D80F6A"/>
    <w:rsid w:val="00D811BF"/>
    <w:rsid w:val="00D8539B"/>
    <w:rsid w:val="00D90CBA"/>
    <w:rsid w:val="00D9366F"/>
    <w:rsid w:val="00D96101"/>
    <w:rsid w:val="00D96248"/>
    <w:rsid w:val="00D96753"/>
    <w:rsid w:val="00D96CC5"/>
    <w:rsid w:val="00D978C6"/>
    <w:rsid w:val="00D97B77"/>
    <w:rsid w:val="00DA15E7"/>
    <w:rsid w:val="00DA6620"/>
    <w:rsid w:val="00DA67AD"/>
    <w:rsid w:val="00DA7D32"/>
    <w:rsid w:val="00DB0CB6"/>
    <w:rsid w:val="00DB2714"/>
    <w:rsid w:val="00DB289C"/>
    <w:rsid w:val="00DB4073"/>
    <w:rsid w:val="00DB58F0"/>
    <w:rsid w:val="00DB782E"/>
    <w:rsid w:val="00DC140E"/>
    <w:rsid w:val="00DC1722"/>
    <w:rsid w:val="00DD42A0"/>
    <w:rsid w:val="00DE236F"/>
    <w:rsid w:val="00DE3ECB"/>
    <w:rsid w:val="00DE4785"/>
    <w:rsid w:val="00DE51F1"/>
    <w:rsid w:val="00DE7267"/>
    <w:rsid w:val="00DF0A4D"/>
    <w:rsid w:val="00DF245E"/>
    <w:rsid w:val="00DF3039"/>
    <w:rsid w:val="00DF3A04"/>
    <w:rsid w:val="00DF4518"/>
    <w:rsid w:val="00DF6318"/>
    <w:rsid w:val="00DF7449"/>
    <w:rsid w:val="00E02150"/>
    <w:rsid w:val="00E051C2"/>
    <w:rsid w:val="00E0795D"/>
    <w:rsid w:val="00E130AB"/>
    <w:rsid w:val="00E141D9"/>
    <w:rsid w:val="00E1679E"/>
    <w:rsid w:val="00E16BCB"/>
    <w:rsid w:val="00E2349C"/>
    <w:rsid w:val="00E239A0"/>
    <w:rsid w:val="00E2584D"/>
    <w:rsid w:val="00E263F0"/>
    <w:rsid w:val="00E33CA6"/>
    <w:rsid w:val="00E34C8D"/>
    <w:rsid w:val="00E34E58"/>
    <w:rsid w:val="00E359A8"/>
    <w:rsid w:val="00E359C0"/>
    <w:rsid w:val="00E36838"/>
    <w:rsid w:val="00E36C10"/>
    <w:rsid w:val="00E37C72"/>
    <w:rsid w:val="00E40B76"/>
    <w:rsid w:val="00E42461"/>
    <w:rsid w:val="00E43AC1"/>
    <w:rsid w:val="00E43E39"/>
    <w:rsid w:val="00E4443D"/>
    <w:rsid w:val="00E47BA4"/>
    <w:rsid w:val="00E51EA0"/>
    <w:rsid w:val="00E52EB0"/>
    <w:rsid w:val="00E53D74"/>
    <w:rsid w:val="00E54352"/>
    <w:rsid w:val="00E54DD2"/>
    <w:rsid w:val="00E5644E"/>
    <w:rsid w:val="00E5691C"/>
    <w:rsid w:val="00E56AAE"/>
    <w:rsid w:val="00E631BA"/>
    <w:rsid w:val="00E63AAF"/>
    <w:rsid w:val="00E6613A"/>
    <w:rsid w:val="00E7260F"/>
    <w:rsid w:val="00E730D8"/>
    <w:rsid w:val="00E74A75"/>
    <w:rsid w:val="00E81037"/>
    <w:rsid w:val="00E81230"/>
    <w:rsid w:val="00E8339C"/>
    <w:rsid w:val="00E8535A"/>
    <w:rsid w:val="00E864BE"/>
    <w:rsid w:val="00E90647"/>
    <w:rsid w:val="00E9386C"/>
    <w:rsid w:val="00E96150"/>
    <w:rsid w:val="00E96630"/>
    <w:rsid w:val="00EA0364"/>
    <w:rsid w:val="00EA1BF0"/>
    <w:rsid w:val="00EA2783"/>
    <w:rsid w:val="00EA2CC5"/>
    <w:rsid w:val="00EA470D"/>
    <w:rsid w:val="00EA48C4"/>
    <w:rsid w:val="00EA51F5"/>
    <w:rsid w:val="00EA687A"/>
    <w:rsid w:val="00EA772F"/>
    <w:rsid w:val="00EB23B5"/>
    <w:rsid w:val="00EB2AE3"/>
    <w:rsid w:val="00EB4070"/>
    <w:rsid w:val="00EB4C06"/>
    <w:rsid w:val="00EB51D5"/>
    <w:rsid w:val="00EB65EF"/>
    <w:rsid w:val="00EB6832"/>
    <w:rsid w:val="00EB71BA"/>
    <w:rsid w:val="00EB797A"/>
    <w:rsid w:val="00EB798F"/>
    <w:rsid w:val="00EC14E9"/>
    <w:rsid w:val="00EC271A"/>
    <w:rsid w:val="00EC3FEF"/>
    <w:rsid w:val="00EC755A"/>
    <w:rsid w:val="00ED1459"/>
    <w:rsid w:val="00ED1986"/>
    <w:rsid w:val="00ED3508"/>
    <w:rsid w:val="00ED3663"/>
    <w:rsid w:val="00ED3F6F"/>
    <w:rsid w:val="00ED7A2A"/>
    <w:rsid w:val="00EE09B9"/>
    <w:rsid w:val="00EE2963"/>
    <w:rsid w:val="00EE2A67"/>
    <w:rsid w:val="00EE4D59"/>
    <w:rsid w:val="00EE50EB"/>
    <w:rsid w:val="00EE73C3"/>
    <w:rsid w:val="00EF1D7F"/>
    <w:rsid w:val="00EF3EB2"/>
    <w:rsid w:val="00EF4AAC"/>
    <w:rsid w:val="00EF754D"/>
    <w:rsid w:val="00EF7FBC"/>
    <w:rsid w:val="00F00A92"/>
    <w:rsid w:val="00F00C45"/>
    <w:rsid w:val="00F010AC"/>
    <w:rsid w:val="00F01C57"/>
    <w:rsid w:val="00F03B5C"/>
    <w:rsid w:val="00F03FA2"/>
    <w:rsid w:val="00F04919"/>
    <w:rsid w:val="00F049F0"/>
    <w:rsid w:val="00F05283"/>
    <w:rsid w:val="00F07537"/>
    <w:rsid w:val="00F07E12"/>
    <w:rsid w:val="00F11281"/>
    <w:rsid w:val="00F1200D"/>
    <w:rsid w:val="00F1466E"/>
    <w:rsid w:val="00F16A17"/>
    <w:rsid w:val="00F20F3F"/>
    <w:rsid w:val="00F22346"/>
    <w:rsid w:val="00F2620B"/>
    <w:rsid w:val="00F30A8A"/>
    <w:rsid w:val="00F31710"/>
    <w:rsid w:val="00F3263C"/>
    <w:rsid w:val="00F339AC"/>
    <w:rsid w:val="00F34267"/>
    <w:rsid w:val="00F34840"/>
    <w:rsid w:val="00F3574D"/>
    <w:rsid w:val="00F3679B"/>
    <w:rsid w:val="00F40295"/>
    <w:rsid w:val="00F40E75"/>
    <w:rsid w:val="00F40F8E"/>
    <w:rsid w:val="00F412D3"/>
    <w:rsid w:val="00F45510"/>
    <w:rsid w:val="00F4684D"/>
    <w:rsid w:val="00F5087E"/>
    <w:rsid w:val="00F51BAB"/>
    <w:rsid w:val="00F535BE"/>
    <w:rsid w:val="00F54674"/>
    <w:rsid w:val="00F55F53"/>
    <w:rsid w:val="00F5671D"/>
    <w:rsid w:val="00F62C52"/>
    <w:rsid w:val="00F743E3"/>
    <w:rsid w:val="00F75E96"/>
    <w:rsid w:val="00F80902"/>
    <w:rsid w:val="00F85243"/>
    <w:rsid w:val="00F911A0"/>
    <w:rsid w:val="00F9123F"/>
    <w:rsid w:val="00FA00A0"/>
    <w:rsid w:val="00FA2A4F"/>
    <w:rsid w:val="00FA2BFB"/>
    <w:rsid w:val="00FA3FB7"/>
    <w:rsid w:val="00FA4C1F"/>
    <w:rsid w:val="00FA6141"/>
    <w:rsid w:val="00FB0ABB"/>
    <w:rsid w:val="00FB1302"/>
    <w:rsid w:val="00FB2548"/>
    <w:rsid w:val="00FB40A1"/>
    <w:rsid w:val="00FB5A37"/>
    <w:rsid w:val="00FB7793"/>
    <w:rsid w:val="00FC08AF"/>
    <w:rsid w:val="00FC18AA"/>
    <w:rsid w:val="00FC1E5F"/>
    <w:rsid w:val="00FC215C"/>
    <w:rsid w:val="00FC348D"/>
    <w:rsid w:val="00FC37FE"/>
    <w:rsid w:val="00FC68B7"/>
    <w:rsid w:val="00FD031B"/>
    <w:rsid w:val="00FD144C"/>
    <w:rsid w:val="00FD17E6"/>
    <w:rsid w:val="00FD3C5D"/>
    <w:rsid w:val="00FD3E70"/>
    <w:rsid w:val="00FD6B2B"/>
    <w:rsid w:val="00FE01D0"/>
    <w:rsid w:val="00FE3EEA"/>
    <w:rsid w:val="00FE44CF"/>
    <w:rsid w:val="00FF03BB"/>
    <w:rsid w:val="00FF071A"/>
    <w:rsid w:val="00FF28B8"/>
    <w:rsid w:val="00FF3103"/>
    <w:rsid w:val="00FF36CD"/>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character" w:customStyle="1" w:styleId="ClosingChar">
    <w:name w:val="Closing Char"/>
    <w:basedOn w:val="DefaultParagraphFont"/>
    <w:link w:val="Closing"/>
    <w:rsid w:val="003E019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character" w:customStyle="1" w:styleId="ClosingChar">
    <w:name w:val="Closing Char"/>
    <w:basedOn w:val="DefaultParagraphFont"/>
    <w:link w:val="Closing"/>
    <w:rsid w:val="003E01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326">
      <w:bodyDiv w:val="1"/>
      <w:marLeft w:val="0"/>
      <w:marRight w:val="0"/>
      <w:marTop w:val="0"/>
      <w:marBottom w:val="0"/>
      <w:divBdr>
        <w:top w:val="none" w:sz="0" w:space="0" w:color="auto"/>
        <w:left w:val="none" w:sz="0" w:space="0" w:color="auto"/>
        <w:bottom w:val="none" w:sz="0" w:space="0" w:color="auto"/>
        <w:right w:val="none" w:sz="0" w:space="0" w:color="auto"/>
      </w:divBdr>
      <w:divsChild>
        <w:div w:id="1667438898">
          <w:marLeft w:val="0"/>
          <w:marRight w:val="0"/>
          <w:marTop w:val="0"/>
          <w:marBottom w:val="0"/>
          <w:divBdr>
            <w:top w:val="none" w:sz="0" w:space="0" w:color="auto"/>
            <w:left w:val="none" w:sz="0" w:space="0" w:color="auto"/>
            <w:bottom w:val="none" w:sz="0" w:space="0" w:color="auto"/>
            <w:right w:val="none" w:sz="0" w:space="0" w:color="auto"/>
          </w:divBdr>
        </w:div>
      </w:divsChild>
    </w:div>
    <w:div w:id="226500758">
      <w:bodyDiv w:val="1"/>
      <w:marLeft w:val="0"/>
      <w:marRight w:val="0"/>
      <w:marTop w:val="0"/>
      <w:marBottom w:val="0"/>
      <w:divBdr>
        <w:top w:val="none" w:sz="0" w:space="0" w:color="auto"/>
        <w:left w:val="none" w:sz="0" w:space="0" w:color="auto"/>
        <w:bottom w:val="none" w:sz="0" w:space="0" w:color="auto"/>
        <w:right w:val="none" w:sz="0" w:space="0" w:color="auto"/>
      </w:divBdr>
      <w:divsChild>
        <w:div w:id="1550336847">
          <w:marLeft w:val="0"/>
          <w:marRight w:val="0"/>
          <w:marTop w:val="0"/>
          <w:marBottom w:val="0"/>
          <w:divBdr>
            <w:top w:val="none" w:sz="0" w:space="0" w:color="auto"/>
            <w:left w:val="none" w:sz="0" w:space="0" w:color="auto"/>
            <w:bottom w:val="none" w:sz="0" w:space="0" w:color="auto"/>
            <w:right w:val="none" w:sz="0" w:space="0" w:color="auto"/>
          </w:divBdr>
        </w:div>
      </w:divsChild>
    </w:div>
    <w:div w:id="247690730">
      <w:bodyDiv w:val="1"/>
      <w:marLeft w:val="0"/>
      <w:marRight w:val="0"/>
      <w:marTop w:val="0"/>
      <w:marBottom w:val="0"/>
      <w:divBdr>
        <w:top w:val="none" w:sz="0" w:space="0" w:color="auto"/>
        <w:left w:val="none" w:sz="0" w:space="0" w:color="auto"/>
        <w:bottom w:val="none" w:sz="0" w:space="0" w:color="auto"/>
        <w:right w:val="none" w:sz="0" w:space="0" w:color="auto"/>
      </w:divBdr>
    </w:div>
    <w:div w:id="270750810">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7">
          <w:marLeft w:val="0"/>
          <w:marRight w:val="0"/>
          <w:marTop w:val="0"/>
          <w:marBottom w:val="0"/>
          <w:divBdr>
            <w:top w:val="none" w:sz="0" w:space="0" w:color="auto"/>
            <w:left w:val="none" w:sz="0" w:space="0" w:color="auto"/>
            <w:bottom w:val="none" w:sz="0" w:space="0" w:color="auto"/>
            <w:right w:val="none" w:sz="0" w:space="0" w:color="auto"/>
          </w:divBdr>
        </w:div>
      </w:divsChild>
    </w:div>
    <w:div w:id="318775310">
      <w:bodyDiv w:val="1"/>
      <w:marLeft w:val="0"/>
      <w:marRight w:val="0"/>
      <w:marTop w:val="0"/>
      <w:marBottom w:val="0"/>
      <w:divBdr>
        <w:top w:val="none" w:sz="0" w:space="0" w:color="auto"/>
        <w:left w:val="none" w:sz="0" w:space="0" w:color="auto"/>
        <w:bottom w:val="none" w:sz="0" w:space="0" w:color="auto"/>
        <w:right w:val="none" w:sz="0" w:space="0" w:color="auto"/>
      </w:divBdr>
    </w:div>
    <w:div w:id="345833543">
      <w:bodyDiv w:val="1"/>
      <w:marLeft w:val="0"/>
      <w:marRight w:val="0"/>
      <w:marTop w:val="0"/>
      <w:marBottom w:val="0"/>
      <w:divBdr>
        <w:top w:val="none" w:sz="0" w:space="0" w:color="auto"/>
        <w:left w:val="none" w:sz="0" w:space="0" w:color="auto"/>
        <w:bottom w:val="none" w:sz="0" w:space="0" w:color="auto"/>
        <w:right w:val="none" w:sz="0" w:space="0" w:color="auto"/>
      </w:divBdr>
      <w:divsChild>
        <w:div w:id="1991444193">
          <w:marLeft w:val="0"/>
          <w:marRight w:val="0"/>
          <w:marTop w:val="0"/>
          <w:marBottom w:val="0"/>
          <w:divBdr>
            <w:top w:val="none" w:sz="0" w:space="0" w:color="auto"/>
            <w:left w:val="none" w:sz="0" w:space="0" w:color="auto"/>
            <w:bottom w:val="none" w:sz="0" w:space="0" w:color="auto"/>
            <w:right w:val="none" w:sz="0" w:space="0" w:color="auto"/>
          </w:divBdr>
        </w:div>
      </w:divsChild>
    </w:div>
    <w:div w:id="468010516">
      <w:bodyDiv w:val="1"/>
      <w:marLeft w:val="0"/>
      <w:marRight w:val="0"/>
      <w:marTop w:val="0"/>
      <w:marBottom w:val="0"/>
      <w:divBdr>
        <w:top w:val="none" w:sz="0" w:space="0" w:color="auto"/>
        <w:left w:val="none" w:sz="0" w:space="0" w:color="auto"/>
        <w:bottom w:val="none" w:sz="0" w:space="0" w:color="auto"/>
        <w:right w:val="none" w:sz="0" w:space="0" w:color="auto"/>
      </w:divBdr>
      <w:divsChild>
        <w:div w:id="56248489">
          <w:marLeft w:val="0"/>
          <w:marRight w:val="0"/>
          <w:marTop w:val="0"/>
          <w:marBottom w:val="0"/>
          <w:divBdr>
            <w:top w:val="none" w:sz="0" w:space="0" w:color="auto"/>
            <w:left w:val="none" w:sz="0" w:space="0" w:color="auto"/>
            <w:bottom w:val="none" w:sz="0" w:space="0" w:color="auto"/>
            <w:right w:val="none" w:sz="0" w:space="0" w:color="auto"/>
          </w:divBdr>
        </w:div>
      </w:divsChild>
    </w:div>
    <w:div w:id="761800397">
      <w:bodyDiv w:val="1"/>
      <w:marLeft w:val="0"/>
      <w:marRight w:val="0"/>
      <w:marTop w:val="0"/>
      <w:marBottom w:val="0"/>
      <w:divBdr>
        <w:top w:val="none" w:sz="0" w:space="0" w:color="auto"/>
        <w:left w:val="none" w:sz="0" w:space="0" w:color="auto"/>
        <w:bottom w:val="none" w:sz="0" w:space="0" w:color="auto"/>
        <w:right w:val="none" w:sz="0" w:space="0" w:color="auto"/>
      </w:divBdr>
      <w:divsChild>
        <w:div w:id="633027495">
          <w:marLeft w:val="0"/>
          <w:marRight w:val="0"/>
          <w:marTop w:val="0"/>
          <w:marBottom w:val="0"/>
          <w:divBdr>
            <w:top w:val="none" w:sz="0" w:space="0" w:color="auto"/>
            <w:left w:val="none" w:sz="0" w:space="0" w:color="auto"/>
            <w:bottom w:val="none" w:sz="0" w:space="0" w:color="auto"/>
            <w:right w:val="none" w:sz="0" w:space="0" w:color="auto"/>
          </w:divBdr>
        </w:div>
      </w:divsChild>
    </w:div>
    <w:div w:id="785974769">
      <w:bodyDiv w:val="1"/>
      <w:marLeft w:val="0"/>
      <w:marRight w:val="0"/>
      <w:marTop w:val="0"/>
      <w:marBottom w:val="0"/>
      <w:divBdr>
        <w:top w:val="none" w:sz="0" w:space="0" w:color="auto"/>
        <w:left w:val="none" w:sz="0" w:space="0" w:color="auto"/>
        <w:bottom w:val="none" w:sz="0" w:space="0" w:color="auto"/>
        <w:right w:val="none" w:sz="0" w:space="0" w:color="auto"/>
      </w:divBdr>
    </w:div>
    <w:div w:id="802428177">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1">
          <w:marLeft w:val="0"/>
          <w:marRight w:val="0"/>
          <w:marTop w:val="0"/>
          <w:marBottom w:val="0"/>
          <w:divBdr>
            <w:top w:val="none" w:sz="0" w:space="0" w:color="auto"/>
            <w:left w:val="none" w:sz="0" w:space="0" w:color="auto"/>
            <w:bottom w:val="none" w:sz="0" w:space="0" w:color="auto"/>
            <w:right w:val="none" w:sz="0" w:space="0" w:color="auto"/>
          </w:divBdr>
        </w:div>
      </w:divsChild>
    </w:div>
    <w:div w:id="837965251">
      <w:bodyDiv w:val="1"/>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 w:id="886332796">
      <w:bodyDiv w:val="1"/>
      <w:marLeft w:val="0"/>
      <w:marRight w:val="0"/>
      <w:marTop w:val="0"/>
      <w:marBottom w:val="0"/>
      <w:divBdr>
        <w:top w:val="none" w:sz="0" w:space="0" w:color="auto"/>
        <w:left w:val="none" w:sz="0" w:space="0" w:color="auto"/>
        <w:bottom w:val="none" w:sz="0" w:space="0" w:color="auto"/>
        <w:right w:val="none" w:sz="0" w:space="0" w:color="auto"/>
      </w:divBdr>
      <w:divsChild>
        <w:div w:id="560603818">
          <w:marLeft w:val="0"/>
          <w:marRight w:val="0"/>
          <w:marTop w:val="0"/>
          <w:marBottom w:val="0"/>
          <w:divBdr>
            <w:top w:val="none" w:sz="0" w:space="0" w:color="auto"/>
            <w:left w:val="none" w:sz="0" w:space="0" w:color="auto"/>
            <w:bottom w:val="none" w:sz="0" w:space="0" w:color="auto"/>
            <w:right w:val="none" w:sz="0" w:space="0" w:color="auto"/>
          </w:divBdr>
        </w:div>
      </w:divsChild>
    </w:div>
    <w:div w:id="919674732">
      <w:bodyDiv w:val="1"/>
      <w:marLeft w:val="0"/>
      <w:marRight w:val="0"/>
      <w:marTop w:val="0"/>
      <w:marBottom w:val="0"/>
      <w:divBdr>
        <w:top w:val="none" w:sz="0" w:space="0" w:color="auto"/>
        <w:left w:val="none" w:sz="0" w:space="0" w:color="auto"/>
        <w:bottom w:val="none" w:sz="0" w:space="0" w:color="auto"/>
        <w:right w:val="none" w:sz="0" w:space="0" w:color="auto"/>
      </w:divBdr>
    </w:div>
    <w:div w:id="964504446">
      <w:bodyDiv w:val="1"/>
      <w:marLeft w:val="0"/>
      <w:marRight w:val="0"/>
      <w:marTop w:val="0"/>
      <w:marBottom w:val="0"/>
      <w:divBdr>
        <w:top w:val="none" w:sz="0" w:space="0" w:color="auto"/>
        <w:left w:val="none" w:sz="0" w:space="0" w:color="auto"/>
        <w:bottom w:val="none" w:sz="0" w:space="0" w:color="auto"/>
        <w:right w:val="none" w:sz="0" w:space="0" w:color="auto"/>
      </w:divBdr>
      <w:divsChild>
        <w:div w:id="1363940223">
          <w:marLeft w:val="0"/>
          <w:marRight w:val="0"/>
          <w:marTop w:val="0"/>
          <w:marBottom w:val="0"/>
          <w:divBdr>
            <w:top w:val="none" w:sz="0" w:space="0" w:color="auto"/>
            <w:left w:val="none" w:sz="0" w:space="0" w:color="auto"/>
            <w:bottom w:val="none" w:sz="0" w:space="0" w:color="auto"/>
            <w:right w:val="none" w:sz="0" w:space="0" w:color="auto"/>
          </w:divBdr>
        </w:div>
      </w:divsChild>
    </w:div>
    <w:div w:id="991178949">
      <w:bodyDiv w:val="1"/>
      <w:marLeft w:val="0"/>
      <w:marRight w:val="0"/>
      <w:marTop w:val="0"/>
      <w:marBottom w:val="0"/>
      <w:divBdr>
        <w:top w:val="none" w:sz="0" w:space="0" w:color="auto"/>
        <w:left w:val="none" w:sz="0" w:space="0" w:color="auto"/>
        <w:bottom w:val="none" w:sz="0" w:space="0" w:color="auto"/>
        <w:right w:val="none" w:sz="0" w:space="0" w:color="auto"/>
      </w:divBdr>
    </w:div>
    <w:div w:id="1029575153">
      <w:bodyDiv w:val="1"/>
      <w:marLeft w:val="0"/>
      <w:marRight w:val="0"/>
      <w:marTop w:val="0"/>
      <w:marBottom w:val="0"/>
      <w:divBdr>
        <w:top w:val="none" w:sz="0" w:space="0" w:color="auto"/>
        <w:left w:val="none" w:sz="0" w:space="0" w:color="auto"/>
        <w:bottom w:val="none" w:sz="0" w:space="0" w:color="auto"/>
        <w:right w:val="none" w:sz="0" w:space="0" w:color="auto"/>
      </w:divBdr>
    </w:div>
    <w:div w:id="1050571714">
      <w:bodyDiv w:val="1"/>
      <w:marLeft w:val="0"/>
      <w:marRight w:val="0"/>
      <w:marTop w:val="0"/>
      <w:marBottom w:val="0"/>
      <w:divBdr>
        <w:top w:val="none" w:sz="0" w:space="0" w:color="auto"/>
        <w:left w:val="none" w:sz="0" w:space="0" w:color="auto"/>
        <w:bottom w:val="none" w:sz="0" w:space="0" w:color="auto"/>
        <w:right w:val="none" w:sz="0" w:space="0" w:color="auto"/>
      </w:divBdr>
      <w:divsChild>
        <w:div w:id="899826709">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100566648">
      <w:bodyDiv w:val="1"/>
      <w:marLeft w:val="0"/>
      <w:marRight w:val="0"/>
      <w:marTop w:val="0"/>
      <w:marBottom w:val="0"/>
      <w:divBdr>
        <w:top w:val="none" w:sz="0" w:space="0" w:color="auto"/>
        <w:left w:val="none" w:sz="0" w:space="0" w:color="auto"/>
        <w:bottom w:val="none" w:sz="0" w:space="0" w:color="auto"/>
        <w:right w:val="none" w:sz="0" w:space="0" w:color="auto"/>
      </w:divBdr>
    </w:div>
    <w:div w:id="1147623545">
      <w:bodyDiv w:val="1"/>
      <w:marLeft w:val="0"/>
      <w:marRight w:val="0"/>
      <w:marTop w:val="0"/>
      <w:marBottom w:val="0"/>
      <w:divBdr>
        <w:top w:val="none" w:sz="0" w:space="0" w:color="auto"/>
        <w:left w:val="none" w:sz="0" w:space="0" w:color="auto"/>
        <w:bottom w:val="none" w:sz="0" w:space="0" w:color="auto"/>
        <w:right w:val="none" w:sz="0" w:space="0" w:color="auto"/>
      </w:divBdr>
      <w:divsChild>
        <w:div w:id="188377660">
          <w:marLeft w:val="0"/>
          <w:marRight w:val="0"/>
          <w:marTop w:val="0"/>
          <w:marBottom w:val="0"/>
          <w:divBdr>
            <w:top w:val="none" w:sz="0" w:space="0" w:color="auto"/>
            <w:left w:val="none" w:sz="0" w:space="0" w:color="auto"/>
            <w:bottom w:val="none" w:sz="0" w:space="0" w:color="auto"/>
            <w:right w:val="none" w:sz="0" w:space="0" w:color="auto"/>
          </w:divBdr>
        </w:div>
      </w:divsChild>
    </w:div>
    <w:div w:id="1252928401">
      <w:bodyDiv w:val="1"/>
      <w:marLeft w:val="0"/>
      <w:marRight w:val="0"/>
      <w:marTop w:val="0"/>
      <w:marBottom w:val="0"/>
      <w:divBdr>
        <w:top w:val="none" w:sz="0" w:space="0" w:color="auto"/>
        <w:left w:val="none" w:sz="0" w:space="0" w:color="auto"/>
        <w:bottom w:val="none" w:sz="0" w:space="0" w:color="auto"/>
        <w:right w:val="none" w:sz="0" w:space="0" w:color="auto"/>
      </w:divBdr>
      <w:divsChild>
        <w:div w:id="1164466931">
          <w:marLeft w:val="0"/>
          <w:marRight w:val="0"/>
          <w:marTop w:val="0"/>
          <w:marBottom w:val="0"/>
          <w:divBdr>
            <w:top w:val="none" w:sz="0" w:space="0" w:color="auto"/>
            <w:left w:val="none" w:sz="0" w:space="0" w:color="auto"/>
            <w:bottom w:val="none" w:sz="0" w:space="0" w:color="auto"/>
            <w:right w:val="none" w:sz="0" w:space="0" w:color="auto"/>
          </w:divBdr>
        </w:div>
      </w:divsChild>
    </w:div>
    <w:div w:id="1333143200">
      <w:bodyDiv w:val="1"/>
      <w:marLeft w:val="0"/>
      <w:marRight w:val="0"/>
      <w:marTop w:val="0"/>
      <w:marBottom w:val="0"/>
      <w:divBdr>
        <w:top w:val="none" w:sz="0" w:space="0" w:color="auto"/>
        <w:left w:val="none" w:sz="0" w:space="0" w:color="auto"/>
        <w:bottom w:val="none" w:sz="0" w:space="0" w:color="auto"/>
        <w:right w:val="none" w:sz="0" w:space="0" w:color="auto"/>
      </w:divBdr>
    </w:div>
    <w:div w:id="1964339597">
      <w:bodyDiv w:val="1"/>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
      </w:divsChild>
    </w:div>
    <w:div w:id="1977294276">
      <w:bodyDiv w:val="1"/>
      <w:marLeft w:val="0"/>
      <w:marRight w:val="0"/>
      <w:marTop w:val="0"/>
      <w:marBottom w:val="0"/>
      <w:divBdr>
        <w:top w:val="none" w:sz="0" w:space="0" w:color="auto"/>
        <w:left w:val="none" w:sz="0" w:space="0" w:color="auto"/>
        <w:bottom w:val="none" w:sz="0" w:space="0" w:color="auto"/>
        <w:right w:val="none" w:sz="0" w:space="0" w:color="auto"/>
      </w:divBdr>
      <w:divsChild>
        <w:div w:id="1548564725">
          <w:marLeft w:val="0"/>
          <w:marRight w:val="0"/>
          <w:marTop w:val="0"/>
          <w:marBottom w:val="0"/>
          <w:divBdr>
            <w:top w:val="none" w:sz="0" w:space="0" w:color="auto"/>
            <w:left w:val="none" w:sz="0" w:space="0" w:color="auto"/>
            <w:bottom w:val="none" w:sz="0" w:space="0" w:color="auto"/>
            <w:right w:val="none" w:sz="0" w:space="0" w:color="auto"/>
          </w:divBdr>
        </w:div>
      </w:divsChild>
    </w:div>
    <w:div w:id="2032141485">
      <w:bodyDiv w:val="1"/>
      <w:marLeft w:val="0"/>
      <w:marRight w:val="0"/>
      <w:marTop w:val="0"/>
      <w:marBottom w:val="0"/>
      <w:divBdr>
        <w:top w:val="none" w:sz="0" w:space="0" w:color="auto"/>
        <w:left w:val="none" w:sz="0" w:space="0" w:color="auto"/>
        <w:bottom w:val="none" w:sz="0" w:space="0" w:color="auto"/>
        <w:right w:val="none" w:sz="0" w:space="0" w:color="auto"/>
      </w:divBdr>
    </w:div>
    <w:div w:id="2036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ST/SG/AC.10/42/Add.3" TargetMode="External"/><Relationship Id="rId2" Type="http://schemas.openxmlformats.org/officeDocument/2006/relationships/hyperlink" Target="http://undocs.org/sp/ST/SG/AC.10/42/Add.1" TargetMode="External"/><Relationship Id="rId1" Type="http://schemas.openxmlformats.org/officeDocument/2006/relationships/hyperlink" Target="http://undocs.org/sp/E/201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UN/SCETDG/48/INF</vt:lpstr>
    </vt:vector>
  </TitlesOfParts>
  <LinksUpToDate>false</LinksUpToDate>
  <CharactersWithSpaces>19746</CharactersWithSpaces>
  <SharedDoc>false</SharedDoc>
  <HLinks>
    <vt:vector size="60" baseType="variant">
      <vt:variant>
        <vt:i4>2359320</vt:i4>
      </vt:variant>
      <vt:variant>
        <vt:i4>27</vt:i4>
      </vt:variant>
      <vt:variant>
        <vt:i4>0</vt:i4>
      </vt:variant>
      <vt:variant>
        <vt:i4>5</vt:i4>
      </vt:variant>
      <vt:variant>
        <vt:lpwstr>https://drive.google.com/folderview?id=0B39bxM4AXnl6fi1tajRRZ250MzVGUkRZdGYyVThWVXVuaXdQU3dUbUx6SHM3dWM1SWp0UUk&amp;usp=drive_web</vt:lpwstr>
      </vt:variant>
      <vt:variant>
        <vt:lpwstr/>
      </vt:variant>
      <vt:variant>
        <vt:i4>2359320</vt:i4>
      </vt:variant>
      <vt:variant>
        <vt:i4>24</vt:i4>
      </vt:variant>
      <vt:variant>
        <vt:i4>0</vt:i4>
      </vt:variant>
      <vt:variant>
        <vt:i4>5</vt:i4>
      </vt:variant>
      <vt:variant>
        <vt:lpwstr>https://drive.google.com/folderview?id=0B39bxM4AXnl6fi1tajRRZ250MzVGUkRZdGYyVThWVXVuaXdQU3dUbUx6SHM3dWM1SWp0UUk&amp;usp=drive_web</vt:lpwstr>
      </vt:variant>
      <vt:variant>
        <vt:lpwstr/>
      </vt:variant>
      <vt:variant>
        <vt:i4>4128887</vt:i4>
      </vt:variant>
      <vt:variant>
        <vt:i4>21</vt:i4>
      </vt:variant>
      <vt:variant>
        <vt:i4>0</vt:i4>
      </vt:variant>
      <vt:variant>
        <vt:i4>5</vt:i4>
      </vt:variant>
      <vt:variant>
        <vt:lpwstr/>
      </vt:variant>
      <vt:variant>
        <vt:lpwstr>Annex4</vt:lpwstr>
      </vt:variant>
      <vt:variant>
        <vt:i4>4128887</vt:i4>
      </vt:variant>
      <vt:variant>
        <vt:i4>18</vt:i4>
      </vt:variant>
      <vt:variant>
        <vt:i4>0</vt:i4>
      </vt:variant>
      <vt:variant>
        <vt:i4>5</vt:i4>
      </vt:variant>
      <vt:variant>
        <vt:lpwstr/>
      </vt:variant>
      <vt:variant>
        <vt:lpwstr>Annex4</vt:lpwstr>
      </vt:variant>
      <vt:variant>
        <vt:i4>3735671</vt:i4>
      </vt:variant>
      <vt:variant>
        <vt:i4>15</vt:i4>
      </vt:variant>
      <vt:variant>
        <vt:i4>0</vt:i4>
      </vt:variant>
      <vt:variant>
        <vt:i4>5</vt:i4>
      </vt:variant>
      <vt:variant>
        <vt:lpwstr/>
      </vt:variant>
      <vt:variant>
        <vt:lpwstr>Annex2</vt:lpwstr>
      </vt:variant>
      <vt:variant>
        <vt:i4>3670135</vt:i4>
      </vt:variant>
      <vt:variant>
        <vt:i4>12</vt:i4>
      </vt:variant>
      <vt:variant>
        <vt:i4>0</vt:i4>
      </vt:variant>
      <vt:variant>
        <vt:i4>5</vt:i4>
      </vt:variant>
      <vt:variant>
        <vt:lpwstr/>
      </vt:variant>
      <vt:variant>
        <vt:lpwstr>Annex3</vt:lpwstr>
      </vt:variant>
      <vt:variant>
        <vt:i4>3735671</vt:i4>
      </vt:variant>
      <vt:variant>
        <vt:i4>9</vt:i4>
      </vt:variant>
      <vt:variant>
        <vt:i4>0</vt:i4>
      </vt:variant>
      <vt:variant>
        <vt:i4>5</vt:i4>
      </vt:variant>
      <vt:variant>
        <vt:lpwstr/>
      </vt:variant>
      <vt:variant>
        <vt:lpwstr>Annex2</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UN/SCETDG/48/INF</dc:title>
  <dc:creator/>
  <cp:lastModifiedBy/>
  <cp:revision>1</cp:revision>
  <cp:lastPrinted>2015-11-09T09:55:00Z</cp:lastPrinted>
  <dcterms:created xsi:type="dcterms:W3CDTF">2015-11-17T15:47:00Z</dcterms:created>
  <dcterms:modified xsi:type="dcterms:W3CDTF">2015-11-18T07:59:00Z</dcterms:modified>
</cp:coreProperties>
</file>