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E3" w:rsidRDefault="007A6FE3" w:rsidP="007A6FE3">
      <w:pPr>
        <w:spacing w:line="240" w:lineRule="auto"/>
        <w:rPr>
          <w:sz w:val="2"/>
        </w:rPr>
        <w:sectPr w:rsidR="007A6FE3" w:rsidSect="007A6FE3">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Pr>
          <w:rStyle w:val="CommentReference"/>
        </w:rPr>
        <w:commentReference w:id="1"/>
      </w:r>
    </w:p>
    <w:p w:rsidR="00AF53E1" w:rsidRPr="00AF53E1" w:rsidRDefault="00AF53E1" w:rsidP="00AF53E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lang w:val="fr-CH"/>
        </w:rPr>
      </w:pPr>
      <w:r w:rsidRPr="00AF53E1">
        <w:rPr>
          <w:lang w:val="fr-CH"/>
        </w:rPr>
        <w:lastRenderedPageBreak/>
        <w:t xml:space="preserve">Comité d’experts du transport des marchandises </w:t>
      </w:r>
      <w:r>
        <w:rPr>
          <w:lang w:val="fr-CH"/>
        </w:rPr>
        <w:br/>
      </w:r>
      <w:r w:rsidRPr="00AF53E1">
        <w:rPr>
          <w:lang w:val="fr-CH"/>
        </w:rPr>
        <w:t>dangereuses</w:t>
      </w:r>
      <w:r>
        <w:rPr>
          <w:lang w:val="fr-CH"/>
        </w:rPr>
        <w:t xml:space="preserve"> </w:t>
      </w:r>
      <w:r w:rsidRPr="00AF53E1">
        <w:rPr>
          <w:lang w:val="fr-CH"/>
        </w:rPr>
        <w:t xml:space="preserve">et du Système </w:t>
      </w:r>
      <w:bookmarkStart w:id="2" w:name="insstart"/>
      <w:bookmarkEnd w:id="2"/>
      <w:r w:rsidRPr="00AF53E1">
        <w:rPr>
          <w:lang w:val="fr-CH"/>
        </w:rPr>
        <w:t xml:space="preserve">général harmonisé </w:t>
      </w:r>
      <w:r>
        <w:rPr>
          <w:lang w:val="fr-CH"/>
        </w:rPr>
        <w:br/>
      </w:r>
      <w:r w:rsidRPr="00AF53E1">
        <w:rPr>
          <w:lang w:val="fr-CH"/>
        </w:rPr>
        <w:t>de classification</w:t>
      </w:r>
      <w:r>
        <w:rPr>
          <w:lang w:val="fr-CH"/>
        </w:rPr>
        <w:t xml:space="preserve"> </w:t>
      </w:r>
      <w:r w:rsidRPr="00AF53E1">
        <w:rPr>
          <w:lang w:val="fr-CH"/>
        </w:rPr>
        <w:t xml:space="preserve">et d’étiquetage </w:t>
      </w:r>
      <w:r>
        <w:rPr>
          <w:lang w:val="fr-CH"/>
        </w:rPr>
        <w:br/>
      </w:r>
      <w:r w:rsidRPr="00AF53E1">
        <w:rPr>
          <w:lang w:val="fr-CH"/>
        </w:rPr>
        <w:t>des produits chimiques</w:t>
      </w:r>
    </w:p>
    <w:p w:rsidR="00AF53E1" w:rsidRDefault="00AF53E1" w:rsidP="00AF53E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AF53E1">
        <w:rPr>
          <w:lang w:val="fr-CH"/>
        </w:rPr>
        <w:t xml:space="preserve">Sous-Comité d’experts du transport </w:t>
      </w:r>
      <w:r>
        <w:rPr>
          <w:lang w:val="fr-CH"/>
        </w:rPr>
        <w:br/>
      </w:r>
      <w:r w:rsidRPr="00AF53E1">
        <w:rPr>
          <w:lang w:val="fr-CH"/>
        </w:rPr>
        <w:t>des marchandises dangereuses</w:t>
      </w:r>
    </w:p>
    <w:p w:rsidR="00AF53E1" w:rsidRPr="00AF53E1" w:rsidRDefault="00AF53E1" w:rsidP="00AF53E1">
      <w:pPr>
        <w:spacing w:line="120" w:lineRule="exact"/>
        <w:rPr>
          <w:sz w:val="10"/>
          <w:lang w:val="fr-CH"/>
        </w:rPr>
      </w:pPr>
    </w:p>
    <w:p w:rsidR="00AF53E1" w:rsidRPr="00AF53E1" w:rsidRDefault="00AF53E1" w:rsidP="00AF53E1">
      <w:pPr>
        <w:spacing w:line="120" w:lineRule="exact"/>
        <w:rPr>
          <w:sz w:val="10"/>
          <w:lang w:val="fr-CH"/>
        </w:rPr>
      </w:pPr>
    </w:p>
    <w:p w:rsidR="00AF53E1" w:rsidRPr="00AF53E1" w:rsidRDefault="00AF53E1" w:rsidP="00AF53E1">
      <w:pPr>
        <w:spacing w:line="120" w:lineRule="exact"/>
        <w:rPr>
          <w:sz w:val="10"/>
          <w:lang w:val="fr-CH"/>
        </w:rPr>
      </w:pPr>
    </w:p>
    <w:p w:rsidR="00AF53E1" w:rsidRDefault="00AF53E1" w:rsidP="00AF53E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sidRPr="00AF53E1">
        <w:rPr>
          <w:lang w:val="fr-CH"/>
        </w:rPr>
        <w:tab/>
      </w:r>
      <w:r w:rsidRPr="00AF53E1">
        <w:rPr>
          <w:lang w:val="fr-CH"/>
        </w:rPr>
        <w:tab/>
        <w:t xml:space="preserve">Rapport du Sous-Comité d’experts </w:t>
      </w:r>
      <w:r w:rsidR="00AD3852">
        <w:rPr>
          <w:lang w:val="fr-CH"/>
        </w:rPr>
        <w:br/>
      </w:r>
      <w:r w:rsidRPr="00AF53E1">
        <w:rPr>
          <w:lang w:val="fr-CH"/>
        </w:rPr>
        <w:t xml:space="preserve">du transport des marchandises dangereuses </w:t>
      </w:r>
      <w:r w:rsidR="00AD3852">
        <w:rPr>
          <w:lang w:val="fr-CH"/>
        </w:rPr>
        <w:br/>
      </w:r>
      <w:r w:rsidRPr="00AF53E1">
        <w:rPr>
          <w:lang w:val="fr-CH"/>
        </w:rPr>
        <w:t>s</w:t>
      </w:r>
      <w:r>
        <w:rPr>
          <w:lang w:val="fr-CH"/>
        </w:rPr>
        <w:t>ur sa quarante-septième session</w:t>
      </w:r>
    </w:p>
    <w:p w:rsidR="00AF53E1" w:rsidRPr="00AF53E1" w:rsidRDefault="00AF53E1" w:rsidP="00AF53E1">
      <w:pPr>
        <w:spacing w:line="120" w:lineRule="exact"/>
        <w:rPr>
          <w:sz w:val="10"/>
          <w:lang w:val="fr-CH"/>
        </w:rPr>
      </w:pPr>
    </w:p>
    <w:p w:rsidR="00AF53E1" w:rsidRPr="00AF53E1" w:rsidRDefault="00AF53E1" w:rsidP="00AF53E1">
      <w:pPr>
        <w:spacing w:line="120" w:lineRule="exact"/>
        <w:rPr>
          <w:sz w:val="10"/>
          <w:lang w:val="fr-CH"/>
        </w:rPr>
      </w:pPr>
    </w:p>
    <w:p w:rsidR="007A6FE3" w:rsidRDefault="00AF53E1" w:rsidP="00AF53E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AF53E1">
        <w:rPr>
          <w:lang w:val="fr-CH"/>
        </w:rPr>
        <w:tab/>
      </w:r>
      <w:r w:rsidRPr="00AF53E1">
        <w:rPr>
          <w:lang w:val="fr-CH"/>
        </w:rPr>
        <w:tab/>
      </w:r>
      <w:r w:rsidR="00ED1DE0">
        <w:rPr>
          <w:lang w:val="fr-CH"/>
        </w:rPr>
        <w:t>t</w:t>
      </w:r>
      <w:r w:rsidRPr="00AF53E1">
        <w:rPr>
          <w:lang w:val="fr-CH"/>
        </w:rPr>
        <w:t>enue à Genève du 22 au 26</w:t>
      </w:r>
      <w:r>
        <w:rPr>
          <w:lang w:val="fr-CH"/>
        </w:rPr>
        <w:t> </w:t>
      </w:r>
      <w:r w:rsidRPr="00AF53E1">
        <w:rPr>
          <w:lang w:val="fr-CH"/>
        </w:rPr>
        <w:t>juin 2015</w:t>
      </w:r>
    </w:p>
    <w:p w:rsidR="00AF53E1" w:rsidRPr="00AF53E1" w:rsidRDefault="00AF53E1" w:rsidP="00AF53E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AF53E1" w:rsidRPr="00AF53E1" w:rsidRDefault="00AF53E1" w:rsidP="00AF53E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AF53E1" w:rsidRPr="00AF53E1" w:rsidRDefault="00AF53E1" w:rsidP="00AF53E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AF53E1" w:rsidRPr="00AF53E1" w:rsidRDefault="00AF53E1" w:rsidP="00AF53E1">
      <w:pPr>
        <w:pStyle w:val="HCH"/>
        <w:spacing w:after="120"/>
        <w:rPr>
          <w:b w:val="0"/>
        </w:rPr>
      </w:pPr>
      <w:r w:rsidRPr="00AF53E1">
        <w:rPr>
          <w:b w:val="0"/>
        </w:rPr>
        <w:t>Table des matières</w:t>
      </w:r>
    </w:p>
    <w:tbl>
      <w:tblPr>
        <w:tblW w:w="10044" w:type="dxa"/>
        <w:tblLayout w:type="fixed"/>
        <w:tblCellMar>
          <w:left w:w="0" w:type="dxa"/>
          <w:right w:w="0" w:type="dxa"/>
        </w:tblCellMar>
        <w:tblLook w:val="0000" w:firstRow="0" w:lastRow="0" w:firstColumn="0" w:lastColumn="0" w:noHBand="0" w:noVBand="0"/>
      </w:tblPr>
      <w:tblGrid>
        <w:gridCol w:w="1060"/>
        <w:gridCol w:w="7315"/>
        <w:gridCol w:w="994"/>
        <w:gridCol w:w="675"/>
      </w:tblGrid>
      <w:tr w:rsidR="00AF53E1" w:rsidRPr="00AF53E1" w:rsidTr="00AF53E1">
        <w:tc>
          <w:tcPr>
            <w:tcW w:w="1060" w:type="dxa"/>
            <w:shd w:val="clear" w:color="auto" w:fill="auto"/>
          </w:tcPr>
          <w:p w:rsidR="00AF53E1" w:rsidRPr="00AF53E1" w:rsidRDefault="00AF53E1" w:rsidP="00AF53E1">
            <w:pPr>
              <w:spacing w:after="120" w:line="240" w:lineRule="auto"/>
              <w:jc w:val="right"/>
              <w:rPr>
                <w:i/>
                <w:sz w:val="14"/>
              </w:rPr>
            </w:pPr>
          </w:p>
        </w:tc>
        <w:tc>
          <w:tcPr>
            <w:tcW w:w="7315" w:type="dxa"/>
            <w:shd w:val="clear" w:color="auto" w:fill="auto"/>
          </w:tcPr>
          <w:p w:rsidR="00AF53E1" w:rsidRPr="00AF53E1" w:rsidRDefault="00AF53E1" w:rsidP="00AF53E1">
            <w:pPr>
              <w:spacing w:after="120" w:line="240" w:lineRule="auto"/>
              <w:rPr>
                <w:i/>
                <w:sz w:val="14"/>
              </w:rPr>
            </w:pPr>
          </w:p>
        </w:tc>
        <w:tc>
          <w:tcPr>
            <w:tcW w:w="994" w:type="dxa"/>
            <w:shd w:val="clear" w:color="auto" w:fill="auto"/>
          </w:tcPr>
          <w:p w:rsidR="00AF53E1" w:rsidRPr="00AF53E1" w:rsidRDefault="00AF53E1" w:rsidP="00AF53E1">
            <w:pPr>
              <w:spacing w:after="120" w:line="240" w:lineRule="auto"/>
              <w:jc w:val="right"/>
              <w:rPr>
                <w:i/>
                <w:sz w:val="14"/>
              </w:rPr>
            </w:pPr>
            <w:r>
              <w:rPr>
                <w:i/>
                <w:sz w:val="14"/>
              </w:rPr>
              <w:t>Paragraphes</w:t>
            </w:r>
          </w:p>
        </w:tc>
        <w:tc>
          <w:tcPr>
            <w:tcW w:w="675" w:type="dxa"/>
            <w:shd w:val="clear" w:color="auto" w:fill="auto"/>
          </w:tcPr>
          <w:p w:rsidR="00AF53E1" w:rsidRPr="00AF53E1" w:rsidRDefault="00AF53E1" w:rsidP="00AF53E1">
            <w:pPr>
              <w:spacing w:after="120" w:line="240" w:lineRule="auto"/>
              <w:jc w:val="right"/>
              <w:rPr>
                <w:i/>
                <w:sz w:val="14"/>
              </w:rPr>
            </w:pPr>
            <w:r>
              <w:rPr>
                <w:i/>
                <w:sz w:val="14"/>
              </w:rPr>
              <w:t>Page</w:t>
            </w:r>
          </w:p>
        </w:tc>
      </w:tr>
      <w:tr w:rsidR="00AF53E1" w:rsidRPr="00AF53E1" w:rsidTr="00AF53E1">
        <w:tc>
          <w:tcPr>
            <w:tcW w:w="8375" w:type="dxa"/>
            <w:gridSpan w:val="2"/>
            <w:shd w:val="clear" w:color="auto" w:fill="auto"/>
          </w:tcPr>
          <w:p w:rsidR="00AF53E1" w:rsidRPr="00AF53E1" w:rsidRDefault="00207B6D" w:rsidP="00207B6D">
            <w:pPr>
              <w:pStyle w:val="ListParagraph"/>
              <w:numPr>
                <w:ilvl w:val="0"/>
                <w:numId w:val="6"/>
              </w:numPr>
              <w:tabs>
                <w:tab w:val="left" w:pos="1296"/>
                <w:tab w:val="left" w:pos="1728"/>
                <w:tab w:val="right" w:leader="dot" w:pos="8381"/>
              </w:tabs>
              <w:suppressAutoHyphens/>
              <w:spacing w:after="120"/>
            </w:pPr>
            <w:r w:rsidRPr="00207B6D">
              <w:rPr>
                <w:lang w:val="fr-CH"/>
              </w:rPr>
              <w:t>Participation</w:t>
            </w:r>
            <w:r>
              <w:rPr>
                <w:spacing w:val="60"/>
                <w:sz w:val="17"/>
                <w:lang w:val="fr-CH"/>
              </w:rPr>
              <w:tab/>
            </w:r>
          </w:p>
        </w:tc>
        <w:tc>
          <w:tcPr>
            <w:tcW w:w="994" w:type="dxa"/>
            <w:shd w:val="clear" w:color="auto" w:fill="auto"/>
            <w:vAlign w:val="bottom"/>
          </w:tcPr>
          <w:p w:rsidR="00AF53E1" w:rsidRPr="00AF53E1" w:rsidRDefault="00207B6D" w:rsidP="00AF53E1">
            <w:pPr>
              <w:spacing w:after="120"/>
              <w:jc w:val="right"/>
            </w:pPr>
            <w:r>
              <w:t>1–6</w:t>
            </w:r>
          </w:p>
        </w:tc>
        <w:tc>
          <w:tcPr>
            <w:tcW w:w="675" w:type="dxa"/>
            <w:shd w:val="clear" w:color="auto" w:fill="auto"/>
            <w:vAlign w:val="bottom"/>
          </w:tcPr>
          <w:p w:rsidR="00AF53E1" w:rsidRPr="00AF53E1" w:rsidRDefault="00207B6D" w:rsidP="00AF53E1">
            <w:pPr>
              <w:spacing w:after="120"/>
              <w:jc w:val="right"/>
            </w:pPr>
            <w:r>
              <w:t>5</w:t>
            </w:r>
          </w:p>
        </w:tc>
      </w:tr>
      <w:tr w:rsidR="00AF53E1" w:rsidRPr="00AF53E1" w:rsidTr="00AF53E1">
        <w:tc>
          <w:tcPr>
            <w:tcW w:w="8375" w:type="dxa"/>
            <w:gridSpan w:val="2"/>
            <w:shd w:val="clear" w:color="auto" w:fill="auto"/>
          </w:tcPr>
          <w:p w:rsidR="00AF53E1" w:rsidRPr="00AF53E1" w:rsidRDefault="00207B6D" w:rsidP="00207B6D">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pPr>
            <w:r w:rsidRPr="00207B6D">
              <w:rPr>
                <w:lang w:val="fr-CH"/>
              </w:rPr>
              <w:t>Adoption de l’ordre du jour (point 1 de l’ordre du jour)</w:t>
            </w:r>
            <w:r>
              <w:rPr>
                <w:spacing w:val="60"/>
                <w:sz w:val="17"/>
                <w:lang w:val="fr-CH"/>
              </w:rPr>
              <w:tab/>
            </w:r>
          </w:p>
        </w:tc>
        <w:tc>
          <w:tcPr>
            <w:tcW w:w="994" w:type="dxa"/>
            <w:shd w:val="clear" w:color="auto" w:fill="auto"/>
            <w:vAlign w:val="bottom"/>
          </w:tcPr>
          <w:p w:rsidR="00AF53E1" w:rsidRPr="00AF53E1" w:rsidRDefault="00207B6D" w:rsidP="00AF53E1">
            <w:pPr>
              <w:spacing w:after="120"/>
              <w:jc w:val="right"/>
            </w:pPr>
            <w:r>
              <w:t>7</w:t>
            </w:r>
          </w:p>
        </w:tc>
        <w:tc>
          <w:tcPr>
            <w:tcW w:w="675" w:type="dxa"/>
            <w:shd w:val="clear" w:color="auto" w:fill="auto"/>
            <w:vAlign w:val="bottom"/>
          </w:tcPr>
          <w:p w:rsidR="00AF53E1" w:rsidRPr="00AF53E1" w:rsidRDefault="00207B6D" w:rsidP="00AF53E1">
            <w:pPr>
              <w:spacing w:after="120"/>
              <w:jc w:val="right"/>
            </w:pPr>
            <w:r>
              <w:t>6</w:t>
            </w:r>
          </w:p>
        </w:tc>
      </w:tr>
      <w:tr w:rsidR="00AF53E1" w:rsidRPr="00AF53E1" w:rsidTr="00AF53E1">
        <w:tc>
          <w:tcPr>
            <w:tcW w:w="8375" w:type="dxa"/>
            <w:gridSpan w:val="2"/>
            <w:shd w:val="clear" w:color="auto" w:fill="auto"/>
          </w:tcPr>
          <w:p w:rsidR="00AF53E1" w:rsidRPr="00AF53E1" w:rsidRDefault="00207B6D" w:rsidP="00207B6D">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pPr>
            <w:r w:rsidRPr="00207B6D">
              <w:rPr>
                <w:lang w:val="fr-CH"/>
              </w:rPr>
              <w:t>Explosifs et questions connexes (point 2 de l’ordre du jour)</w:t>
            </w:r>
            <w:r>
              <w:rPr>
                <w:spacing w:val="60"/>
                <w:sz w:val="17"/>
                <w:lang w:val="fr-CH"/>
              </w:rPr>
              <w:tab/>
            </w:r>
          </w:p>
        </w:tc>
        <w:tc>
          <w:tcPr>
            <w:tcW w:w="994" w:type="dxa"/>
            <w:shd w:val="clear" w:color="auto" w:fill="auto"/>
            <w:vAlign w:val="bottom"/>
          </w:tcPr>
          <w:p w:rsidR="00AF53E1" w:rsidRPr="00AF53E1" w:rsidRDefault="00207B6D" w:rsidP="00AF53E1">
            <w:pPr>
              <w:spacing w:after="120"/>
              <w:jc w:val="right"/>
            </w:pPr>
            <w:r>
              <w:t>8–28</w:t>
            </w:r>
          </w:p>
        </w:tc>
        <w:tc>
          <w:tcPr>
            <w:tcW w:w="675" w:type="dxa"/>
            <w:shd w:val="clear" w:color="auto" w:fill="auto"/>
            <w:vAlign w:val="bottom"/>
          </w:tcPr>
          <w:p w:rsidR="00AF53E1" w:rsidRPr="00AF53E1" w:rsidRDefault="00207B6D" w:rsidP="00AF53E1">
            <w:pPr>
              <w:spacing w:after="120"/>
              <w:jc w:val="right"/>
            </w:pPr>
            <w:r>
              <w:t>6</w:t>
            </w:r>
          </w:p>
        </w:tc>
      </w:tr>
      <w:tr w:rsidR="00AF53E1" w:rsidRPr="00AF53E1" w:rsidTr="00AF53E1">
        <w:tc>
          <w:tcPr>
            <w:tcW w:w="8375" w:type="dxa"/>
            <w:gridSpan w:val="2"/>
            <w:shd w:val="clear" w:color="auto" w:fill="auto"/>
          </w:tcPr>
          <w:p w:rsidR="00AF53E1" w:rsidRPr="00207B6D" w:rsidRDefault="00207B6D" w:rsidP="00207B6D">
            <w:pPr>
              <w:pStyle w:val="ListParagraph"/>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ind w:left="1296"/>
              <w:rPr>
                <w:spacing w:val="60"/>
                <w:sz w:val="17"/>
              </w:rPr>
            </w:pPr>
            <w:r w:rsidRPr="00207B6D">
              <w:rPr>
                <w:lang w:val="fr-CH"/>
              </w:rPr>
              <w:t>Rapport du Groupe de travail sur les explosifs</w:t>
            </w:r>
            <w:r>
              <w:rPr>
                <w:spacing w:val="60"/>
                <w:sz w:val="17"/>
                <w:lang w:val="fr-CH"/>
              </w:rPr>
              <w:tab/>
            </w:r>
          </w:p>
        </w:tc>
        <w:tc>
          <w:tcPr>
            <w:tcW w:w="994" w:type="dxa"/>
            <w:shd w:val="clear" w:color="auto" w:fill="auto"/>
            <w:vAlign w:val="bottom"/>
          </w:tcPr>
          <w:p w:rsidR="00AF53E1" w:rsidRPr="00AF53E1" w:rsidRDefault="00207B6D" w:rsidP="00AF53E1">
            <w:pPr>
              <w:spacing w:after="120"/>
              <w:jc w:val="right"/>
            </w:pPr>
            <w:r>
              <w:t>9–10</w:t>
            </w:r>
          </w:p>
        </w:tc>
        <w:tc>
          <w:tcPr>
            <w:tcW w:w="675" w:type="dxa"/>
            <w:shd w:val="clear" w:color="auto" w:fill="auto"/>
            <w:vAlign w:val="bottom"/>
          </w:tcPr>
          <w:p w:rsidR="00AF53E1" w:rsidRPr="00AF53E1" w:rsidRDefault="00DE2B84" w:rsidP="00AF53E1">
            <w:pPr>
              <w:spacing w:after="120"/>
              <w:jc w:val="right"/>
            </w:pPr>
            <w:r>
              <w:t>6</w:t>
            </w:r>
          </w:p>
        </w:tc>
      </w:tr>
      <w:tr w:rsidR="00AF53E1" w:rsidRPr="00AF53E1" w:rsidTr="00AF53E1">
        <w:tc>
          <w:tcPr>
            <w:tcW w:w="8375" w:type="dxa"/>
            <w:gridSpan w:val="2"/>
            <w:shd w:val="clear" w:color="auto" w:fill="auto"/>
          </w:tcPr>
          <w:p w:rsidR="00AF53E1" w:rsidRPr="00AF53E1" w:rsidRDefault="00DE2B84" w:rsidP="00DE2B84">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pPr>
            <w:r w:rsidRPr="00DE2B84">
              <w:rPr>
                <w:lang w:val="fr-CH"/>
              </w:rPr>
              <w:t>Essais et critères pour les compositions éclair</w:t>
            </w:r>
            <w:r>
              <w:rPr>
                <w:spacing w:val="60"/>
                <w:sz w:val="17"/>
                <w:lang w:val="fr-CH"/>
              </w:rPr>
              <w:tab/>
            </w:r>
          </w:p>
        </w:tc>
        <w:tc>
          <w:tcPr>
            <w:tcW w:w="994" w:type="dxa"/>
            <w:shd w:val="clear" w:color="auto" w:fill="auto"/>
            <w:vAlign w:val="bottom"/>
          </w:tcPr>
          <w:p w:rsidR="00AF53E1" w:rsidRPr="00AF53E1" w:rsidRDefault="00DE2B84" w:rsidP="00AF53E1">
            <w:pPr>
              <w:spacing w:after="120"/>
              <w:jc w:val="right"/>
            </w:pPr>
            <w:r>
              <w:t>11</w:t>
            </w:r>
          </w:p>
        </w:tc>
        <w:tc>
          <w:tcPr>
            <w:tcW w:w="675" w:type="dxa"/>
            <w:shd w:val="clear" w:color="auto" w:fill="auto"/>
            <w:vAlign w:val="bottom"/>
          </w:tcPr>
          <w:p w:rsidR="00AF53E1" w:rsidRPr="00AF53E1" w:rsidRDefault="00DE2B84" w:rsidP="00AF53E1">
            <w:pPr>
              <w:spacing w:after="120"/>
              <w:jc w:val="right"/>
            </w:pPr>
            <w:r>
              <w:t>6</w:t>
            </w:r>
          </w:p>
        </w:tc>
      </w:tr>
      <w:tr w:rsidR="00AF53E1" w:rsidRPr="00AF53E1" w:rsidTr="00AF53E1">
        <w:tc>
          <w:tcPr>
            <w:tcW w:w="8375" w:type="dxa"/>
            <w:gridSpan w:val="2"/>
            <w:shd w:val="clear" w:color="auto" w:fill="auto"/>
          </w:tcPr>
          <w:p w:rsidR="00AF53E1" w:rsidRPr="00AF53E1" w:rsidRDefault="00BC2C66" w:rsidP="00BC2C66">
            <w:pPr>
              <w:pStyle w:val="ListParagraph"/>
              <w:numPr>
                <w:ilvl w:val="1"/>
                <w:numId w:val="6"/>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pPr>
            <w:r w:rsidRPr="00BC2C66">
              <w:rPr>
                <w:lang w:val="fr-CH"/>
              </w:rPr>
              <w:t>Examen des épreuves de la série 6</w:t>
            </w:r>
            <w:r>
              <w:rPr>
                <w:spacing w:val="60"/>
                <w:sz w:val="17"/>
                <w:lang w:val="fr-CH"/>
              </w:rPr>
              <w:tab/>
            </w:r>
          </w:p>
        </w:tc>
        <w:tc>
          <w:tcPr>
            <w:tcW w:w="994" w:type="dxa"/>
            <w:shd w:val="clear" w:color="auto" w:fill="auto"/>
            <w:vAlign w:val="bottom"/>
          </w:tcPr>
          <w:p w:rsidR="00AF53E1" w:rsidRPr="00AF53E1" w:rsidRDefault="00BC2C66" w:rsidP="00AF53E1">
            <w:pPr>
              <w:spacing w:after="120"/>
              <w:jc w:val="right"/>
            </w:pPr>
            <w:r>
              <w:t>12</w:t>
            </w:r>
          </w:p>
        </w:tc>
        <w:tc>
          <w:tcPr>
            <w:tcW w:w="675" w:type="dxa"/>
            <w:shd w:val="clear" w:color="auto" w:fill="auto"/>
            <w:vAlign w:val="bottom"/>
          </w:tcPr>
          <w:p w:rsidR="00AF53E1" w:rsidRPr="00AF53E1" w:rsidRDefault="00BC2C66" w:rsidP="00AF53E1">
            <w:pPr>
              <w:spacing w:after="120"/>
              <w:jc w:val="right"/>
            </w:pPr>
            <w:r>
              <w:t>7</w:t>
            </w:r>
          </w:p>
        </w:tc>
      </w:tr>
      <w:tr w:rsidR="00AF53E1" w:rsidRPr="00AF53E1" w:rsidTr="00AF53E1">
        <w:tc>
          <w:tcPr>
            <w:tcW w:w="8375" w:type="dxa"/>
            <w:gridSpan w:val="2"/>
            <w:shd w:val="clear" w:color="auto" w:fill="auto"/>
          </w:tcPr>
          <w:p w:rsidR="00AF53E1" w:rsidRPr="00AF53E1" w:rsidRDefault="00BC2C66" w:rsidP="00BC2C66">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pPr>
            <w:r w:rsidRPr="00BC2C66">
              <w:rPr>
                <w:lang w:val="fr-CH"/>
              </w:rPr>
              <w:t xml:space="preserve">Examen des épreuves dans les première et deuxième parties </w:t>
            </w:r>
            <w:r w:rsidRPr="00BC2C66">
              <w:rPr>
                <w:lang w:val="fr-CH"/>
              </w:rPr>
              <w:br/>
              <w:t>du Manuel d’épreuves et de critères</w:t>
            </w:r>
            <w:r>
              <w:rPr>
                <w:spacing w:val="60"/>
                <w:sz w:val="17"/>
                <w:lang w:val="fr-CH"/>
              </w:rPr>
              <w:tab/>
            </w:r>
          </w:p>
        </w:tc>
        <w:tc>
          <w:tcPr>
            <w:tcW w:w="994" w:type="dxa"/>
            <w:shd w:val="clear" w:color="auto" w:fill="auto"/>
            <w:vAlign w:val="bottom"/>
          </w:tcPr>
          <w:p w:rsidR="00AF53E1" w:rsidRPr="00AF53E1" w:rsidRDefault="00BC2C66" w:rsidP="00AF53E1">
            <w:pPr>
              <w:spacing w:after="120"/>
              <w:jc w:val="right"/>
            </w:pPr>
            <w:r>
              <w:t>13–14</w:t>
            </w:r>
          </w:p>
        </w:tc>
        <w:tc>
          <w:tcPr>
            <w:tcW w:w="675" w:type="dxa"/>
            <w:shd w:val="clear" w:color="auto" w:fill="auto"/>
            <w:vAlign w:val="bottom"/>
          </w:tcPr>
          <w:p w:rsidR="00AF53E1" w:rsidRPr="00AF53E1" w:rsidRDefault="00BC2C66" w:rsidP="00AF53E1">
            <w:pPr>
              <w:spacing w:after="120"/>
              <w:jc w:val="right"/>
            </w:pPr>
            <w:r>
              <w:t>7</w:t>
            </w:r>
          </w:p>
        </w:tc>
      </w:tr>
      <w:tr w:rsidR="00AF53E1" w:rsidRPr="00AF53E1" w:rsidTr="00AF53E1">
        <w:tc>
          <w:tcPr>
            <w:tcW w:w="8375" w:type="dxa"/>
            <w:gridSpan w:val="2"/>
            <w:shd w:val="clear" w:color="auto" w:fill="auto"/>
          </w:tcPr>
          <w:p w:rsidR="00AF53E1" w:rsidRPr="00AF53E1" w:rsidRDefault="00BC2C66" w:rsidP="00BC2C66">
            <w:pPr>
              <w:pStyle w:val="ListParagraph"/>
              <w:numPr>
                <w:ilvl w:val="2"/>
                <w:numId w:val="6"/>
              </w:numPr>
              <w:tabs>
                <w:tab w:val="left" w:pos="1296"/>
                <w:tab w:val="left" w:pos="1728"/>
                <w:tab w:val="left" w:pos="2160"/>
                <w:tab w:val="left" w:pos="2592"/>
                <w:tab w:val="left" w:pos="3024"/>
                <w:tab w:val="left" w:pos="3456"/>
                <w:tab w:val="right" w:leader="dot" w:pos="8381"/>
              </w:tabs>
              <w:suppressAutoHyphens/>
              <w:spacing w:after="120"/>
            </w:pPr>
            <w:r w:rsidRPr="00BC2C66">
              <w:rPr>
                <w:lang w:val="fr-CH"/>
              </w:rPr>
              <w:t>Épreuve de Koenen</w:t>
            </w:r>
            <w:r>
              <w:rPr>
                <w:spacing w:val="60"/>
                <w:sz w:val="17"/>
                <w:lang w:val="fr-CH"/>
              </w:rPr>
              <w:tab/>
            </w:r>
          </w:p>
        </w:tc>
        <w:tc>
          <w:tcPr>
            <w:tcW w:w="994" w:type="dxa"/>
            <w:shd w:val="clear" w:color="auto" w:fill="auto"/>
            <w:vAlign w:val="bottom"/>
          </w:tcPr>
          <w:p w:rsidR="00AF53E1" w:rsidRPr="00AF53E1" w:rsidRDefault="00BC2C66" w:rsidP="00AF53E1">
            <w:pPr>
              <w:spacing w:after="120"/>
              <w:jc w:val="right"/>
            </w:pPr>
            <w:r>
              <w:t>13</w:t>
            </w:r>
          </w:p>
        </w:tc>
        <w:tc>
          <w:tcPr>
            <w:tcW w:w="675" w:type="dxa"/>
            <w:shd w:val="clear" w:color="auto" w:fill="auto"/>
            <w:vAlign w:val="bottom"/>
          </w:tcPr>
          <w:p w:rsidR="00AF53E1" w:rsidRPr="00AF53E1" w:rsidRDefault="00BC2C66" w:rsidP="00AF53E1">
            <w:pPr>
              <w:spacing w:after="120"/>
              <w:jc w:val="right"/>
            </w:pPr>
            <w:r>
              <w:t>7</w:t>
            </w:r>
          </w:p>
        </w:tc>
      </w:tr>
      <w:tr w:rsidR="00AF53E1" w:rsidRPr="00AF53E1" w:rsidTr="00AF53E1">
        <w:tc>
          <w:tcPr>
            <w:tcW w:w="8375" w:type="dxa"/>
            <w:gridSpan w:val="2"/>
            <w:shd w:val="clear" w:color="auto" w:fill="auto"/>
          </w:tcPr>
          <w:p w:rsidR="00AF53E1" w:rsidRPr="00AF53E1" w:rsidRDefault="00BC2C66" w:rsidP="00BC2C66">
            <w:pPr>
              <w:pStyle w:val="ListParagraph"/>
              <w:numPr>
                <w:ilvl w:val="2"/>
                <w:numId w:val="6"/>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pPr>
            <w:r w:rsidRPr="00BC2C66">
              <w:rPr>
                <w:lang w:val="fr-CH"/>
              </w:rPr>
              <w:t>Détonateur normalisé de l’ONU</w:t>
            </w:r>
            <w:r>
              <w:rPr>
                <w:spacing w:val="60"/>
                <w:sz w:val="17"/>
                <w:lang w:val="fr-CH"/>
              </w:rPr>
              <w:tab/>
            </w:r>
          </w:p>
        </w:tc>
        <w:tc>
          <w:tcPr>
            <w:tcW w:w="994" w:type="dxa"/>
            <w:shd w:val="clear" w:color="auto" w:fill="auto"/>
            <w:vAlign w:val="bottom"/>
          </w:tcPr>
          <w:p w:rsidR="00AF53E1" w:rsidRPr="00AF53E1" w:rsidRDefault="00BC2C66" w:rsidP="00AF53E1">
            <w:pPr>
              <w:spacing w:after="120"/>
              <w:jc w:val="right"/>
            </w:pPr>
            <w:r>
              <w:t>14</w:t>
            </w:r>
          </w:p>
        </w:tc>
        <w:tc>
          <w:tcPr>
            <w:tcW w:w="675" w:type="dxa"/>
            <w:shd w:val="clear" w:color="auto" w:fill="auto"/>
            <w:vAlign w:val="bottom"/>
          </w:tcPr>
          <w:p w:rsidR="00AF53E1" w:rsidRPr="00AF53E1" w:rsidRDefault="00BC2C66" w:rsidP="00AF53E1">
            <w:pPr>
              <w:spacing w:after="120"/>
              <w:jc w:val="right"/>
            </w:pPr>
            <w:r>
              <w:t>7</w:t>
            </w:r>
          </w:p>
        </w:tc>
      </w:tr>
      <w:tr w:rsidR="00AF53E1" w:rsidRPr="00AF53E1" w:rsidTr="00AF53E1">
        <w:tc>
          <w:tcPr>
            <w:tcW w:w="8375" w:type="dxa"/>
            <w:gridSpan w:val="2"/>
            <w:shd w:val="clear" w:color="auto" w:fill="auto"/>
          </w:tcPr>
          <w:p w:rsidR="00AF53E1" w:rsidRPr="00AF53E1" w:rsidRDefault="00BC2C66" w:rsidP="00BC2C66">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pPr>
            <w:r w:rsidRPr="00BC2C66">
              <w:rPr>
                <w:lang w:val="fr-CH"/>
              </w:rPr>
              <w:t>Examen des instructions d’emballage applicables aux explosifs</w:t>
            </w:r>
            <w:r>
              <w:rPr>
                <w:spacing w:val="60"/>
                <w:sz w:val="17"/>
                <w:lang w:val="fr-CH"/>
              </w:rPr>
              <w:tab/>
            </w:r>
          </w:p>
        </w:tc>
        <w:tc>
          <w:tcPr>
            <w:tcW w:w="994" w:type="dxa"/>
            <w:shd w:val="clear" w:color="auto" w:fill="auto"/>
            <w:vAlign w:val="bottom"/>
          </w:tcPr>
          <w:p w:rsidR="00AF53E1" w:rsidRPr="00AF53E1" w:rsidRDefault="00BC2C66" w:rsidP="00AF53E1">
            <w:pPr>
              <w:spacing w:after="120"/>
              <w:jc w:val="right"/>
            </w:pPr>
            <w:r>
              <w:t>15</w:t>
            </w:r>
          </w:p>
        </w:tc>
        <w:tc>
          <w:tcPr>
            <w:tcW w:w="675" w:type="dxa"/>
            <w:shd w:val="clear" w:color="auto" w:fill="auto"/>
            <w:vAlign w:val="bottom"/>
          </w:tcPr>
          <w:p w:rsidR="00AF53E1" w:rsidRPr="00AF53E1" w:rsidRDefault="00BC2C66" w:rsidP="00AF53E1">
            <w:pPr>
              <w:spacing w:after="120"/>
              <w:jc w:val="right"/>
            </w:pPr>
            <w:r>
              <w:t>7</w:t>
            </w:r>
          </w:p>
        </w:tc>
      </w:tr>
      <w:tr w:rsidR="00AF53E1" w:rsidRPr="00AF53E1" w:rsidTr="00AF53E1">
        <w:tc>
          <w:tcPr>
            <w:tcW w:w="8375" w:type="dxa"/>
            <w:gridSpan w:val="2"/>
            <w:shd w:val="clear" w:color="auto" w:fill="auto"/>
          </w:tcPr>
          <w:p w:rsidR="00AF53E1" w:rsidRPr="00AF53E1" w:rsidRDefault="00BC2C66" w:rsidP="00BC2C66">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pPr>
            <w:r w:rsidRPr="00BC2C66">
              <w:rPr>
                <w:lang w:val="fr-CH"/>
              </w:rPr>
              <w:t>Norme harmonisée applicable aux marques de sécurité</w:t>
            </w:r>
            <w:r>
              <w:rPr>
                <w:spacing w:val="60"/>
                <w:sz w:val="17"/>
                <w:lang w:val="fr-CH"/>
              </w:rPr>
              <w:tab/>
            </w:r>
          </w:p>
        </w:tc>
        <w:tc>
          <w:tcPr>
            <w:tcW w:w="994" w:type="dxa"/>
            <w:shd w:val="clear" w:color="auto" w:fill="auto"/>
            <w:vAlign w:val="bottom"/>
          </w:tcPr>
          <w:p w:rsidR="00AF53E1" w:rsidRPr="00AF53E1" w:rsidRDefault="00BC2C66" w:rsidP="00AF53E1">
            <w:pPr>
              <w:spacing w:after="120"/>
              <w:jc w:val="right"/>
            </w:pPr>
            <w:r>
              <w:t>16</w:t>
            </w:r>
          </w:p>
        </w:tc>
        <w:tc>
          <w:tcPr>
            <w:tcW w:w="675" w:type="dxa"/>
            <w:shd w:val="clear" w:color="auto" w:fill="auto"/>
            <w:vAlign w:val="bottom"/>
          </w:tcPr>
          <w:p w:rsidR="00AF53E1" w:rsidRPr="00AF53E1" w:rsidRDefault="00BC2C66" w:rsidP="00AF53E1">
            <w:pPr>
              <w:spacing w:after="120"/>
              <w:jc w:val="right"/>
            </w:pPr>
            <w:r>
              <w:t>7</w:t>
            </w:r>
          </w:p>
        </w:tc>
      </w:tr>
      <w:tr w:rsidR="00AF53E1" w:rsidRPr="00AF53E1" w:rsidTr="00AF53E1">
        <w:tc>
          <w:tcPr>
            <w:tcW w:w="8375" w:type="dxa"/>
            <w:gridSpan w:val="2"/>
            <w:shd w:val="clear" w:color="auto" w:fill="auto"/>
          </w:tcPr>
          <w:p w:rsidR="00AF53E1" w:rsidRPr="00AF53E1" w:rsidRDefault="00BC2C66" w:rsidP="00BC2C66">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pPr>
            <w:r w:rsidRPr="00BC2C66">
              <w:rPr>
                <w:lang w:val="fr-CH"/>
              </w:rPr>
              <w:t>Classement des artifices de divertissement</w:t>
            </w:r>
            <w:r>
              <w:rPr>
                <w:spacing w:val="60"/>
                <w:sz w:val="17"/>
                <w:lang w:val="fr-CH"/>
              </w:rPr>
              <w:tab/>
            </w:r>
          </w:p>
        </w:tc>
        <w:tc>
          <w:tcPr>
            <w:tcW w:w="994" w:type="dxa"/>
            <w:shd w:val="clear" w:color="auto" w:fill="auto"/>
            <w:vAlign w:val="bottom"/>
          </w:tcPr>
          <w:p w:rsidR="00AF53E1" w:rsidRPr="00AF53E1" w:rsidRDefault="00BC2C66" w:rsidP="00AF53E1">
            <w:pPr>
              <w:spacing w:after="120"/>
              <w:jc w:val="right"/>
            </w:pPr>
            <w:r>
              <w:t>17</w:t>
            </w:r>
          </w:p>
        </w:tc>
        <w:tc>
          <w:tcPr>
            <w:tcW w:w="675" w:type="dxa"/>
            <w:shd w:val="clear" w:color="auto" w:fill="auto"/>
            <w:vAlign w:val="bottom"/>
          </w:tcPr>
          <w:p w:rsidR="00AF53E1" w:rsidRPr="00AF53E1" w:rsidRDefault="00BC2C66" w:rsidP="00AF53E1">
            <w:pPr>
              <w:spacing w:after="120"/>
              <w:jc w:val="right"/>
            </w:pPr>
            <w:r>
              <w:t>8</w:t>
            </w:r>
          </w:p>
        </w:tc>
      </w:tr>
      <w:tr w:rsidR="00AF53E1" w:rsidRPr="00AF53E1" w:rsidTr="00AF53E1">
        <w:tc>
          <w:tcPr>
            <w:tcW w:w="8375" w:type="dxa"/>
            <w:gridSpan w:val="2"/>
            <w:shd w:val="clear" w:color="auto" w:fill="auto"/>
          </w:tcPr>
          <w:p w:rsidR="00AF53E1" w:rsidRPr="00AF53E1" w:rsidRDefault="00BC2C66" w:rsidP="00BC2C66">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pPr>
            <w:r w:rsidRPr="00BC2C66">
              <w:rPr>
                <w:lang w:val="fr-CH"/>
              </w:rPr>
              <w:t>Classement d’objets sous le numéro ONU 0349</w:t>
            </w:r>
            <w:r>
              <w:rPr>
                <w:spacing w:val="60"/>
                <w:sz w:val="17"/>
                <w:lang w:val="fr-CH"/>
              </w:rPr>
              <w:tab/>
            </w:r>
          </w:p>
        </w:tc>
        <w:tc>
          <w:tcPr>
            <w:tcW w:w="994" w:type="dxa"/>
            <w:shd w:val="clear" w:color="auto" w:fill="auto"/>
            <w:vAlign w:val="bottom"/>
          </w:tcPr>
          <w:p w:rsidR="00AF53E1" w:rsidRPr="00AF53E1" w:rsidRDefault="00BC2C66" w:rsidP="00AF53E1">
            <w:pPr>
              <w:spacing w:after="120"/>
              <w:jc w:val="right"/>
            </w:pPr>
            <w:r>
              <w:t>18–20</w:t>
            </w:r>
          </w:p>
        </w:tc>
        <w:tc>
          <w:tcPr>
            <w:tcW w:w="675" w:type="dxa"/>
            <w:shd w:val="clear" w:color="auto" w:fill="auto"/>
            <w:vAlign w:val="bottom"/>
          </w:tcPr>
          <w:p w:rsidR="00AF53E1" w:rsidRPr="00AF53E1" w:rsidRDefault="00BC2C66" w:rsidP="00AF53E1">
            <w:pPr>
              <w:spacing w:after="120"/>
              <w:jc w:val="right"/>
            </w:pPr>
            <w:r>
              <w:t>8</w:t>
            </w:r>
          </w:p>
        </w:tc>
      </w:tr>
      <w:tr w:rsidR="00AF53E1" w:rsidRPr="00AF53E1" w:rsidTr="00AF53E1">
        <w:tc>
          <w:tcPr>
            <w:tcW w:w="8375" w:type="dxa"/>
            <w:gridSpan w:val="2"/>
            <w:shd w:val="clear" w:color="auto" w:fill="auto"/>
          </w:tcPr>
          <w:p w:rsidR="00AF53E1" w:rsidRPr="00AF53E1" w:rsidRDefault="00BC2C66" w:rsidP="00BC2C66">
            <w:pPr>
              <w:pStyle w:val="ListParagraph"/>
              <w:numPr>
                <w:ilvl w:val="1"/>
                <w:numId w:val="6"/>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pPr>
            <w:r w:rsidRPr="00BC2C66">
              <w:rPr>
                <w:lang w:val="fr-CH"/>
              </w:rPr>
              <w:t>Examen du chapitre 2.1 du SGH</w:t>
            </w:r>
            <w:r>
              <w:rPr>
                <w:spacing w:val="60"/>
                <w:sz w:val="17"/>
                <w:lang w:val="fr-CH"/>
              </w:rPr>
              <w:tab/>
            </w:r>
          </w:p>
        </w:tc>
        <w:tc>
          <w:tcPr>
            <w:tcW w:w="994" w:type="dxa"/>
            <w:shd w:val="clear" w:color="auto" w:fill="auto"/>
            <w:vAlign w:val="bottom"/>
          </w:tcPr>
          <w:p w:rsidR="00AF53E1" w:rsidRPr="00AF53E1" w:rsidRDefault="00BC2C66" w:rsidP="00AF53E1">
            <w:pPr>
              <w:spacing w:after="120"/>
              <w:jc w:val="right"/>
            </w:pPr>
            <w:r>
              <w:t>21–22</w:t>
            </w:r>
          </w:p>
        </w:tc>
        <w:tc>
          <w:tcPr>
            <w:tcW w:w="675" w:type="dxa"/>
            <w:shd w:val="clear" w:color="auto" w:fill="auto"/>
            <w:vAlign w:val="bottom"/>
          </w:tcPr>
          <w:p w:rsidR="00AF53E1" w:rsidRPr="00AF53E1" w:rsidRDefault="00BC2C66" w:rsidP="00AF53E1">
            <w:pPr>
              <w:spacing w:after="120"/>
              <w:jc w:val="right"/>
            </w:pPr>
            <w:r>
              <w:t>8</w:t>
            </w:r>
          </w:p>
        </w:tc>
      </w:tr>
      <w:tr w:rsidR="00AF53E1" w:rsidRPr="00AF53E1" w:rsidTr="00AF53E1">
        <w:tc>
          <w:tcPr>
            <w:tcW w:w="8375" w:type="dxa"/>
            <w:gridSpan w:val="2"/>
            <w:shd w:val="clear" w:color="auto" w:fill="auto"/>
          </w:tcPr>
          <w:p w:rsidR="00AF53E1" w:rsidRPr="00AF53E1" w:rsidRDefault="00BC2C66" w:rsidP="00BC2C66">
            <w:pPr>
              <w:pStyle w:val="ListParagraph"/>
              <w:keepNext/>
              <w:keepLines/>
              <w:numPr>
                <w:ilvl w:val="1"/>
                <w:numId w:val="6"/>
              </w:numPr>
              <w:tabs>
                <w:tab w:val="left" w:pos="1296"/>
                <w:tab w:val="left" w:pos="1728"/>
                <w:tab w:val="left" w:pos="2160"/>
                <w:tab w:val="left" w:pos="2592"/>
                <w:tab w:val="left" w:pos="3024"/>
                <w:tab w:val="right" w:leader="dot" w:pos="8381"/>
              </w:tabs>
              <w:suppressAutoHyphens/>
              <w:spacing w:after="120"/>
            </w:pPr>
            <w:r w:rsidRPr="00BC2C66">
              <w:rPr>
                <w:lang w:val="fr-CH"/>
              </w:rPr>
              <w:lastRenderedPageBreak/>
              <w:t>Questions diverses</w:t>
            </w:r>
            <w:r>
              <w:rPr>
                <w:spacing w:val="60"/>
                <w:sz w:val="17"/>
                <w:lang w:val="fr-CH"/>
              </w:rPr>
              <w:tab/>
            </w:r>
          </w:p>
        </w:tc>
        <w:tc>
          <w:tcPr>
            <w:tcW w:w="994" w:type="dxa"/>
            <w:shd w:val="clear" w:color="auto" w:fill="auto"/>
            <w:vAlign w:val="bottom"/>
          </w:tcPr>
          <w:p w:rsidR="00AF53E1" w:rsidRPr="00AF53E1" w:rsidRDefault="00BC2C66" w:rsidP="00AF53E1">
            <w:pPr>
              <w:spacing w:after="120"/>
              <w:jc w:val="right"/>
            </w:pPr>
            <w:r>
              <w:t>23–28</w:t>
            </w:r>
          </w:p>
        </w:tc>
        <w:tc>
          <w:tcPr>
            <w:tcW w:w="675" w:type="dxa"/>
            <w:shd w:val="clear" w:color="auto" w:fill="auto"/>
            <w:vAlign w:val="bottom"/>
          </w:tcPr>
          <w:p w:rsidR="00AF53E1" w:rsidRPr="00AF53E1" w:rsidRDefault="00BC2C66" w:rsidP="00AF53E1">
            <w:pPr>
              <w:spacing w:after="120"/>
              <w:jc w:val="right"/>
            </w:pPr>
            <w:r>
              <w:t>9</w:t>
            </w:r>
          </w:p>
        </w:tc>
      </w:tr>
      <w:tr w:rsidR="00AF53E1" w:rsidRPr="00AF53E1" w:rsidTr="00AF53E1">
        <w:tc>
          <w:tcPr>
            <w:tcW w:w="8375" w:type="dxa"/>
            <w:gridSpan w:val="2"/>
            <w:shd w:val="clear" w:color="auto" w:fill="auto"/>
          </w:tcPr>
          <w:p w:rsidR="00AF53E1" w:rsidRPr="00AF53E1" w:rsidRDefault="00BC2C66" w:rsidP="00BC2C66">
            <w:pPr>
              <w:pStyle w:val="ListParagraph"/>
              <w:keepNext/>
              <w:keepLines/>
              <w:numPr>
                <w:ilvl w:val="2"/>
                <w:numId w:val="6"/>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pPr>
            <w:r w:rsidRPr="00BC2C66">
              <w:rPr>
                <w:lang w:val="fr-CH"/>
              </w:rPr>
              <w:t xml:space="preserve">Numéro ONU 3375 Nitrate d’ammonium en émulsion </w:t>
            </w:r>
            <w:r>
              <w:rPr>
                <w:lang w:val="fr-CH"/>
              </w:rPr>
              <w:br/>
            </w:r>
            <w:r w:rsidRPr="00BC2C66">
              <w:rPr>
                <w:lang w:val="fr-CH"/>
              </w:rPr>
              <w:t>et disposition spéciale 309</w:t>
            </w:r>
            <w:r>
              <w:rPr>
                <w:spacing w:val="60"/>
                <w:sz w:val="17"/>
                <w:lang w:val="fr-CH"/>
              </w:rPr>
              <w:tab/>
            </w:r>
          </w:p>
        </w:tc>
        <w:tc>
          <w:tcPr>
            <w:tcW w:w="994" w:type="dxa"/>
            <w:shd w:val="clear" w:color="auto" w:fill="auto"/>
            <w:vAlign w:val="bottom"/>
          </w:tcPr>
          <w:p w:rsidR="00AF53E1" w:rsidRPr="00AF53E1" w:rsidRDefault="00BC2C66" w:rsidP="00AF53E1">
            <w:pPr>
              <w:spacing w:after="120"/>
              <w:jc w:val="right"/>
            </w:pPr>
            <w:r>
              <w:t>23</w:t>
            </w:r>
          </w:p>
        </w:tc>
        <w:tc>
          <w:tcPr>
            <w:tcW w:w="675" w:type="dxa"/>
            <w:shd w:val="clear" w:color="auto" w:fill="auto"/>
            <w:vAlign w:val="bottom"/>
          </w:tcPr>
          <w:p w:rsidR="00AF53E1" w:rsidRPr="00AF53E1" w:rsidRDefault="00BC2C66" w:rsidP="00AF53E1">
            <w:pPr>
              <w:spacing w:after="120"/>
              <w:jc w:val="right"/>
            </w:pPr>
            <w:r>
              <w:t>9</w:t>
            </w:r>
          </w:p>
        </w:tc>
      </w:tr>
      <w:tr w:rsidR="00AF53E1" w:rsidRPr="00AF53E1" w:rsidTr="00AF53E1">
        <w:tc>
          <w:tcPr>
            <w:tcW w:w="8375" w:type="dxa"/>
            <w:gridSpan w:val="2"/>
            <w:shd w:val="clear" w:color="auto" w:fill="auto"/>
          </w:tcPr>
          <w:p w:rsidR="00AF53E1" w:rsidRPr="00AF53E1" w:rsidRDefault="00BC2C66" w:rsidP="00BC2C66">
            <w:pPr>
              <w:pStyle w:val="ListParagraph"/>
              <w:numPr>
                <w:ilvl w:val="2"/>
                <w:numId w:val="6"/>
              </w:numPr>
              <w:tabs>
                <w:tab w:val="left" w:pos="1296"/>
                <w:tab w:val="left" w:pos="1728"/>
                <w:tab w:val="left" w:pos="2160"/>
                <w:tab w:val="left" w:pos="2592"/>
                <w:tab w:val="left" w:pos="3024"/>
                <w:tab w:val="left" w:pos="3456"/>
                <w:tab w:val="left" w:pos="3888"/>
                <w:tab w:val="right" w:leader="dot" w:pos="8381"/>
              </w:tabs>
              <w:suppressAutoHyphens/>
              <w:spacing w:after="120"/>
            </w:pPr>
            <w:r w:rsidRPr="00BC2C66">
              <w:rPr>
                <w:lang w:val="fr-CH"/>
              </w:rPr>
              <w:t>Classement par analogie</w:t>
            </w:r>
            <w:r>
              <w:rPr>
                <w:spacing w:val="60"/>
                <w:sz w:val="17"/>
                <w:lang w:val="fr-CH"/>
              </w:rPr>
              <w:tab/>
            </w:r>
          </w:p>
        </w:tc>
        <w:tc>
          <w:tcPr>
            <w:tcW w:w="994" w:type="dxa"/>
            <w:shd w:val="clear" w:color="auto" w:fill="auto"/>
            <w:vAlign w:val="bottom"/>
          </w:tcPr>
          <w:p w:rsidR="00AF53E1" w:rsidRPr="00AF53E1" w:rsidRDefault="00BC2C66" w:rsidP="00AF53E1">
            <w:pPr>
              <w:spacing w:after="120"/>
              <w:jc w:val="right"/>
            </w:pPr>
            <w:r>
              <w:t>24</w:t>
            </w:r>
          </w:p>
        </w:tc>
        <w:tc>
          <w:tcPr>
            <w:tcW w:w="675" w:type="dxa"/>
            <w:shd w:val="clear" w:color="auto" w:fill="auto"/>
            <w:vAlign w:val="bottom"/>
          </w:tcPr>
          <w:p w:rsidR="00AF53E1" w:rsidRPr="00AF53E1" w:rsidRDefault="00BC2C66" w:rsidP="00AF53E1">
            <w:pPr>
              <w:spacing w:after="120"/>
              <w:jc w:val="right"/>
            </w:pPr>
            <w:r>
              <w:t>9</w:t>
            </w:r>
          </w:p>
        </w:tc>
      </w:tr>
      <w:tr w:rsidR="00AF53E1" w:rsidRPr="00AF53E1" w:rsidTr="00AF53E1">
        <w:tc>
          <w:tcPr>
            <w:tcW w:w="8375" w:type="dxa"/>
            <w:gridSpan w:val="2"/>
            <w:shd w:val="clear" w:color="auto" w:fill="auto"/>
          </w:tcPr>
          <w:p w:rsidR="00AF53E1" w:rsidRPr="00AF53E1" w:rsidRDefault="00A76AA1" w:rsidP="00BC2C66">
            <w:pPr>
              <w:pStyle w:val="ListParagraph"/>
              <w:numPr>
                <w:ilvl w:val="2"/>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pPr>
            <w:r w:rsidRPr="00BC2C66">
              <w:rPr>
                <w:lang w:val="fr-CH"/>
              </w:rPr>
              <w:t xml:space="preserve">Transport de PETN </w:t>
            </w:r>
            <w:r w:rsidR="00ED1DE0" w:rsidRPr="00BC2C66">
              <w:rPr>
                <w:lang w:val="fr-CH"/>
              </w:rPr>
              <w:t>mouillé à l’eau (9</w:t>
            </w:r>
            <w:r w:rsidRPr="00BC2C66">
              <w:rPr>
                <w:lang w:val="fr-CH"/>
              </w:rPr>
              <w:t>-</w:t>
            </w:r>
            <w:r w:rsidR="00ED1DE0" w:rsidRPr="00BC2C66">
              <w:rPr>
                <w:lang w:val="fr-CH"/>
              </w:rPr>
              <w:t>25</w:t>
            </w:r>
            <w:r w:rsidRPr="00BC2C66">
              <w:rPr>
                <w:lang w:val="fr-CH"/>
              </w:rPr>
              <w:t> </w:t>
            </w:r>
            <w:r w:rsidR="00ED1DE0" w:rsidRPr="00BC2C66">
              <w:rPr>
                <w:lang w:val="fr-CH"/>
              </w:rPr>
              <w:t>%)</w:t>
            </w:r>
            <w:r w:rsidR="00BC2C66">
              <w:rPr>
                <w:spacing w:val="60"/>
                <w:sz w:val="17"/>
                <w:lang w:val="fr-CH"/>
              </w:rPr>
              <w:tab/>
            </w:r>
          </w:p>
        </w:tc>
        <w:tc>
          <w:tcPr>
            <w:tcW w:w="994" w:type="dxa"/>
            <w:shd w:val="clear" w:color="auto" w:fill="auto"/>
            <w:vAlign w:val="bottom"/>
          </w:tcPr>
          <w:p w:rsidR="00AF53E1" w:rsidRPr="00AF53E1" w:rsidRDefault="00BC2C66" w:rsidP="00AF53E1">
            <w:pPr>
              <w:spacing w:after="120"/>
              <w:jc w:val="right"/>
            </w:pPr>
            <w:r>
              <w:t>25</w:t>
            </w:r>
          </w:p>
        </w:tc>
        <w:tc>
          <w:tcPr>
            <w:tcW w:w="675" w:type="dxa"/>
            <w:shd w:val="clear" w:color="auto" w:fill="auto"/>
            <w:vAlign w:val="bottom"/>
          </w:tcPr>
          <w:p w:rsidR="00AF53E1" w:rsidRPr="00AF53E1" w:rsidRDefault="00BC2C66" w:rsidP="00AF53E1">
            <w:pPr>
              <w:spacing w:after="120"/>
              <w:jc w:val="right"/>
            </w:pPr>
            <w:r>
              <w:t>9</w:t>
            </w:r>
          </w:p>
        </w:tc>
      </w:tr>
      <w:tr w:rsidR="00AF53E1" w:rsidRPr="00AF53E1" w:rsidTr="00AF53E1">
        <w:tc>
          <w:tcPr>
            <w:tcW w:w="8375" w:type="dxa"/>
            <w:gridSpan w:val="2"/>
            <w:shd w:val="clear" w:color="auto" w:fill="auto"/>
          </w:tcPr>
          <w:p w:rsidR="00AF53E1" w:rsidRPr="00AF53E1" w:rsidRDefault="00BC2C66" w:rsidP="00BC2C66">
            <w:pPr>
              <w:pStyle w:val="ListParagraph"/>
              <w:numPr>
                <w:ilvl w:val="2"/>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pPr>
            <w:r w:rsidRPr="00BC2C66">
              <w:rPr>
                <w:lang w:val="fr-CH"/>
              </w:rPr>
              <w:t>Transport d’échantillons énergétiques en vue d’essais ultérieurs</w:t>
            </w:r>
            <w:r>
              <w:rPr>
                <w:spacing w:val="60"/>
                <w:sz w:val="17"/>
                <w:lang w:val="fr-CH"/>
              </w:rPr>
              <w:tab/>
            </w:r>
          </w:p>
        </w:tc>
        <w:tc>
          <w:tcPr>
            <w:tcW w:w="994" w:type="dxa"/>
            <w:shd w:val="clear" w:color="auto" w:fill="auto"/>
            <w:vAlign w:val="bottom"/>
          </w:tcPr>
          <w:p w:rsidR="00AF53E1" w:rsidRPr="00AF53E1" w:rsidRDefault="00BC2C66" w:rsidP="00AF53E1">
            <w:pPr>
              <w:spacing w:after="120"/>
              <w:jc w:val="right"/>
            </w:pPr>
            <w:r>
              <w:t>26</w:t>
            </w:r>
          </w:p>
        </w:tc>
        <w:tc>
          <w:tcPr>
            <w:tcW w:w="675" w:type="dxa"/>
            <w:shd w:val="clear" w:color="auto" w:fill="auto"/>
            <w:vAlign w:val="bottom"/>
          </w:tcPr>
          <w:p w:rsidR="00AF53E1" w:rsidRPr="00AF53E1" w:rsidRDefault="00BC2C66" w:rsidP="00AF53E1">
            <w:pPr>
              <w:spacing w:after="120"/>
              <w:jc w:val="right"/>
            </w:pPr>
            <w:r>
              <w:t>9</w:t>
            </w:r>
          </w:p>
        </w:tc>
      </w:tr>
      <w:tr w:rsidR="00AF53E1" w:rsidRPr="00AF53E1" w:rsidTr="00AF53E1">
        <w:tc>
          <w:tcPr>
            <w:tcW w:w="8375" w:type="dxa"/>
            <w:gridSpan w:val="2"/>
            <w:shd w:val="clear" w:color="auto" w:fill="auto"/>
          </w:tcPr>
          <w:p w:rsidR="00AF53E1" w:rsidRPr="00AF53E1" w:rsidRDefault="00BC2C66" w:rsidP="00BC2C66">
            <w:pPr>
              <w:pStyle w:val="ListParagraph"/>
              <w:numPr>
                <w:ilvl w:val="2"/>
                <w:numId w:val="6"/>
              </w:numPr>
              <w:tabs>
                <w:tab w:val="left" w:pos="1296"/>
                <w:tab w:val="left" w:pos="1728"/>
                <w:tab w:val="left" w:pos="2160"/>
                <w:tab w:val="left" w:pos="2592"/>
                <w:tab w:val="left" w:pos="3024"/>
                <w:tab w:val="right" w:leader="dot" w:pos="8381"/>
              </w:tabs>
              <w:suppressAutoHyphens/>
              <w:spacing w:after="120"/>
            </w:pPr>
            <w:r w:rsidRPr="00BC2C66">
              <w:rPr>
                <w:lang w:val="fr-CH"/>
              </w:rPr>
              <w:t xml:space="preserve">Dispositions relatives au transport du numéro ONU 0501 </w:t>
            </w:r>
            <w:r>
              <w:rPr>
                <w:lang w:val="fr-CH"/>
              </w:rPr>
              <w:br/>
            </w:r>
            <w:r w:rsidRPr="00BC2C66">
              <w:rPr>
                <w:lang w:val="fr-CH"/>
              </w:rPr>
              <w:t>propergol solide, 1.4C</w:t>
            </w:r>
            <w:r>
              <w:rPr>
                <w:spacing w:val="60"/>
                <w:sz w:val="17"/>
                <w:lang w:val="fr-CH"/>
              </w:rPr>
              <w:tab/>
            </w:r>
          </w:p>
        </w:tc>
        <w:tc>
          <w:tcPr>
            <w:tcW w:w="994" w:type="dxa"/>
            <w:shd w:val="clear" w:color="auto" w:fill="auto"/>
            <w:vAlign w:val="bottom"/>
          </w:tcPr>
          <w:p w:rsidR="00AF53E1" w:rsidRPr="00AF53E1" w:rsidRDefault="00BC2C66" w:rsidP="00AF53E1">
            <w:pPr>
              <w:spacing w:after="120"/>
              <w:jc w:val="right"/>
            </w:pPr>
            <w:r>
              <w:t>27</w:t>
            </w:r>
          </w:p>
        </w:tc>
        <w:tc>
          <w:tcPr>
            <w:tcW w:w="675" w:type="dxa"/>
            <w:shd w:val="clear" w:color="auto" w:fill="auto"/>
            <w:vAlign w:val="bottom"/>
          </w:tcPr>
          <w:p w:rsidR="00AF53E1" w:rsidRPr="00AF53E1" w:rsidRDefault="00BC2C66" w:rsidP="00AF53E1">
            <w:pPr>
              <w:spacing w:after="120"/>
              <w:jc w:val="right"/>
            </w:pPr>
            <w:r>
              <w:t>9</w:t>
            </w:r>
          </w:p>
        </w:tc>
      </w:tr>
      <w:tr w:rsidR="00AF53E1" w:rsidRPr="00AF53E1" w:rsidTr="00AF53E1">
        <w:tc>
          <w:tcPr>
            <w:tcW w:w="8375" w:type="dxa"/>
            <w:gridSpan w:val="2"/>
            <w:shd w:val="clear" w:color="auto" w:fill="auto"/>
          </w:tcPr>
          <w:p w:rsidR="00AF53E1" w:rsidRPr="00AF53E1" w:rsidRDefault="00BC2C66" w:rsidP="00BC2C66">
            <w:pPr>
              <w:pStyle w:val="ListParagraph"/>
              <w:numPr>
                <w:ilvl w:val="2"/>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pPr>
            <w:r w:rsidRPr="00BC2C66">
              <w:rPr>
                <w:lang w:val="fr-CH"/>
              </w:rPr>
              <w:t xml:space="preserve">Procédures de classification des liquides et solides explosibles désensibilisées des numéros ONU 3379 et ONU 3380, </w:t>
            </w:r>
            <w:r>
              <w:rPr>
                <w:lang w:val="fr-CH"/>
              </w:rPr>
              <w:br/>
            </w:r>
            <w:r w:rsidRPr="00BC2C66">
              <w:rPr>
                <w:lang w:val="fr-CH"/>
              </w:rPr>
              <w:t>et critères d’exclusion des matières énergétiques</w:t>
            </w:r>
            <w:r>
              <w:rPr>
                <w:spacing w:val="60"/>
                <w:sz w:val="17"/>
                <w:lang w:val="fr-CH"/>
              </w:rPr>
              <w:tab/>
            </w:r>
          </w:p>
        </w:tc>
        <w:tc>
          <w:tcPr>
            <w:tcW w:w="994" w:type="dxa"/>
            <w:shd w:val="clear" w:color="auto" w:fill="auto"/>
            <w:vAlign w:val="bottom"/>
          </w:tcPr>
          <w:p w:rsidR="00AF53E1" w:rsidRPr="00AF53E1" w:rsidRDefault="00BC2C66" w:rsidP="00AF53E1">
            <w:pPr>
              <w:spacing w:after="120"/>
              <w:jc w:val="right"/>
            </w:pPr>
            <w:r>
              <w:t>28</w:t>
            </w:r>
          </w:p>
        </w:tc>
        <w:tc>
          <w:tcPr>
            <w:tcW w:w="675" w:type="dxa"/>
            <w:shd w:val="clear" w:color="auto" w:fill="auto"/>
            <w:vAlign w:val="bottom"/>
          </w:tcPr>
          <w:p w:rsidR="00AF53E1" w:rsidRPr="00AF53E1" w:rsidRDefault="00BC2C66" w:rsidP="00AF53E1">
            <w:pPr>
              <w:spacing w:after="120"/>
              <w:jc w:val="right"/>
            </w:pPr>
            <w:r>
              <w:t>9</w:t>
            </w:r>
          </w:p>
        </w:tc>
      </w:tr>
      <w:tr w:rsidR="00AF53E1" w:rsidRPr="00AF53E1" w:rsidTr="00AF53E1">
        <w:tc>
          <w:tcPr>
            <w:tcW w:w="8375" w:type="dxa"/>
            <w:gridSpan w:val="2"/>
            <w:shd w:val="clear" w:color="auto" w:fill="auto"/>
          </w:tcPr>
          <w:p w:rsidR="00AF53E1" w:rsidRPr="00AF53E1" w:rsidRDefault="007F4659" w:rsidP="007F4659">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pPr>
            <w:r w:rsidRPr="007F4659">
              <w:rPr>
                <w:lang w:val="fr-CH"/>
              </w:rPr>
              <w:t>Inscription, classement et emballage (point 3 de l’ordre du jour)</w:t>
            </w:r>
            <w:r>
              <w:rPr>
                <w:spacing w:val="60"/>
                <w:sz w:val="17"/>
                <w:lang w:val="fr-CH"/>
              </w:rPr>
              <w:tab/>
            </w:r>
          </w:p>
        </w:tc>
        <w:tc>
          <w:tcPr>
            <w:tcW w:w="994" w:type="dxa"/>
            <w:shd w:val="clear" w:color="auto" w:fill="auto"/>
            <w:vAlign w:val="bottom"/>
          </w:tcPr>
          <w:p w:rsidR="00AF53E1" w:rsidRPr="00AF53E1" w:rsidRDefault="007F4659" w:rsidP="00AF53E1">
            <w:pPr>
              <w:spacing w:after="120"/>
              <w:jc w:val="right"/>
            </w:pPr>
            <w:r>
              <w:t>29–45</w:t>
            </w:r>
          </w:p>
        </w:tc>
        <w:tc>
          <w:tcPr>
            <w:tcW w:w="675" w:type="dxa"/>
            <w:shd w:val="clear" w:color="auto" w:fill="auto"/>
            <w:vAlign w:val="bottom"/>
          </w:tcPr>
          <w:p w:rsidR="00AF53E1" w:rsidRPr="00AF53E1" w:rsidRDefault="007F4659" w:rsidP="00AF53E1">
            <w:pPr>
              <w:spacing w:after="120"/>
              <w:jc w:val="right"/>
            </w:pPr>
            <w:r>
              <w:t>10</w:t>
            </w:r>
          </w:p>
        </w:tc>
      </w:tr>
      <w:tr w:rsidR="00AF53E1" w:rsidRPr="00AF53E1" w:rsidTr="00AF53E1">
        <w:tc>
          <w:tcPr>
            <w:tcW w:w="8375" w:type="dxa"/>
            <w:gridSpan w:val="2"/>
            <w:shd w:val="clear" w:color="auto" w:fill="auto"/>
          </w:tcPr>
          <w:p w:rsidR="00AF53E1" w:rsidRPr="00AF53E1" w:rsidRDefault="007F4659" w:rsidP="00111FE5">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pPr>
            <w:r w:rsidRPr="007F4659">
              <w:rPr>
                <w:lang w:val="fr-CH"/>
              </w:rPr>
              <w:t>Dithionite de sodium (</w:t>
            </w:r>
            <w:r w:rsidR="00111FE5">
              <w:rPr>
                <w:lang w:val="fr-CH"/>
              </w:rPr>
              <w:t xml:space="preserve">numéro </w:t>
            </w:r>
            <w:r w:rsidRPr="007F4659">
              <w:rPr>
                <w:lang w:val="fr-CH"/>
              </w:rPr>
              <w:t>ONU 1384)</w:t>
            </w:r>
            <w:r>
              <w:rPr>
                <w:spacing w:val="60"/>
                <w:sz w:val="17"/>
                <w:lang w:val="fr-CH"/>
              </w:rPr>
              <w:tab/>
            </w:r>
          </w:p>
        </w:tc>
        <w:tc>
          <w:tcPr>
            <w:tcW w:w="994" w:type="dxa"/>
            <w:shd w:val="clear" w:color="auto" w:fill="auto"/>
            <w:vAlign w:val="bottom"/>
          </w:tcPr>
          <w:p w:rsidR="00AF53E1" w:rsidRPr="00AF53E1" w:rsidRDefault="007F4659" w:rsidP="00AF53E1">
            <w:pPr>
              <w:spacing w:after="120"/>
              <w:jc w:val="right"/>
            </w:pPr>
            <w:r>
              <w:t>29</w:t>
            </w:r>
          </w:p>
        </w:tc>
        <w:tc>
          <w:tcPr>
            <w:tcW w:w="675" w:type="dxa"/>
            <w:shd w:val="clear" w:color="auto" w:fill="auto"/>
            <w:vAlign w:val="bottom"/>
          </w:tcPr>
          <w:p w:rsidR="00AF53E1" w:rsidRPr="00AF53E1" w:rsidRDefault="007F4659" w:rsidP="00AF53E1">
            <w:pPr>
              <w:spacing w:after="120"/>
              <w:jc w:val="right"/>
            </w:pPr>
            <w:r>
              <w:t>10</w:t>
            </w:r>
          </w:p>
        </w:tc>
      </w:tr>
      <w:tr w:rsidR="00AF53E1" w:rsidRPr="00AF53E1" w:rsidTr="00AF53E1">
        <w:tc>
          <w:tcPr>
            <w:tcW w:w="8375" w:type="dxa"/>
            <w:gridSpan w:val="2"/>
            <w:shd w:val="clear" w:color="auto" w:fill="auto"/>
          </w:tcPr>
          <w:p w:rsidR="00AF53E1" w:rsidRPr="00AF53E1" w:rsidRDefault="007F4659" w:rsidP="00111FE5">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pPr>
            <w:r w:rsidRPr="007F4659">
              <w:rPr>
                <w:lang w:val="fr-CH"/>
              </w:rPr>
              <w:t>Classement des tourteaux (</w:t>
            </w:r>
            <w:r w:rsidR="00111FE5">
              <w:rPr>
                <w:lang w:val="fr-CH"/>
              </w:rPr>
              <w:t xml:space="preserve">numéro </w:t>
            </w:r>
            <w:r w:rsidRPr="007F4659">
              <w:rPr>
                <w:lang w:val="fr-CH"/>
              </w:rPr>
              <w:t>ONU 1386 et 2217)</w:t>
            </w:r>
            <w:r>
              <w:rPr>
                <w:spacing w:val="60"/>
                <w:sz w:val="17"/>
                <w:lang w:val="fr-CH"/>
              </w:rPr>
              <w:tab/>
            </w:r>
          </w:p>
        </w:tc>
        <w:tc>
          <w:tcPr>
            <w:tcW w:w="994" w:type="dxa"/>
            <w:shd w:val="clear" w:color="auto" w:fill="auto"/>
            <w:vAlign w:val="bottom"/>
          </w:tcPr>
          <w:p w:rsidR="00AF53E1" w:rsidRPr="00AF53E1" w:rsidRDefault="007F4659" w:rsidP="00AF53E1">
            <w:pPr>
              <w:spacing w:after="120"/>
              <w:jc w:val="right"/>
            </w:pPr>
            <w:r>
              <w:t>30–31</w:t>
            </w:r>
          </w:p>
        </w:tc>
        <w:tc>
          <w:tcPr>
            <w:tcW w:w="675" w:type="dxa"/>
            <w:shd w:val="clear" w:color="auto" w:fill="auto"/>
            <w:vAlign w:val="bottom"/>
          </w:tcPr>
          <w:p w:rsidR="00AF53E1" w:rsidRPr="00AF53E1" w:rsidRDefault="007F4659" w:rsidP="00AF53E1">
            <w:pPr>
              <w:spacing w:after="120"/>
              <w:jc w:val="right"/>
            </w:pPr>
            <w:r>
              <w:t>10</w:t>
            </w:r>
          </w:p>
        </w:tc>
      </w:tr>
      <w:tr w:rsidR="00AF53E1" w:rsidRPr="00AF53E1" w:rsidTr="00AF53E1">
        <w:tc>
          <w:tcPr>
            <w:tcW w:w="8375" w:type="dxa"/>
            <w:gridSpan w:val="2"/>
            <w:shd w:val="clear" w:color="auto" w:fill="auto"/>
          </w:tcPr>
          <w:p w:rsidR="00AF53E1" w:rsidRPr="00AF53E1" w:rsidRDefault="007F4659" w:rsidP="007F4659">
            <w:pPr>
              <w:pStyle w:val="ListParagraph"/>
              <w:numPr>
                <w:ilvl w:val="1"/>
                <w:numId w:val="6"/>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pPr>
            <w:r w:rsidRPr="007F4659">
              <w:rPr>
                <w:lang w:val="fr-CH"/>
              </w:rPr>
              <w:t xml:space="preserve">Utilisation d’éthoxyquine pour la stabilisation de farines </w:t>
            </w:r>
            <w:r w:rsidRPr="007F4659">
              <w:rPr>
                <w:lang w:val="fr-CH"/>
              </w:rPr>
              <w:br/>
              <w:t>de poisson (numéro ONU 2216)</w:t>
            </w:r>
            <w:r>
              <w:rPr>
                <w:spacing w:val="60"/>
                <w:sz w:val="17"/>
                <w:lang w:val="fr-CH"/>
              </w:rPr>
              <w:tab/>
            </w:r>
          </w:p>
        </w:tc>
        <w:tc>
          <w:tcPr>
            <w:tcW w:w="994" w:type="dxa"/>
            <w:shd w:val="clear" w:color="auto" w:fill="auto"/>
            <w:vAlign w:val="bottom"/>
          </w:tcPr>
          <w:p w:rsidR="00AF53E1" w:rsidRPr="00AF53E1" w:rsidRDefault="007F4659" w:rsidP="00AF53E1">
            <w:pPr>
              <w:spacing w:after="120"/>
              <w:jc w:val="right"/>
            </w:pPr>
            <w:r>
              <w:t>32–33</w:t>
            </w:r>
          </w:p>
        </w:tc>
        <w:tc>
          <w:tcPr>
            <w:tcW w:w="675" w:type="dxa"/>
            <w:shd w:val="clear" w:color="auto" w:fill="auto"/>
            <w:vAlign w:val="bottom"/>
          </w:tcPr>
          <w:p w:rsidR="00AF53E1" w:rsidRPr="00AF53E1" w:rsidRDefault="007F4659" w:rsidP="00AF53E1">
            <w:pPr>
              <w:spacing w:after="120"/>
              <w:jc w:val="right"/>
            </w:pPr>
            <w:r>
              <w:t>10</w:t>
            </w:r>
          </w:p>
        </w:tc>
      </w:tr>
      <w:tr w:rsidR="00AF53E1" w:rsidRPr="00AF53E1" w:rsidTr="00AF53E1">
        <w:tc>
          <w:tcPr>
            <w:tcW w:w="8375" w:type="dxa"/>
            <w:gridSpan w:val="2"/>
            <w:shd w:val="clear" w:color="auto" w:fill="auto"/>
          </w:tcPr>
          <w:p w:rsidR="00AF53E1" w:rsidRPr="00AF53E1" w:rsidRDefault="007F4659" w:rsidP="007F4659">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pPr>
            <w:r w:rsidRPr="007F4659">
              <w:rPr>
                <w:lang w:val="fr-CH"/>
              </w:rPr>
              <w:t xml:space="preserve">Application des critères relatifs aux matières dangereuses </w:t>
            </w:r>
            <w:r w:rsidRPr="007F4659">
              <w:rPr>
                <w:lang w:val="fr-CH"/>
              </w:rPr>
              <w:br/>
              <w:t>pour l’environnement aux objets qui en contiennent</w:t>
            </w:r>
            <w:r>
              <w:rPr>
                <w:spacing w:val="60"/>
                <w:sz w:val="17"/>
                <w:lang w:val="fr-CH"/>
              </w:rPr>
              <w:tab/>
            </w:r>
          </w:p>
        </w:tc>
        <w:tc>
          <w:tcPr>
            <w:tcW w:w="994" w:type="dxa"/>
            <w:shd w:val="clear" w:color="auto" w:fill="auto"/>
            <w:vAlign w:val="bottom"/>
          </w:tcPr>
          <w:p w:rsidR="00AF53E1" w:rsidRPr="00AF53E1" w:rsidRDefault="007F4659" w:rsidP="00AF53E1">
            <w:pPr>
              <w:spacing w:after="120"/>
              <w:jc w:val="right"/>
            </w:pPr>
            <w:r>
              <w:t>34</w:t>
            </w:r>
          </w:p>
        </w:tc>
        <w:tc>
          <w:tcPr>
            <w:tcW w:w="675" w:type="dxa"/>
            <w:shd w:val="clear" w:color="auto" w:fill="auto"/>
            <w:vAlign w:val="bottom"/>
          </w:tcPr>
          <w:p w:rsidR="00AF53E1" w:rsidRPr="00AF53E1" w:rsidRDefault="007F4659" w:rsidP="00AF53E1">
            <w:pPr>
              <w:spacing w:after="120"/>
              <w:jc w:val="right"/>
            </w:pPr>
            <w:r>
              <w:t>11</w:t>
            </w:r>
          </w:p>
        </w:tc>
      </w:tr>
      <w:tr w:rsidR="00AF53E1" w:rsidRPr="00AF53E1" w:rsidTr="00AF53E1">
        <w:tc>
          <w:tcPr>
            <w:tcW w:w="8375" w:type="dxa"/>
            <w:gridSpan w:val="2"/>
            <w:shd w:val="clear" w:color="auto" w:fill="auto"/>
          </w:tcPr>
          <w:p w:rsidR="00AF53E1" w:rsidRPr="00AF53E1" w:rsidRDefault="007F4659" w:rsidP="007F4659">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pPr>
            <w:r w:rsidRPr="007F4659">
              <w:rPr>
                <w:lang w:val="fr-CH"/>
              </w:rPr>
              <w:t>Matières susceptibles d’être identifiées comme toxiques et corrosives</w:t>
            </w:r>
            <w:r>
              <w:rPr>
                <w:spacing w:val="60"/>
                <w:sz w:val="17"/>
                <w:lang w:val="fr-CH"/>
              </w:rPr>
              <w:tab/>
            </w:r>
          </w:p>
        </w:tc>
        <w:tc>
          <w:tcPr>
            <w:tcW w:w="994" w:type="dxa"/>
            <w:shd w:val="clear" w:color="auto" w:fill="auto"/>
            <w:vAlign w:val="bottom"/>
          </w:tcPr>
          <w:p w:rsidR="00AF53E1" w:rsidRPr="00AF53E1" w:rsidRDefault="007F4659" w:rsidP="00AF53E1">
            <w:pPr>
              <w:spacing w:after="120"/>
              <w:jc w:val="right"/>
            </w:pPr>
            <w:r>
              <w:t>35–37</w:t>
            </w:r>
          </w:p>
        </w:tc>
        <w:tc>
          <w:tcPr>
            <w:tcW w:w="675" w:type="dxa"/>
            <w:shd w:val="clear" w:color="auto" w:fill="auto"/>
            <w:vAlign w:val="bottom"/>
          </w:tcPr>
          <w:p w:rsidR="00AF53E1" w:rsidRPr="00AF53E1" w:rsidRDefault="007F4659" w:rsidP="00AF53E1">
            <w:pPr>
              <w:spacing w:after="120"/>
              <w:jc w:val="right"/>
            </w:pPr>
            <w:r>
              <w:t>11</w:t>
            </w:r>
          </w:p>
        </w:tc>
      </w:tr>
      <w:tr w:rsidR="00AF53E1" w:rsidRPr="00AF53E1" w:rsidTr="00AF53E1">
        <w:tc>
          <w:tcPr>
            <w:tcW w:w="8375" w:type="dxa"/>
            <w:gridSpan w:val="2"/>
            <w:shd w:val="clear" w:color="auto" w:fill="auto"/>
          </w:tcPr>
          <w:p w:rsidR="00AF53E1" w:rsidRPr="00AF53E1" w:rsidRDefault="007F4659" w:rsidP="007F4659">
            <w:pPr>
              <w:pStyle w:val="ListParagraph"/>
              <w:numPr>
                <w:ilvl w:val="1"/>
                <w:numId w:val="6"/>
              </w:numPr>
              <w:tabs>
                <w:tab w:val="left" w:pos="1296"/>
                <w:tab w:val="left" w:pos="1728"/>
                <w:tab w:val="left" w:pos="2160"/>
                <w:tab w:val="left" w:pos="2592"/>
                <w:tab w:val="left" w:pos="3024"/>
                <w:tab w:val="left" w:pos="3456"/>
                <w:tab w:val="right" w:leader="dot" w:pos="8381"/>
              </w:tabs>
              <w:suppressAutoHyphens/>
              <w:spacing w:after="120"/>
            </w:pPr>
            <w:r w:rsidRPr="007F4659">
              <w:rPr>
                <w:lang w:val="fr-CH"/>
              </w:rPr>
              <w:t>Disposition spéciale 335</w:t>
            </w:r>
            <w:r>
              <w:rPr>
                <w:spacing w:val="60"/>
                <w:sz w:val="17"/>
                <w:lang w:val="fr-CH"/>
              </w:rPr>
              <w:tab/>
            </w:r>
          </w:p>
        </w:tc>
        <w:tc>
          <w:tcPr>
            <w:tcW w:w="994" w:type="dxa"/>
            <w:shd w:val="clear" w:color="auto" w:fill="auto"/>
            <w:vAlign w:val="bottom"/>
          </w:tcPr>
          <w:p w:rsidR="00AF53E1" w:rsidRPr="00AF53E1" w:rsidRDefault="007F4659" w:rsidP="00AF53E1">
            <w:pPr>
              <w:spacing w:after="120"/>
              <w:jc w:val="right"/>
            </w:pPr>
            <w:r>
              <w:t>38</w:t>
            </w:r>
          </w:p>
        </w:tc>
        <w:tc>
          <w:tcPr>
            <w:tcW w:w="675" w:type="dxa"/>
            <w:shd w:val="clear" w:color="auto" w:fill="auto"/>
            <w:vAlign w:val="bottom"/>
          </w:tcPr>
          <w:p w:rsidR="00AF53E1" w:rsidRPr="00AF53E1" w:rsidRDefault="007F4659" w:rsidP="00AF53E1">
            <w:pPr>
              <w:spacing w:after="120"/>
              <w:jc w:val="right"/>
            </w:pPr>
            <w:r>
              <w:t>11</w:t>
            </w:r>
          </w:p>
        </w:tc>
      </w:tr>
      <w:tr w:rsidR="00AF53E1" w:rsidRPr="00AF53E1" w:rsidTr="00AF53E1">
        <w:tc>
          <w:tcPr>
            <w:tcW w:w="8375" w:type="dxa"/>
            <w:gridSpan w:val="2"/>
            <w:shd w:val="clear" w:color="auto" w:fill="auto"/>
          </w:tcPr>
          <w:p w:rsidR="00AF53E1" w:rsidRPr="00AF53E1" w:rsidRDefault="007F4659" w:rsidP="007F4659">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pPr>
            <w:r w:rsidRPr="007F4659">
              <w:rPr>
                <w:lang w:val="fr-CH"/>
              </w:rPr>
              <w:t>Emballages pour matières infectieuses du numéro ONU 3291</w:t>
            </w:r>
            <w:r>
              <w:rPr>
                <w:spacing w:val="60"/>
                <w:sz w:val="17"/>
                <w:lang w:val="fr-CH"/>
              </w:rPr>
              <w:tab/>
            </w:r>
          </w:p>
        </w:tc>
        <w:tc>
          <w:tcPr>
            <w:tcW w:w="994" w:type="dxa"/>
            <w:shd w:val="clear" w:color="auto" w:fill="auto"/>
            <w:vAlign w:val="bottom"/>
          </w:tcPr>
          <w:p w:rsidR="00AF53E1" w:rsidRPr="00AF53E1" w:rsidRDefault="007F4659" w:rsidP="00AF53E1">
            <w:pPr>
              <w:spacing w:after="120"/>
              <w:jc w:val="right"/>
            </w:pPr>
            <w:r>
              <w:t>39</w:t>
            </w:r>
          </w:p>
        </w:tc>
        <w:tc>
          <w:tcPr>
            <w:tcW w:w="675" w:type="dxa"/>
            <w:shd w:val="clear" w:color="auto" w:fill="auto"/>
            <w:vAlign w:val="bottom"/>
          </w:tcPr>
          <w:p w:rsidR="00AF53E1" w:rsidRPr="00AF53E1" w:rsidRDefault="007F4659" w:rsidP="00AF53E1">
            <w:pPr>
              <w:spacing w:after="120"/>
              <w:jc w:val="right"/>
            </w:pPr>
            <w:r>
              <w:t>11</w:t>
            </w:r>
          </w:p>
        </w:tc>
      </w:tr>
      <w:tr w:rsidR="00AF53E1" w:rsidRPr="00AF53E1" w:rsidTr="00AF53E1">
        <w:tc>
          <w:tcPr>
            <w:tcW w:w="8375" w:type="dxa"/>
            <w:gridSpan w:val="2"/>
            <w:shd w:val="clear" w:color="auto" w:fill="auto"/>
          </w:tcPr>
          <w:p w:rsidR="00AF53E1" w:rsidRPr="00AF53E1" w:rsidRDefault="007F4659" w:rsidP="007F4659">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pPr>
            <w:r w:rsidRPr="007F4659">
              <w:rPr>
                <w:lang w:val="fr-CH"/>
              </w:rPr>
              <w:t xml:space="preserve">Matières transportées en tant que solides qui sont liquides au moment </w:t>
            </w:r>
            <w:r>
              <w:rPr>
                <w:lang w:val="fr-CH"/>
              </w:rPr>
              <w:br/>
            </w:r>
            <w:r w:rsidRPr="007F4659">
              <w:rPr>
                <w:lang w:val="fr-CH"/>
              </w:rPr>
              <w:t>du remplissage et se solidifient pendant ou avant le transport</w:t>
            </w:r>
            <w:r>
              <w:rPr>
                <w:spacing w:val="60"/>
                <w:sz w:val="17"/>
                <w:lang w:val="fr-CH"/>
              </w:rPr>
              <w:tab/>
            </w:r>
          </w:p>
        </w:tc>
        <w:tc>
          <w:tcPr>
            <w:tcW w:w="994" w:type="dxa"/>
            <w:shd w:val="clear" w:color="auto" w:fill="auto"/>
            <w:vAlign w:val="bottom"/>
          </w:tcPr>
          <w:p w:rsidR="00AF53E1" w:rsidRPr="00AF53E1" w:rsidRDefault="007F4659" w:rsidP="00AF53E1">
            <w:pPr>
              <w:spacing w:after="120"/>
              <w:jc w:val="right"/>
            </w:pPr>
            <w:r>
              <w:t>40</w:t>
            </w:r>
          </w:p>
        </w:tc>
        <w:tc>
          <w:tcPr>
            <w:tcW w:w="675" w:type="dxa"/>
            <w:shd w:val="clear" w:color="auto" w:fill="auto"/>
            <w:vAlign w:val="bottom"/>
          </w:tcPr>
          <w:p w:rsidR="00AF53E1" w:rsidRPr="00AF53E1" w:rsidRDefault="007F4659" w:rsidP="00AF53E1">
            <w:pPr>
              <w:spacing w:after="120"/>
              <w:jc w:val="right"/>
            </w:pPr>
            <w:r>
              <w:t>12</w:t>
            </w:r>
          </w:p>
        </w:tc>
      </w:tr>
      <w:tr w:rsidR="00AF53E1" w:rsidRPr="00AF53E1" w:rsidTr="00AF53E1">
        <w:tc>
          <w:tcPr>
            <w:tcW w:w="8375" w:type="dxa"/>
            <w:gridSpan w:val="2"/>
            <w:shd w:val="clear" w:color="auto" w:fill="auto"/>
          </w:tcPr>
          <w:p w:rsidR="00AF53E1" w:rsidRPr="00AF53E1" w:rsidRDefault="007F4659" w:rsidP="007F4659">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pPr>
            <w:r w:rsidRPr="007F4659">
              <w:rPr>
                <w:lang w:val="fr-CH"/>
              </w:rPr>
              <w:t xml:space="preserve">Dispositions spéciales pour le transport de produits de consommation </w:t>
            </w:r>
            <w:r>
              <w:rPr>
                <w:lang w:val="fr-CH"/>
              </w:rPr>
              <w:br/>
            </w:r>
            <w:r w:rsidRPr="007F4659">
              <w:rPr>
                <w:lang w:val="fr-CH"/>
              </w:rPr>
              <w:t>et de produits pharmaceutiques contenant de l’alcool éthylique</w:t>
            </w:r>
            <w:r>
              <w:rPr>
                <w:spacing w:val="60"/>
                <w:sz w:val="17"/>
                <w:lang w:val="fr-CH"/>
              </w:rPr>
              <w:tab/>
            </w:r>
          </w:p>
        </w:tc>
        <w:tc>
          <w:tcPr>
            <w:tcW w:w="994" w:type="dxa"/>
            <w:shd w:val="clear" w:color="auto" w:fill="auto"/>
            <w:vAlign w:val="bottom"/>
          </w:tcPr>
          <w:p w:rsidR="00AF53E1" w:rsidRPr="00AF53E1" w:rsidRDefault="007F4659" w:rsidP="00AF53E1">
            <w:pPr>
              <w:spacing w:after="120"/>
              <w:jc w:val="right"/>
            </w:pPr>
            <w:r>
              <w:t>41–42</w:t>
            </w:r>
          </w:p>
        </w:tc>
        <w:tc>
          <w:tcPr>
            <w:tcW w:w="675" w:type="dxa"/>
            <w:shd w:val="clear" w:color="auto" w:fill="auto"/>
            <w:vAlign w:val="bottom"/>
          </w:tcPr>
          <w:p w:rsidR="00AF53E1" w:rsidRPr="00AF53E1" w:rsidRDefault="007F4659" w:rsidP="00AF53E1">
            <w:pPr>
              <w:spacing w:after="120"/>
              <w:jc w:val="right"/>
            </w:pPr>
            <w:r>
              <w:t>12</w:t>
            </w:r>
          </w:p>
        </w:tc>
      </w:tr>
      <w:tr w:rsidR="00AF53E1" w:rsidRPr="00AF53E1" w:rsidTr="00AF53E1">
        <w:tc>
          <w:tcPr>
            <w:tcW w:w="8375" w:type="dxa"/>
            <w:gridSpan w:val="2"/>
            <w:shd w:val="clear" w:color="auto" w:fill="auto"/>
          </w:tcPr>
          <w:p w:rsidR="00AF53E1" w:rsidRPr="00AF53E1" w:rsidRDefault="007F4659" w:rsidP="007F4659">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pPr>
            <w:r w:rsidRPr="007F4659">
              <w:rPr>
                <w:lang w:val="fr-CH"/>
              </w:rPr>
              <w:t xml:space="preserve">Acceptation des marchandises dangereuses en quantités </w:t>
            </w:r>
            <w:r w:rsidRPr="007F4659">
              <w:rPr>
                <w:lang w:val="fr-CH"/>
              </w:rPr>
              <w:br/>
              <w:t>exceptées dans les trousses chimiques et trousses de premier secours</w:t>
            </w:r>
            <w:r>
              <w:rPr>
                <w:spacing w:val="60"/>
                <w:sz w:val="17"/>
                <w:lang w:val="fr-CH"/>
              </w:rPr>
              <w:tab/>
            </w:r>
          </w:p>
        </w:tc>
        <w:tc>
          <w:tcPr>
            <w:tcW w:w="994" w:type="dxa"/>
            <w:shd w:val="clear" w:color="auto" w:fill="auto"/>
            <w:vAlign w:val="bottom"/>
          </w:tcPr>
          <w:p w:rsidR="00AF53E1" w:rsidRPr="00AF53E1" w:rsidRDefault="007F4659" w:rsidP="00AF53E1">
            <w:pPr>
              <w:spacing w:after="120"/>
              <w:jc w:val="right"/>
            </w:pPr>
            <w:r>
              <w:t>43</w:t>
            </w:r>
          </w:p>
        </w:tc>
        <w:tc>
          <w:tcPr>
            <w:tcW w:w="675" w:type="dxa"/>
            <w:shd w:val="clear" w:color="auto" w:fill="auto"/>
            <w:vAlign w:val="bottom"/>
          </w:tcPr>
          <w:p w:rsidR="00AF53E1" w:rsidRPr="00AF53E1" w:rsidRDefault="007F4659" w:rsidP="00AF53E1">
            <w:pPr>
              <w:spacing w:after="120"/>
              <w:jc w:val="right"/>
            </w:pPr>
            <w:r>
              <w:t>12</w:t>
            </w:r>
          </w:p>
        </w:tc>
      </w:tr>
      <w:tr w:rsidR="00AF53E1" w:rsidRPr="00AF53E1" w:rsidTr="00AF53E1">
        <w:tc>
          <w:tcPr>
            <w:tcW w:w="8375" w:type="dxa"/>
            <w:gridSpan w:val="2"/>
            <w:shd w:val="clear" w:color="auto" w:fill="auto"/>
          </w:tcPr>
          <w:p w:rsidR="00AF53E1" w:rsidRPr="00AF53E1" w:rsidRDefault="007F4659" w:rsidP="007F4659">
            <w:pPr>
              <w:pStyle w:val="ListParagraph"/>
              <w:numPr>
                <w:ilvl w:val="1"/>
                <w:numId w:val="6"/>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pPr>
            <w:r w:rsidRPr="007F4659">
              <w:rPr>
                <w:lang w:val="fr-CH"/>
              </w:rPr>
              <w:t>Liste des matières autoréactives</w:t>
            </w:r>
            <w:r>
              <w:rPr>
                <w:spacing w:val="60"/>
                <w:sz w:val="17"/>
                <w:lang w:val="fr-CH"/>
              </w:rPr>
              <w:tab/>
            </w:r>
          </w:p>
        </w:tc>
        <w:tc>
          <w:tcPr>
            <w:tcW w:w="994" w:type="dxa"/>
            <w:shd w:val="clear" w:color="auto" w:fill="auto"/>
            <w:vAlign w:val="bottom"/>
          </w:tcPr>
          <w:p w:rsidR="00AF53E1" w:rsidRPr="00AF53E1" w:rsidRDefault="007F4659" w:rsidP="00AF53E1">
            <w:pPr>
              <w:spacing w:after="120"/>
              <w:jc w:val="right"/>
            </w:pPr>
            <w:r>
              <w:t>44</w:t>
            </w:r>
          </w:p>
        </w:tc>
        <w:tc>
          <w:tcPr>
            <w:tcW w:w="675" w:type="dxa"/>
            <w:shd w:val="clear" w:color="auto" w:fill="auto"/>
            <w:vAlign w:val="bottom"/>
          </w:tcPr>
          <w:p w:rsidR="00AF53E1" w:rsidRPr="00AF53E1" w:rsidRDefault="007F4659" w:rsidP="00AF53E1">
            <w:pPr>
              <w:spacing w:after="120"/>
              <w:jc w:val="right"/>
            </w:pPr>
            <w:r>
              <w:t>12</w:t>
            </w:r>
          </w:p>
        </w:tc>
      </w:tr>
      <w:tr w:rsidR="00AF53E1" w:rsidRPr="00AF53E1" w:rsidTr="00AF53E1">
        <w:tc>
          <w:tcPr>
            <w:tcW w:w="8375" w:type="dxa"/>
            <w:gridSpan w:val="2"/>
            <w:shd w:val="clear" w:color="auto" w:fill="auto"/>
          </w:tcPr>
          <w:p w:rsidR="00AF53E1" w:rsidRPr="00AF53E1" w:rsidRDefault="007F4659" w:rsidP="007F4659">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pPr>
            <w:r w:rsidRPr="007F4659">
              <w:rPr>
                <w:lang w:val="fr-CH"/>
              </w:rPr>
              <w:t>Critères additionnels pour les matières qui polymérisent</w:t>
            </w:r>
            <w:r>
              <w:rPr>
                <w:spacing w:val="60"/>
                <w:sz w:val="17"/>
                <w:lang w:val="fr-CH"/>
              </w:rPr>
              <w:tab/>
            </w:r>
          </w:p>
        </w:tc>
        <w:tc>
          <w:tcPr>
            <w:tcW w:w="994" w:type="dxa"/>
            <w:shd w:val="clear" w:color="auto" w:fill="auto"/>
            <w:vAlign w:val="bottom"/>
          </w:tcPr>
          <w:p w:rsidR="00AF53E1" w:rsidRPr="00AF53E1" w:rsidRDefault="007F4659" w:rsidP="00AF53E1">
            <w:pPr>
              <w:spacing w:after="120"/>
              <w:jc w:val="right"/>
            </w:pPr>
            <w:r>
              <w:t>45</w:t>
            </w:r>
          </w:p>
        </w:tc>
        <w:tc>
          <w:tcPr>
            <w:tcW w:w="675" w:type="dxa"/>
            <w:shd w:val="clear" w:color="auto" w:fill="auto"/>
            <w:vAlign w:val="bottom"/>
          </w:tcPr>
          <w:p w:rsidR="00AF53E1" w:rsidRPr="00AF53E1" w:rsidRDefault="007F4659" w:rsidP="00AF53E1">
            <w:pPr>
              <w:spacing w:after="120"/>
              <w:jc w:val="right"/>
            </w:pPr>
            <w:r>
              <w:t>13</w:t>
            </w:r>
          </w:p>
        </w:tc>
      </w:tr>
      <w:tr w:rsidR="00AF53E1" w:rsidRPr="00AF53E1" w:rsidTr="00AF53E1">
        <w:tc>
          <w:tcPr>
            <w:tcW w:w="8375" w:type="dxa"/>
            <w:gridSpan w:val="2"/>
            <w:shd w:val="clear" w:color="auto" w:fill="auto"/>
          </w:tcPr>
          <w:p w:rsidR="00AF53E1" w:rsidRPr="00AF53E1" w:rsidRDefault="007F4659" w:rsidP="007F4659">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pPr>
            <w:r w:rsidRPr="007F4659">
              <w:rPr>
                <w:lang w:val="fr-CH"/>
              </w:rPr>
              <w:t>Systèmes de stockage de l’électricité (point 4 de l’ordre du jour)</w:t>
            </w:r>
            <w:r>
              <w:rPr>
                <w:spacing w:val="60"/>
                <w:sz w:val="17"/>
                <w:lang w:val="fr-CH"/>
              </w:rPr>
              <w:tab/>
            </w:r>
          </w:p>
        </w:tc>
        <w:tc>
          <w:tcPr>
            <w:tcW w:w="994" w:type="dxa"/>
            <w:shd w:val="clear" w:color="auto" w:fill="auto"/>
            <w:vAlign w:val="bottom"/>
          </w:tcPr>
          <w:p w:rsidR="00AF53E1" w:rsidRPr="00AF53E1" w:rsidRDefault="000814D0" w:rsidP="00AF53E1">
            <w:pPr>
              <w:spacing w:after="120"/>
              <w:jc w:val="right"/>
            </w:pPr>
            <w:r>
              <w:t>46–60</w:t>
            </w:r>
          </w:p>
        </w:tc>
        <w:tc>
          <w:tcPr>
            <w:tcW w:w="675" w:type="dxa"/>
            <w:shd w:val="clear" w:color="auto" w:fill="auto"/>
            <w:vAlign w:val="bottom"/>
          </w:tcPr>
          <w:p w:rsidR="00AF53E1" w:rsidRPr="00AF53E1" w:rsidRDefault="000814D0" w:rsidP="00AF53E1">
            <w:pPr>
              <w:spacing w:after="120"/>
              <w:jc w:val="right"/>
            </w:pPr>
            <w:r>
              <w:t>13</w:t>
            </w:r>
          </w:p>
        </w:tc>
      </w:tr>
      <w:tr w:rsidR="00AF53E1" w:rsidRPr="00AF53E1" w:rsidTr="00AF53E1">
        <w:tc>
          <w:tcPr>
            <w:tcW w:w="8375" w:type="dxa"/>
            <w:gridSpan w:val="2"/>
            <w:shd w:val="clear" w:color="auto" w:fill="auto"/>
          </w:tcPr>
          <w:p w:rsidR="00AF53E1" w:rsidRPr="00AF53E1" w:rsidRDefault="000814D0" w:rsidP="000814D0">
            <w:pPr>
              <w:pStyle w:val="ListParagraph"/>
              <w:numPr>
                <w:ilvl w:val="1"/>
                <w:numId w:val="6"/>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pPr>
            <w:r w:rsidRPr="000814D0">
              <w:rPr>
                <w:lang w:val="fr-CH"/>
              </w:rPr>
              <w:t>Épreuves des batteries au lithium</w:t>
            </w:r>
            <w:r>
              <w:rPr>
                <w:spacing w:val="60"/>
                <w:sz w:val="17"/>
                <w:lang w:val="fr-CH"/>
              </w:rPr>
              <w:tab/>
            </w:r>
          </w:p>
        </w:tc>
        <w:tc>
          <w:tcPr>
            <w:tcW w:w="994" w:type="dxa"/>
            <w:shd w:val="clear" w:color="auto" w:fill="auto"/>
            <w:vAlign w:val="bottom"/>
          </w:tcPr>
          <w:p w:rsidR="00AF53E1" w:rsidRPr="00AF53E1" w:rsidRDefault="000814D0" w:rsidP="00AF53E1">
            <w:pPr>
              <w:spacing w:after="120"/>
              <w:jc w:val="right"/>
            </w:pPr>
            <w:r>
              <w:t>46–53</w:t>
            </w:r>
          </w:p>
        </w:tc>
        <w:tc>
          <w:tcPr>
            <w:tcW w:w="675" w:type="dxa"/>
            <w:shd w:val="clear" w:color="auto" w:fill="auto"/>
            <w:vAlign w:val="bottom"/>
          </w:tcPr>
          <w:p w:rsidR="00AF53E1" w:rsidRPr="00AF53E1" w:rsidRDefault="000814D0" w:rsidP="00AF53E1">
            <w:pPr>
              <w:spacing w:after="120"/>
              <w:jc w:val="right"/>
            </w:pPr>
            <w:r>
              <w:t>13</w:t>
            </w:r>
          </w:p>
        </w:tc>
      </w:tr>
      <w:tr w:rsidR="00AF53E1" w:rsidRPr="00AF53E1" w:rsidTr="00AF53E1">
        <w:tc>
          <w:tcPr>
            <w:tcW w:w="8375" w:type="dxa"/>
            <w:gridSpan w:val="2"/>
            <w:shd w:val="clear" w:color="auto" w:fill="auto"/>
          </w:tcPr>
          <w:p w:rsidR="00AF53E1" w:rsidRPr="00AF53E1" w:rsidRDefault="000814D0" w:rsidP="000814D0">
            <w:pPr>
              <w:pStyle w:val="ListParagraph"/>
              <w:numPr>
                <w:ilvl w:val="1"/>
                <w:numId w:val="6"/>
              </w:numPr>
              <w:tabs>
                <w:tab w:val="left" w:pos="1296"/>
                <w:tab w:val="left" w:pos="1728"/>
                <w:tab w:val="left" w:pos="2160"/>
                <w:tab w:val="left" w:pos="2592"/>
                <w:tab w:val="left" w:pos="3024"/>
                <w:tab w:val="right" w:leader="dot" w:pos="8381"/>
              </w:tabs>
              <w:suppressAutoHyphens/>
              <w:spacing w:after="120"/>
            </w:pPr>
            <w:r w:rsidRPr="000814D0">
              <w:rPr>
                <w:lang w:val="fr-CH"/>
              </w:rPr>
              <w:t>Grandes batteries</w:t>
            </w:r>
            <w:r>
              <w:rPr>
                <w:spacing w:val="60"/>
                <w:sz w:val="17"/>
                <w:lang w:val="fr-CH"/>
              </w:rPr>
              <w:tab/>
            </w:r>
          </w:p>
        </w:tc>
        <w:tc>
          <w:tcPr>
            <w:tcW w:w="994" w:type="dxa"/>
            <w:shd w:val="clear" w:color="auto" w:fill="auto"/>
            <w:vAlign w:val="bottom"/>
          </w:tcPr>
          <w:p w:rsidR="00AF53E1" w:rsidRPr="00AF53E1" w:rsidRDefault="000814D0" w:rsidP="00AF53E1">
            <w:pPr>
              <w:spacing w:after="120"/>
              <w:jc w:val="right"/>
            </w:pPr>
            <w:r>
              <w:t>54</w:t>
            </w:r>
          </w:p>
        </w:tc>
        <w:tc>
          <w:tcPr>
            <w:tcW w:w="675" w:type="dxa"/>
            <w:shd w:val="clear" w:color="auto" w:fill="auto"/>
            <w:vAlign w:val="bottom"/>
          </w:tcPr>
          <w:p w:rsidR="00AF53E1" w:rsidRPr="00AF53E1" w:rsidRDefault="000814D0" w:rsidP="00AF53E1">
            <w:pPr>
              <w:spacing w:after="120"/>
              <w:jc w:val="right"/>
            </w:pPr>
            <w:r>
              <w:t>14</w:t>
            </w:r>
          </w:p>
        </w:tc>
      </w:tr>
      <w:tr w:rsidR="00AF53E1" w:rsidRPr="00AF53E1" w:rsidTr="00AF53E1">
        <w:tc>
          <w:tcPr>
            <w:tcW w:w="8375" w:type="dxa"/>
            <w:gridSpan w:val="2"/>
            <w:shd w:val="clear" w:color="auto" w:fill="auto"/>
          </w:tcPr>
          <w:p w:rsidR="00AF53E1" w:rsidRPr="00AF53E1" w:rsidRDefault="000814D0" w:rsidP="000814D0">
            <w:pPr>
              <w:pStyle w:val="ListParagraph"/>
              <w:numPr>
                <w:ilvl w:val="1"/>
                <w:numId w:val="6"/>
              </w:numPr>
              <w:tabs>
                <w:tab w:val="left" w:pos="1296"/>
                <w:tab w:val="left" w:pos="1728"/>
                <w:tab w:val="left" w:pos="2160"/>
                <w:tab w:val="left" w:pos="2592"/>
                <w:tab w:val="left" w:pos="3024"/>
                <w:tab w:val="left" w:pos="3456"/>
                <w:tab w:val="right" w:leader="dot" w:pos="8381"/>
              </w:tabs>
              <w:suppressAutoHyphens/>
              <w:spacing w:after="120"/>
            </w:pPr>
            <w:r w:rsidRPr="000814D0">
              <w:rPr>
                <w:lang w:val="fr-CH"/>
              </w:rPr>
              <w:t>Batteries thermiques</w:t>
            </w:r>
            <w:r>
              <w:rPr>
                <w:spacing w:val="60"/>
                <w:sz w:val="17"/>
                <w:lang w:val="fr-CH"/>
              </w:rPr>
              <w:tab/>
            </w:r>
          </w:p>
        </w:tc>
        <w:tc>
          <w:tcPr>
            <w:tcW w:w="994" w:type="dxa"/>
            <w:shd w:val="clear" w:color="auto" w:fill="auto"/>
            <w:vAlign w:val="bottom"/>
          </w:tcPr>
          <w:p w:rsidR="00AF53E1" w:rsidRPr="00AF53E1" w:rsidRDefault="000814D0" w:rsidP="00AF53E1">
            <w:pPr>
              <w:spacing w:after="120"/>
              <w:jc w:val="right"/>
            </w:pPr>
            <w:r>
              <w:t>55</w:t>
            </w:r>
          </w:p>
        </w:tc>
        <w:tc>
          <w:tcPr>
            <w:tcW w:w="675" w:type="dxa"/>
            <w:shd w:val="clear" w:color="auto" w:fill="auto"/>
            <w:vAlign w:val="bottom"/>
          </w:tcPr>
          <w:p w:rsidR="00AF53E1" w:rsidRPr="00AF53E1" w:rsidRDefault="000814D0" w:rsidP="00AF53E1">
            <w:pPr>
              <w:spacing w:after="120"/>
              <w:jc w:val="right"/>
            </w:pPr>
            <w:r>
              <w:t>14</w:t>
            </w:r>
          </w:p>
        </w:tc>
      </w:tr>
      <w:tr w:rsidR="00AF53E1" w:rsidRPr="00AF53E1" w:rsidTr="00AF53E1">
        <w:tc>
          <w:tcPr>
            <w:tcW w:w="8375" w:type="dxa"/>
            <w:gridSpan w:val="2"/>
            <w:shd w:val="clear" w:color="auto" w:fill="auto"/>
          </w:tcPr>
          <w:p w:rsidR="00AF53E1" w:rsidRPr="00AF53E1" w:rsidRDefault="000814D0" w:rsidP="000814D0">
            <w:pPr>
              <w:pStyle w:val="ListParagraph"/>
              <w:numPr>
                <w:ilvl w:val="1"/>
                <w:numId w:val="6"/>
              </w:numPr>
              <w:tabs>
                <w:tab w:val="left" w:pos="1296"/>
                <w:tab w:val="left" w:pos="1728"/>
                <w:tab w:val="left" w:pos="2160"/>
                <w:tab w:val="right" w:leader="dot" w:pos="8381"/>
              </w:tabs>
              <w:suppressAutoHyphens/>
              <w:spacing w:after="120"/>
            </w:pPr>
            <w:r w:rsidRPr="000814D0">
              <w:rPr>
                <w:lang w:val="fr-CH"/>
              </w:rPr>
              <w:t>Divers</w:t>
            </w:r>
            <w:r>
              <w:rPr>
                <w:spacing w:val="60"/>
                <w:sz w:val="17"/>
                <w:lang w:val="fr-CH"/>
              </w:rPr>
              <w:tab/>
            </w:r>
          </w:p>
        </w:tc>
        <w:tc>
          <w:tcPr>
            <w:tcW w:w="994" w:type="dxa"/>
            <w:shd w:val="clear" w:color="auto" w:fill="auto"/>
            <w:vAlign w:val="bottom"/>
          </w:tcPr>
          <w:p w:rsidR="00AF53E1" w:rsidRPr="00AF53E1" w:rsidRDefault="000814D0" w:rsidP="00AF53E1">
            <w:pPr>
              <w:spacing w:after="120"/>
              <w:jc w:val="right"/>
            </w:pPr>
            <w:r>
              <w:t>56–60</w:t>
            </w:r>
          </w:p>
        </w:tc>
        <w:tc>
          <w:tcPr>
            <w:tcW w:w="675" w:type="dxa"/>
            <w:shd w:val="clear" w:color="auto" w:fill="auto"/>
            <w:vAlign w:val="bottom"/>
          </w:tcPr>
          <w:p w:rsidR="00AF53E1" w:rsidRPr="00AF53E1" w:rsidRDefault="000814D0" w:rsidP="00AF53E1">
            <w:pPr>
              <w:spacing w:after="120"/>
              <w:jc w:val="right"/>
            </w:pPr>
            <w:r>
              <w:t>14</w:t>
            </w:r>
          </w:p>
        </w:tc>
      </w:tr>
      <w:tr w:rsidR="00AF53E1" w:rsidRPr="00AF53E1" w:rsidTr="00AF53E1">
        <w:tc>
          <w:tcPr>
            <w:tcW w:w="8375" w:type="dxa"/>
            <w:gridSpan w:val="2"/>
            <w:shd w:val="clear" w:color="auto" w:fill="auto"/>
          </w:tcPr>
          <w:p w:rsidR="00AF53E1" w:rsidRPr="00AF53E1" w:rsidRDefault="000814D0" w:rsidP="00B30A19">
            <w:pPr>
              <w:pStyle w:val="ListParagraph"/>
              <w:numPr>
                <w:ilvl w:val="2"/>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pPr>
            <w:r w:rsidRPr="000814D0">
              <w:rPr>
                <w:lang w:val="fr-CH"/>
              </w:rPr>
              <w:t xml:space="preserve">Amendements à la disposition spéciale 376 relative aux piles </w:t>
            </w:r>
            <w:r>
              <w:rPr>
                <w:lang w:val="fr-CH"/>
              </w:rPr>
              <w:br/>
            </w:r>
            <w:r w:rsidRPr="000814D0">
              <w:rPr>
                <w:lang w:val="fr-CH"/>
              </w:rPr>
              <w:t>et batteries endommagées ou défectueuses</w:t>
            </w:r>
            <w:r>
              <w:rPr>
                <w:spacing w:val="60"/>
                <w:sz w:val="17"/>
                <w:lang w:val="fr-CH"/>
              </w:rPr>
              <w:tab/>
            </w:r>
          </w:p>
        </w:tc>
        <w:tc>
          <w:tcPr>
            <w:tcW w:w="994" w:type="dxa"/>
            <w:shd w:val="clear" w:color="auto" w:fill="auto"/>
            <w:vAlign w:val="bottom"/>
          </w:tcPr>
          <w:p w:rsidR="00AF53E1" w:rsidRPr="00AF53E1" w:rsidRDefault="000814D0" w:rsidP="00AF53E1">
            <w:pPr>
              <w:spacing w:after="120"/>
              <w:jc w:val="right"/>
            </w:pPr>
            <w:r>
              <w:t>56–57</w:t>
            </w:r>
          </w:p>
        </w:tc>
        <w:tc>
          <w:tcPr>
            <w:tcW w:w="675" w:type="dxa"/>
            <w:shd w:val="clear" w:color="auto" w:fill="auto"/>
            <w:vAlign w:val="bottom"/>
          </w:tcPr>
          <w:p w:rsidR="00AF53E1" w:rsidRPr="00AF53E1" w:rsidRDefault="000814D0" w:rsidP="00AF53E1">
            <w:pPr>
              <w:spacing w:after="120"/>
              <w:jc w:val="right"/>
            </w:pPr>
            <w:r>
              <w:t>14</w:t>
            </w:r>
          </w:p>
        </w:tc>
      </w:tr>
      <w:tr w:rsidR="00AF53E1" w:rsidRPr="00AF53E1" w:rsidTr="00AF53E1">
        <w:tc>
          <w:tcPr>
            <w:tcW w:w="8375" w:type="dxa"/>
            <w:gridSpan w:val="2"/>
            <w:shd w:val="clear" w:color="auto" w:fill="auto"/>
          </w:tcPr>
          <w:p w:rsidR="00AF53E1" w:rsidRPr="00AF53E1" w:rsidRDefault="000814D0" w:rsidP="000814D0">
            <w:pPr>
              <w:pStyle w:val="ListParagraph"/>
              <w:numPr>
                <w:ilvl w:val="2"/>
                <w:numId w:val="6"/>
              </w:numPr>
              <w:tabs>
                <w:tab w:val="left" w:pos="1296"/>
                <w:tab w:val="left" w:pos="1728"/>
                <w:tab w:val="left" w:pos="2160"/>
                <w:tab w:val="left" w:pos="2592"/>
                <w:tab w:val="left" w:pos="3024"/>
                <w:tab w:val="left" w:pos="3456"/>
                <w:tab w:val="left" w:pos="3888"/>
                <w:tab w:val="right" w:leader="dot" w:pos="8381"/>
              </w:tabs>
              <w:suppressAutoHyphens/>
              <w:spacing w:after="120"/>
            </w:pPr>
            <w:r w:rsidRPr="000814D0">
              <w:rPr>
                <w:lang w:val="fr-CH"/>
              </w:rPr>
              <w:t>Disposition spéciale 310</w:t>
            </w:r>
            <w:r>
              <w:rPr>
                <w:spacing w:val="60"/>
                <w:sz w:val="17"/>
                <w:lang w:val="fr-CH"/>
              </w:rPr>
              <w:tab/>
            </w:r>
          </w:p>
        </w:tc>
        <w:tc>
          <w:tcPr>
            <w:tcW w:w="994" w:type="dxa"/>
            <w:shd w:val="clear" w:color="auto" w:fill="auto"/>
            <w:vAlign w:val="bottom"/>
          </w:tcPr>
          <w:p w:rsidR="00AF53E1" w:rsidRPr="00AF53E1" w:rsidRDefault="000814D0" w:rsidP="00AF53E1">
            <w:pPr>
              <w:spacing w:after="120"/>
              <w:jc w:val="right"/>
            </w:pPr>
            <w:r>
              <w:t>58</w:t>
            </w:r>
          </w:p>
        </w:tc>
        <w:tc>
          <w:tcPr>
            <w:tcW w:w="675" w:type="dxa"/>
            <w:shd w:val="clear" w:color="auto" w:fill="auto"/>
            <w:vAlign w:val="bottom"/>
          </w:tcPr>
          <w:p w:rsidR="00AF53E1" w:rsidRPr="00AF53E1" w:rsidRDefault="000814D0" w:rsidP="00AF53E1">
            <w:pPr>
              <w:spacing w:after="120"/>
              <w:jc w:val="right"/>
            </w:pPr>
            <w:r>
              <w:t>14</w:t>
            </w:r>
          </w:p>
        </w:tc>
      </w:tr>
      <w:tr w:rsidR="00AF53E1" w:rsidRPr="00AF53E1" w:rsidTr="00AF53E1">
        <w:tc>
          <w:tcPr>
            <w:tcW w:w="8375" w:type="dxa"/>
            <w:gridSpan w:val="2"/>
            <w:shd w:val="clear" w:color="auto" w:fill="auto"/>
          </w:tcPr>
          <w:p w:rsidR="00AF53E1" w:rsidRPr="00AF53E1" w:rsidRDefault="000814D0" w:rsidP="000814D0">
            <w:pPr>
              <w:pStyle w:val="ListParagraph"/>
              <w:numPr>
                <w:ilvl w:val="2"/>
                <w:numId w:val="6"/>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pPr>
            <w:r w:rsidRPr="000814D0">
              <w:rPr>
                <w:lang w:val="fr-CH"/>
              </w:rPr>
              <w:t xml:space="preserve">Nouvelles désignations officielles de transport pour des batteries </w:t>
            </w:r>
            <w:r w:rsidRPr="000814D0">
              <w:rPr>
                <w:lang w:val="fr-CH"/>
              </w:rPr>
              <w:br/>
              <w:t>au lithium métal rechargeables</w:t>
            </w:r>
            <w:r>
              <w:rPr>
                <w:spacing w:val="60"/>
                <w:sz w:val="17"/>
                <w:lang w:val="fr-CH"/>
              </w:rPr>
              <w:tab/>
            </w:r>
          </w:p>
        </w:tc>
        <w:tc>
          <w:tcPr>
            <w:tcW w:w="994" w:type="dxa"/>
            <w:shd w:val="clear" w:color="auto" w:fill="auto"/>
            <w:vAlign w:val="bottom"/>
          </w:tcPr>
          <w:p w:rsidR="00AF53E1" w:rsidRPr="00AF53E1" w:rsidRDefault="000814D0" w:rsidP="00AF53E1">
            <w:pPr>
              <w:spacing w:after="120"/>
              <w:jc w:val="right"/>
            </w:pPr>
            <w:r>
              <w:t>59</w:t>
            </w:r>
          </w:p>
        </w:tc>
        <w:tc>
          <w:tcPr>
            <w:tcW w:w="675" w:type="dxa"/>
            <w:shd w:val="clear" w:color="auto" w:fill="auto"/>
            <w:vAlign w:val="bottom"/>
          </w:tcPr>
          <w:p w:rsidR="00AF53E1" w:rsidRPr="00AF53E1" w:rsidRDefault="000814D0" w:rsidP="00AF53E1">
            <w:pPr>
              <w:spacing w:after="120"/>
              <w:jc w:val="right"/>
            </w:pPr>
            <w:r>
              <w:t>14</w:t>
            </w:r>
          </w:p>
        </w:tc>
      </w:tr>
      <w:tr w:rsidR="00AF53E1" w:rsidRPr="00AF53E1" w:rsidTr="00AF53E1">
        <w:tc>
          <w:tcPr>
            <w:tcW w:w="8375" w:type="dxa"/>
            <w:gridSpan w:val="2"/>
            <w:shd w:val="clear" w:color="auto" w:fill="auto"/>
          </w:tcPr>
          <w:p w:rsidR="00AF53E1" w:rsidRPr="00AF53E1" w:rsidRDefault="000814D0" w:rsidP="000814D0">
            <w:pPr>
              <w:pStyle w:val="ListParagraph"/>
              <w:keepNext/>
              <w:keepLines/>
              <w:numPr>
                <w:ilvl w:val="2"/>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pPr>
            <w:r w:rsidRPr="000814D0">
              <w:rPr>
                <w:lang w:val="fr-CH"/>
              </w:rPr>
              <w:lastRenderedPageBreak/>
              <w:t xml:space="preserve">Signification du mot « équipement » aux fins de la disposition </w:t>
            </w:r>
            <w:r>
              <w:rPr>
                <w:lang w:val="fr-CH"/>
              </w:rPr>
              <w:br/>
            </w:r>
            <w:r w:rsidRPr="000814D0">
              <w:rPr>
                <w:lang w:val="fr-CH"/>
              </w:rPr>
              <w:t>spéciale 188 et de l’instruction d’emballage P903</w:t>
            </w:r>
            <w:r>
              <w:rPr>
                <w:spacing w:val="60"/>
                <w:sz w:val="17"/>
                <w:lang w:val="fr-CH"/>
              </w:rPr>
              <w:tab/>
            </w:r>
          </w:p>
        </w:tc>
        <w:tc>
          <w:tcPr>
            <w:tcW w:w="994" w:type="dxa"/>
            <w:shd w:val="clear" w:color="auto" w:fill="auto"/>
            <w:vAlign w:val="bottom"/>
          </w:tcPr>
          <w:p w:rsidR="00AF53E1" w:rsidRPr="00AF53E1" w:rsidRDefault="000814D0" w:rsidP="00AF53E1">
            <w:pPr>
              <w:spacing w:after="120"/>
              <w:jc w:val="right"/>
            </w:pPr>
            <w:r>
              <w:t>60</w:t>
            </w:r>
          </w:p>
        </w:tc>
        <w:tc>
          <w:tcPr>
            <w:tcW w:w="675" w:type="dxa"/>
            <w:shd w:val="clear" w:color="auto" w:fill="auto"/>
            <w:vAlign w:val="bottom"/>
          </w:tcPr>
          <w:p w:rsidR="00AF53E1" w:rsidRPr="00AF53E1" w:rsidRDefault="000814D0" w:rsidP="00AF53E1">
            <w:pPr>
              <w:spacing w:after="120"/>
              <w:jc w:val="right"/>
            </w:pPr>
            <w:r>
              <w:t>15</w:t>
            </w:r>
          </w:p>
        </w:tc>
      </w:tr>
      <w:tr w:rsidR="00AF53E1" w:rsidRPr="00AF53E1" w:rsidTr="00AF53E1">
        <w:tc>
          <w:tcPr>
            <w:tcW w:w="8375" w:type="dxa"/>
            <w:gridSpan w:val="2"/>
            <w:shd w:val="clear" w:color="auto" w:fill="auto"/>
          </w:tcPr>
          <w:p w:rsidR="00AF53E1" w:rsidRPr="00AF53E1" w:rsidRDefault="000814D0" w:rsidP="000814D0">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pPr>
            <w:r w:rsidRPr="000814D0">
              <w:rPr>
                <w:lang w:val="fr-CH"/>
              </w:rPr>
              <w:t>Transport de gaz (point 5 de l’ordre du jour)</w:t>
            </w:r>
            <w:r>
              <w:rPr>
                <w:spacing w:val="60"/>
                <w:sz w:val="17"/>
                <w:lang w:val="fr-CH"/>
              </w:rPr>
              <w:tab/>
            </w:r>
          </w:p>
        </w:tc>
        <w:tc>
          <w:tcPr>
            <w:tcW w:w="994" w:type="dxa"/>
            <w:shd w:val="clear" w:color="auto" w:fill="auto"/>
            <w:vAlign w:val="bottom"/>
          </w:tcPr>
          <w:p w:rsidR="00AF53E1" w:rsidRPr="00AF53E1" w:rsidRDefault="000814D0" w:rsidP="00AF53E1">
            <w:pPr>
              <w:spacing w:after="120"/>
              <w:jc w:val="right"/>
            </w:pPr>
            <w:r>
              <w:t>61–65</w:t>
            </w:r>
          </w:p>
        </w:tc>
        <w:tc>
          <w:tcPr>
            <w:tcW w:w="675" w:type="dxa"/>
            <w:shd w:val="clear" w:color="auto" w:fill="auto"/>
            <w:vAlign w:val="bottom"/>
          </w:tcPr>
          <w:p w:rsidR="00AF53E1" w:rsidRPr="00AF53E1" w:rsidRDefault="000814D0" w:rsidP="00AF53E1">
            <w:pPr>
              <w:spacing w:after="120"/>
              <w:jc w:val="right"/>
            </w:pPr>
            <w:r>
              <w:t>15</w:t>
            </w:r>
          </w:p>
        </w:tc>
      </w:tr>
      <w:tr w:rsidR="00AF53E1" w:rsidRPr="00AF53E1" w:rsidTr="00AF53E1">
        <w:tc>
          <w:tcPr>
            <w:tcW w:w="8375" w:type="dxa"/>
            <w:gridSpan w:val="2"/>
            <w:shd w:val="clear" w:color="auto" w:fill="auto"/>
          </w:tcPr>
          <w:p w:rsidR="00AF53E1" w:rsidRPr="00AF53E1" w:rsidRDefault="000814D0" w:rsidP="00D04046">
            <w:pPr>
              <w:pStyle w:val="ListParagraph"/>
              <w:numPr>
                <w:ilvl w:val="1"/>
                <w:numId w:val="6"/>
              </w:numPr>
              <w:tabs>
                <w:tab w:val="left" w:pos="1296"/>
                <w:tab w:val="left" w:pos="1728"/>
                <w:tab w:val="left" w:pos="2160"/>
                <w:tab w:val="left" w:pos="2592"/>
                <w:tab w:val="right" w:leader="dot" w:pos="8381"/>
              </w:tabs>
              <w:suppressAutoHyphens/>
              <w:spacing w:after="120"/>
            </w:pPr>
            <w:r w:rsidRPr="000814D0">
              <w:rPr>
                <w:lang w:val="fr-CH"/>
              </w:rPr>
              <w:t>Reconnaissance universelle des récipients à pression ONU et non-ONU</w:t>
            </w:r>
            <w:r>
              <w:rPr>
                <w:spacing w:val="60"/>
                <w:sz w:val="17"/>
                <w:lang w:val="fr-CH"/>
              </w:rPr>
              <w:tab/>
            </w:r>
          </w:p>
        </w:tc>
        <w:tc>
          <w:tcPr>
            <w:tcW w:w="994" w:type="dxa"/>
            <w:shd w:val="clear" w:color="auto" w:fill="auto"/>
            <w:vAlign w:val="bottom"/>
          </w:tcPr>
          <w:p w:rsidR="00AF53E1" w:rsidRPr="00AF53E1" w:rsidRDefault="000814D0" w:rsidP="00AF53E1">
            <w:pPr>
              <w:spacing w:after="120"/>
              <w:jc w:val="right"/>
            </w:pPr>
            <w:r>
              <w:t>61</w:t>
            </w:r>
          </w:p>
        </w:tc>
        <w:tc>
          <w:tcPr>
            <w:tcW w:w="675" w:type="dxa"/>
            <w:shd w:val="clear" w:color="auto" w:fill="auto"/>
            <w:vAlign w:val="bottom"/>
          </w:tcPr>
          <w:p w:rsidR="00AF53E1" w:rsidRPr="00AF53E1" w:rsidRDefault="000814D0" w:rsidP="00AF53E1">
            <w:pPr>
              <w:spacing w:after="120"/>
              <w:jc w:val="right"/>
            </w:pPr>
            <w:r>
              <w:t>15</w:t>
            </w:r>
          </w:p>
        </w:tc>
      </w:tr>
      <w:tr w:rsidR="00AF53E1" w:rsidRPr="00AF53E1" w:rsidTr="00AF53E1">
        <w:tc>
          <w:tcPr>
            <w:tcW w:w="8375" w:type="dxa"/>
            <w:gridSpan w:val="2"/>
            <w:shd w:val="clear" w:color="auto" w:fill="auto"/>
          </w:tcPr>
          <w:p w:rsidR="00AF53E1" w:rsidRPr="00AF53E1" w:rsidRDefault="000814D0" w:rsidP="000814D0">
            <w:pPr>
              <w:pStyle w:val="ListParagraph"/>
              <w:numPr>
                <w:ilvl w:val="1"/>
                <w:numId w:val="6"/>
              </w:numPr>
              <w:tabs>
                <w:tab w:val="left" w:pos="1296"/>
                <w:tab w:val="left" w:pos="1728"/>
                <w:tab w:val="left" w:pos="2160"/>
                <w:tab w:val="right" w:leader="dot" w:pos="8381"/>
              </w:tabs>
              <w:suppressAutoHyphens/>
              <w:spacing w:after="120"/>
            </w:pPr>
            <w:r w:rsidRPr="000814D0">
              <w:rPr>
                <w:lang w:val="fr-CH"/>
              </w:rPr>
              <w:t>Divers</w:t>
            </w:r>
            <w:r>
              <w:rPr>
                <w:spacing w:val="60"/>
                <w:sz w:val="17"/>
                <w:lang w:val="fr-CH"/>
              </w:rPr>
              <w:tab/>
            </w:r>
          </w:p>
        </w:tc>
        <w:tc>
          <w:tcPr>
            <w:tcW w:w="994" w:type="dxa"/>
            <w:shd w:val="clear" w:color="auto" w:fill="auto"/>
            <w:vAlign w:val="bottom"/>
          </w:tcPr>
          <w:p w:rsidR="00AF53E1" w:rsidRPr="00AF53E1" w:rsidRDefault="000814D0" w:rsidP="00861A6D">
            <w:pPr>
              <w:spacing w:after="120"/>
              <w:jc w:val="right"/>
            </w:pPr>
            <w:r>
              <w:t>6</w:t>
            </w:r>
            <w:r w:rsidR="00861A6D">
              <w:t>2</w:t>
            </w:r>
            <w:r>
              <w:t>–65</w:t>
            </w:r>
          </w:p>
        </w:tc>
        <w:tc>
          <w:tcPr>
            <w:tcW w:w="675" w:type="dxa"/>
            <w:shd w:val="clear" w:color="auto" w:fill="auto"/>
            <w:vAlign w:val="bottom"/>
          </w:tcPr>
          <w:p w:rsidR="00AF53E1" w:rsidRPr="00AF53E1" w:rsidRDefault="000814D0" w:rsidP="00AF53E1">
            <w:pPr>
              <w:spacing w:after="120"/>
              <w:jc w:val="right"/>
            </w:pPr>
            <w:r>
              <w:t>15</w:t>
            </w:r>
          </w:p>
        </w:tc>
      </w:tr>
      <w:tr w:rsidR="00AF53E1" w:rsidRPr="00AF53E1" w:rsidTr="00AF53E1">
        <w:tc>
          <w:tcPr>
            <w:tcW w:w="8375" w:type="dxa"/>
            <w:gridSpan w:val="2"/>
            <w:shd w:val="clear" w:color="auto" w:fill="auto"/>
          </w:tcPr>
          <w:p w:rsidR="00AF53E1" w:rsidRPr="00AF53E1" w:rsidRDefault="000814D0" w:rsidP="000814D0">
            <w:pPr>
              <w:pStyle w:val="ListParagraph"/>
              <w:numPr>
                <w:ilvl w:val="2"/>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uppressAutoHyphens/>
              <w:spacing w:after="120"/>
            </w:pPr>
            <w:r w:rsidRPr="000814D0">
              <w:rPr>
                <w:lang w:val="fr-CH"/>
              </w:rPr>
              <w:t>Insertion de références à de nouvelles normes dans la section 6.2.2</w:t>
            </w:r>
            <w:r>
              <w:rPr>
                <w:spacing w:val="60"/>
                <w:sz w:val="17"/>
                <w:lang w:val="fr-CH"/>
              </w:rPr>
              <w:tab/>
            </w:r>
          </w:p>
        </w:tc>
        <w:tc>
          <w:tcPr>
            <w:tcW w:w="994" w:type="dxa"/>
            <w:shd w:val="clear" w:color="auto" w:fill="auto"/>
            <w:vAlign w:val="bottom"/>
          </w:tcPr>
          <w:p w:rsidR="00AF53E1" w:rsidRPr="00AF53E1" w:rsidRDefault="000814D0" w:rsidP="00AF53E1">
            <w:pPr>
              <w:spacing w:after="120"/>
              <w:jc w:val="right"/>
            </w:pPr>
            <w:r>
              <w:t>62</w:t>
            </w:r>
          </w:p>
        </w:tc>
        <w:tc>
          <w:tcPr>
            <w:tcW w:w="675" w:type="dxa"/>
            <w:shd w:val="clear" w:color="auto" w:fill="auto"/>
            <w:vAlign w:val="bottom"/>
          </w:tcPr>
          <w:p w:rsidR="00AF53E1" w:rsidRPr="00AF53E1" w:rsidRDefault="000814D0" w:rsidP="00AF53E1">
            <w:pPr>
              <w:spacing w:after="120"/>
              <w:jc w:val="right"/>
            </w:pPr>
            <w:r>
              <w:t>15</w:t>
            </w:r>
          </w:p>
        </w:tc>
      </w:tr>
      <w:tr w:rsidR="00AF53E1" w:rsidRPr="00AF53E1" w:rsidTr="00AF53E1">
        <w:tc>
          <w:tcPr>
            <w:tcW w:w="8375" w:type="dxa"/>
            <w:gridSpan w:val="2"/>
            <w:shd w:val="clear" w:color="auto" w:fill="auto"/>
          </w:tcPr>
          <w:p w:rsidR="00AF53E1" w:rsidRPr="00AF53E1" w:rsidRDefault="000814D0" w:rsidP="000814D0">
            <w:pPr>
              <w:pStyle w:val="ListParagraph"/>
              <w:numPr>
                <w:ilvl w:val="2"/>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pPr>
            <w:r w:rsidRPr="000814D0">
              <w:rPr>
                <w:lang w:val="fr-CH"/>
              </w:rPr>
              <w:t>Transport de réservoirs à gaz destinés aux véhicules automobiles</w:t>
            </w:r>
            <w:r>
              <w:rPr>
                <w:spacing w:val="60"/>
                <w:sz w:val="17"/>
                <w:lang w:val="fr-CH"/>
              </w:rPr>
              <w:tab/>
            </w:r>
          </w:p>
        </w:tc>
        <w:tc>
          <w:tcPr>
            <w:tcW w:w="994" w:type="dxa"/>
            <w:shd w:val="clear" w:color="auto" w:fill="auto"/>
            <w:vAlign w:val="bottom"/>
          </w:tcPr>
          <w:p w:rsidR="00AF53E1" w:rsidRPr="00AF53E1" w:rsidRDefault="000814D0" w:rsidP="00AF53E1">
            <w:pPr>
              <w:spacing w:after="120"/>
              <w:jc w:val="right"/>
            </w:pPr>
            <w:r>
              <w:t>63–65</w:t>
            </w:r>
          </w:p>
        </w:tc>
        <w:tc>
          <w:tcPr>
            <w:tcW w:w="675" w:type="dxa"/>
            <w:shd w:val="clear" w:color="auto" w:fill="auto"/>
            <w:vAlign w:val="bottom"/>
          </w:tcPr>
          <w:p w:rsidR="00AF53E1" w:rsidRPr="00AF53E1" w:rsidRDefault="000814D0" w:rsidP="00AF53E1">
            <w:pPr>
              <w:spacing w:after="120"/>
              <w:jc w:val="right"/>
            </w:pPr>
            <w:r>
              <w:t>15</w:t>
            </w:r>
          </w:p>
        </w:tc>
      </w:tr>
      <w:tr w:rsidR="00AF53E1" w:rsidRPr="00AF53E1" w:rsidTr="00AF53E1">
        <w:tc>
          <w:tcPr>
            <w:tcW w:w="8375" w:type="dxa"/>
            <w:gridSpan w:val="2"/>
            <w:shd w:val="clear" w:color="auto" w:fill="auto"/>
          </w:tcPr>
          <w:p w:rsidR="00AF53E1" w:rsidRPr="00AF53E1" w:rsidRDefault="000814D0" w:rsidP="000814D0">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pPr>
            <w:r w:rsidRPr="000814D0">
              <w:rPr>
                <w:lang w:val="fr-CH"/>
              </w:rPr>
              <w:t xml:space="preserve">Propositions diverses d’amendements au Règlement type pour le transport </w:t>
            </w:r>
            <w:r>
              <w:rPr>
                <w:lang w:val="fr-CH"/>
              </w:rPr>
              <w:br/>
            </w:r>
            <w:r w:rsidRPr="000814D0">
              <w:rPr>
                <w:lang w:val="fr-CH"/>
              </w:rPr>
              <w:t>des marchandises dangereuses (point 6 de l’ordre du jour)</w:t>
            </w:r>
            <w:r>
              <w:rPr>
                <w:spacing w:val="60"/>
                <w:sz w:val="17"/>
                <w:lang w:val="fr-CH"/>
              </w:rPr>
              <w:tab/>
            </w:r>
          </w:p>
        </w:tc>
        <w:tc>
          <w:tcPr>
            <w:tcW w:w="994" w:type="dxa"/>
            <w:shd w:val="clear" w:color="auto" w:fill="auto"/>
            <w:vAlign w:val="bottom"/>
          </w:tcPr>
          <w:p w:rsidR="00AF53E1" w:rsidRPr="00AF53E1" w:rsidRDefault="000814D0" w:rsidP="00AF53E1">
            <w:pPr>
              <w:spacing w:after="120"/>
              <w:jc w:val="right"/>
            </w:pPr>
            <w:r>
              <w:t>66–75</w:t>
            </w:r>
          </w:p>
        </w:tc>
        <w:tc>
          <w:tcPr>
            <w:tcW w:w="675" w:type="dxa"/>
            <w:shd w:val="clear" w:color="auto" w:fill="auto"/>
            <w:vAlign w:val="bottom"/>
          </w:tcPr>
          <w:p w:rsidR="00AF53E1" w:rsidRPr="00AF53E1" w:rsidRDefault="000814D0" w:rsidP="00AF53E1">
            <w:pPr>
              <w:spacing w:after="120"/>
              <w:jc w:val="right"/>
            </w:pPr>
            <w:r>
              <w:t>16</w:t>
            </w:r>
          </w:p>
        </w:tc>
      </w:tr>
      <w:tr w:rsidR="00AF53E1" w:rsidRPr="00AF53E1" w:rsidTr="00AF53E1">
        <w:tc>
          <w:tcPr>
            <w:tcW w:w="8375" w:type="dxa"/>
            <w:gridSpan w:val="2"/>
            <w:shd w:val="clear" w:color="auto" w:fill="auto"/>
          </w:tcPr>
          <w:p w:rsidR="00AF53E1" w:rsidRPr="00AF53E1" w:rsidRDefault="005006AD" w:rsidP="005006AD">
            <w:pPr>
              <w:pStyle w:val="ListParagraph"/>
              <w:numPr>
                <w:ilvl w:val="1"/>
                <w:numId w:val="6"/>
              </w:numPr>
              <w:tabs>
                <w:tab w:val="left" w:pos="1296"/>
                <w:tab w:val="left" w:pos="1728"/>
                <w:tab w:val="left" w:pos="2160"/>
                <w:tab w:val="left" w:pos="2592"/>
                <w:tab w:val="left" w:pos="3024"/>
                <w:tab w:val="right" w:leader="dot" w:pos="8381"/>
              </w:tabs>
              <w:suppressAutoHyphens/>
              <w:spacing w:after="120"/>
            </w:pPr>
            <w:r w:rsidRPr="005006AD">
              <w:rPr>
                <w:lang w:val="fr-CH"/>
              </w:rPr>
              <w:t xml:space="preserve">Marchandises dangereuses contenues dans des machines, des appareils </w:t>
            </w:r>
            <w:r>
              <w:rPr>
                <w:lang w:val="fr-CH"/>
              </w:rPr>
              <w:br/>
            </w:r>
            <w:r w:rsidRPr="005006AD">
              <w:rPr>
                <w:lang w:val="fr-CH"/>
              </w:rPr>
              <w:t>ou des objets, n.s.a</w:t>
            </w:r>
            <w:r>
              <w:rPr>
                <w:spacing w:val="60"/>
                <w:sz w:val="17"/>
                <w:lang w:val="fr-CH"/>
              </w:rPr>
              <w:tab/>
            </w:r>
          </w:p>
        </w:tc>
        <w:tc>
          <w:tcPr>
            <w:tcW w:w="994" w:type="dxa"/>
            <w:shd w:val="clear" w:color="auto" w:fill="auto"/>
            <w:vAlign w:val="bottom"/>
          </w:tcPr>
          <w:p w:rsidR="00AF53E1" w:rsidRPr="00AF53E1" w:rsidRDefault="005006AD" w:rsidP="00AF53E1">
            <w:pPr>
              <w:spacing w:after="120"/>
              <w:jc w:val="right"/>
            </w:pPr>
            <w:r>
              <w:t>66</w:t>
            </w:r>
          </w:p>
        </w:tc>
        <w:tc>
          <w:tcPr>
            <w:tcW w:w="675" w:type="dxa"/>
            <w:shd w:val="clear" w:color="auto" w:fill="auto"/>
            <w:vAlign w:val="bottom"/>
          </w:tcPr>
          <w:p w:rsidR="00AF53E1" w:rsidRPr="00AF53E1" w:rsidRDefault="005006AD" w:rsidP="00AF53E1">
            <w:pPr>
              <w:spacing w:after="120"/>
              <w:jc w:val="right"/>
            </w:pPr>
            <w:r>
              <w:t>16</w:t>
            </w:r>
          </w:p>
        </w:tc>
      </w:tr>
      <w:tr w:rsidR="00AF53E1" w:rsidRPr="00AF53E1" w:rsidTr="00AF53E1">
        <w:tc>
          <w:tcPr>
            <w:tcW w:w="8375" w:type="dxa"/>
            <w:gridSpan w:val="2"/>
            <w:shd w:val="clear" w:color="auto" w:fill="auto"/>
          </w:tcPr>
          <w:p w:rsidR="00AF53E1" w:rsidRPr="00AF53E1" w:rsidRDefault="005006AD" w:rsidP="005006AD">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pPr>
            <w:r w:rsidRPr="005006AD">
              <w:rPr>
                <w:lang w:val="fr-CH"/>
              </w:rPr>
              <w:t>Objets contenant de petites quantités de marchandises dangereuses</w:t>
            </w:r>
            <w:r>
              <w:rPr>
                <w:spacing w:val="60"/>
                <w:sz w:val="17"/>
                <w:lang w:val="fr-CH"/>
              </w:rPr>
              <w:tab/>
            </w:r>
          </w:p>
        </w:tc>
        <w:tc>
          <w:tcPr>
            <w:tcW w:w="994" w:type="dxa"/>
            <w:shd w:val="clear" w:color="auto" w:fill="auto"/>
            <w:vAlign w:val="bottom"/>
          </w:tcPr>
          <w:p w:rsidR="00AF53E1" w:rsidRPr="00AF53E1" w:rsidRDefault="005006AD" w:rsidP="00AF53E1">
            <w:pPr>
              <w:spacing w:after="120"/>
              <w:jc w:val="right"/>
            </w:pPr>
            <w:r>
              <w:t>67</w:t>
            </w:r>
          </w:p>
        </w:tc>
        <w:tc>
          <w:tcPr>
            <w:tcW w:w="675" w:type="dxa"/>
            <w:shd w:val="clear" w:color="auto" w:fill="auto"/>
            <w:vAlign w:val="bottom"/>
          </w:tcPr>
          <w:p w:rsidR="00AF53E1" w:rsidRPr="00AF53E1" w:rsidRDefault="005006AD" w:rsidP="00AF53E1">
            <w:pPr>
              <w:spacing w:after="120"/>
              <w:jc w:val="right"/>
            </w:pPr>
            <w:r>
              <w:t>16</w:t>
            </w:r>
          </w:p>
        </w:tc>
      </w:tr>
      <w:tr w:rsidR="00AF53E1" w:rsidRPr="00AF53E1" w:rsidTr="00AF53E1">
        <w:tc>
          <w:tcPr>
            <w:tcW w:w="8375" w:type="dxa"/>
            <w:gridSpan w:val="2"/>
            <w:shd w:val="clear" w:color="auto" w:fill="auto"/>
          </w:tcPr>
          <w:p w:rsidR="00AF53E1" w:rsidRPr="00AF53E1" w:rsidRDefault="005006AD" w:rsidP="005006AD">
            <w:pPr>
              <w:pStyle w:val="ListParagraph"/>
              <w:numPr>
                <w:ilvl w:val="1"/>
                <w:numId w:val="6"/>
              </w:numPr>
              <w:tabs>
                <w:tab w:val="left" w:pos="1296"/>
                <w:tab w:val="left" w:pos="1728"/>
                <w:tab w:val="left" w:pos="2160"/>
                <w:tab w:val="left" w:pos="2592"/>
                <w:tab w:val="left" w:pos="3024"/>
                <w:tab w:val="left" w:pos="3456"/>
                <w:tab w:val="right" w:leader="dot" w:pos="8381"/>
              </w:tabs>
              <w:suppressAutoHyphens/>
              <w:spacing w:after="120"/>
            </w:pPr>
            <w:r w:rsidRPr="005006AD">
              <w:rPr>
                <w:lang w:val="fr-CH"/>
              </w:rPr>
              <w:t>Marquage et étiquetage</w:t>
            </w:r>
            <w:r>
              <w:rPr>
                <w:spacing w:val="60"/>
                <w:sz w:val="17"/>
                <w:lang w:val="fr-CH"/>
              </w:rPr>
              <w:tab/>
            </w:r>
          </w:p>
        </w:tc>
        <w:tc>
          <w:tcPr>
            <w:tcW w:w="994" w:type="dxa"/>
            <w:shd w:val="clear" w:color="auto" w:fill="auto"/>
            <w:vAlign w:val="bottom"/>
          </w:tcPr>
          <w:p w:rsidR="00AF53E1" w:rsidRPr="00AF53E1" w:rsidRDefault="005006AD" w:rsidP="00AF53E1">
            <w:pPr>
              <w:spacing w:after="120"/>
              <w:jc w:val="right"/>
            </w:pPr>
            <w:r>
              <w:t>68–69</w:t>
            </w:r>
          </w:p>
        </w:tc>
        <w:tc>
          <w:tcPr>
            <w:tcW w:w="675" w:type="dxa"/>
            <w:shd w:val="clear" w:color="auto" w:fill="auto"/>
            <w:vAlign w:val="bottom"/>
          </w:tcPr>
          <w:p w:rsidR="00AF53E1" w:rsidRPr="00AF53E1" w:rsidRDefault="005006AD" w:rsidP="00AF53E1">
            <w:pPr>
              <w:spacing w:after="120"/>
              <w:jc w:val="right"/>
            </w:pPr>
            <w:r>
              <w:t>16</w:t>
            </w:r>
          </w:p>
        </w:tc>
      </w:tr>
      <w:tr w:rsidR="00AF53E1" w:rsidRPr="00AF53E1" w:rsidTr="00AF53E1">
        <w:tc>
          <w:tcPr>
            <w:tcW w:w="8375" w:type="dxa"/>
            <w:gridSpan w:val="2"/>
            <w:shd w:val="clear" w:color="auto" w:fill="auto"/>
          </w:tcPr>
          <w:p w:rsidR="00AF53E1" w:rsidRPr="00AF53E1" w:rsidRDefault="005006AD" w:rsidP="005006AD">
            <w:pPr>
              <w:pStyle w:val="ListParagraph"/>
              <w:numPr>
                <w:ilvl w:val="2"/>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pPr>
            <w:r w:rsidRPr="005006AD">
              <w:rPr>
                <w:lang w:val="fr-CH"/>
              </w:rPr>
              <w:t xml:space="preserve">Communication appropriée des dangers </w:t>
            </w:r>
            <w:r>
              <w:rPr>
                <w:lang w:val="fr-CH"/>
              </w:rPr>
              <w:t>–</w:t>
            </w:r>
            <w:r w:rsidRPr="005006AD">
              <w:rPr>
                <w:lang w:val="fr-CH"/>
              </w:rPr>
              <w:t xml:space="preserve"> matières transportées </w:t>
            </w:r>
            <w:r>
              <w:rPr>
                <w:lang w:val="fr-CH"/>
              </w:rPr>
              <w:br/>
            </w:r>
            <w:r w:rsidRPr="005006AD">
              <w:rPr>
                <w:lang w:val="fr-CH"/>
              </w:rPr>
              <w:t>à chaud et matières dangereuses pour l’environnement</w:t>
            </w:r>
            <w:r>
              <w:rPr>
                <w:spacing w:val="60"/>
                <w:sz w:val="17"/>
                <w:lang w:val="fr-CH"/>
              </w:rPr>
              <w:tab/>
            </w:r>
          </w:p>
        </w:tc>
        <w:tc>
          <w:tcPr>
            <w:tcW w:w="994" w:type="dxa"/>
            <w:shd w:val="clear" w:color="auto" w:fill="auto"/>
            <w:vAlign w:val="bottom"/>
          </w:tcPr>
          <w:p w:rsidR="00AF53E1" w:rsidRPr="00AF53E1" w:rsidRDefault="005006AD" w:rsidP="00AF53E1">
            <w:pPr>
              <w:spacing w:after="120"/>
              <w:jc w:val="right"/>
            </w:pPr>
            <w:r>
              <w:t>68</w:t>
            </w:r>
          </w:p>
        </w:tc>
        <w:tc>
          <w:tcPr>
            <w:tcW w:w="675" w:type="dxa"/>
            <w:shd w:val="clear" w:color="auto" w:fill="auto"/>
            <w:vAlign w:val="bottom"/>
          </w:tcPr>
          <w:p w:rsidR="00AF53E1" w:rsidRPr="00AF53E1" w:rsidRDefault="005006AD" w:rsidP="00AF53E1">
            <w:pPr>
              <w:spacing w:after="120"/>
              <w:jc w:val="right"/>
            </w:pPr>
            <w:r>
              <w:t>16</w:t>
            </w:r>
          </w:p>
        </w:tc>
      </w:tr>
      <w:tr w:rsidR="00AF53E1" w:rsidRPr="00AF53E1" w:rsidTr="00AF53E1">
        <w:tc>
          <w:tcPr>
            <w:tcW w:w="8375" w:type="dxa"/>
            <w:gridSpan w:val="2"/>
            <w:shd w:val="clear" w:color="auto" w:fill="auto"/>
          </w:tcPr>
          <w:p w:rsidR="00AF53E1" w:rsidRPr="00AF53E1" w:rsidRDefault="005006AD" w:rsidP="005006AD">
            <w:pPr>
              <w:pStyle w:val="ListParagraph"/>
              <w:numPr>
                <w:ilvl w:val="2"/>
                <w:numId w:val="6"/>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pPr>
            <w:r w:rsidRPr="005006AD">
              <w:rPr>
                <w:lang w:val="fr-CH"/>
              </w:rPr>
              <w:t>Révision du paragraphe 5.2.2.2.2</w:t>
            </w:r>
            <w:r>
              <w:rPr>
                <w:spacing w:val="60"/>
                <w:sz w:val="17"/>
                <w:lang w:val="fr-CH"/>
              </w:rPr>
              <w:tab/>
            </w:r>
          </w:p>
        </w:tc>
        <w:tc>
          <w:tcPr>
            <w:tcW w:w="994" w:type="dxa"/>
            <w:shd w:val="clear" w:color="auto" w:fill="auto"/>
            <w:vAlign w:val="bottom"/>
          </w:tcPr>
          <w:p w:rsidR="00AF53E1" w:rsidRPr="00AF53E1" w:rsidRDefault="005006AD" w:rsidP="00AF53E1">
            <w:pPr>
              <w:spacing w:after="120"/>
              <w:jc w:val="right"/>
            </w:pPr>
            <w:r>
              <w:t>69</w:t>
            </w:r>
          </w:p>
        </w:tc>
        <w:tc>
          <w:tcPr>
            <w:tcW w:w="675" w:type="dxa"/>
            <w:shd w:val="clear" w:color="auto" w:fill="auto"/>
            <w:vAlign w:val="bottom"/>
          </w:tcPr>
          <w:p w:rsidR="00AF53E1" w:rsidRPr="00AF53E1" w:rsidRDefault="005006AD" w:rsidP="00AF53E1">
            <w:pPr>
              <w:spacing w:after="120"/>
              <w:jc w:val="right"/>
            </w:pPr>
            <w:r>
              <w:t>17</w:t>
            </w:r>
          </w:p>
        </w:tc>
      </w:tr>
      <w:tr w:rsidR="00AF53E1" w:rsidRPr="00AF53E1" w:rsidTr="00AF53E1">
        <w:tc>
          <w:tcPr>
            <w:tcW w:w="8375" w:type="dxa"/>
            <w:gridSpan w:val="2"/>
            <w:shd w:val="clear" w:color="auto" w:fill="auto"/>
          </w:tcPr>
          <w:p w:rsidR="00AF53E1" w:rsidRPr="00AF53E1" w:rsidRDefault="005006AD" w:rsidP="005006AD">
            <w:pPr>
              <w:pStyle w:val="ListParagraph"/>
              <w:numPr>
                <w:ilvl w:val="1"/>
                <w:numId w:val="6"/>
              </w:numPr>
              <w:tabs>
                <w:tab w:val="left" w:pos="1296"/>
                <w:tab w:val="left" w:pos="1728"/>
                <w:tab w:val="left" w:pos="2160"/>
                <w:tab w:val="left" w:pos="2592"/>
                <w:tab w:val="right" w:leader="dot" w:pos="8381"/>
              </w:tabs>
              <w:suppressAutoHyphens/>
              <w:spacing w:after="120"/>
            </w:pPr>
            <w:r w:rsidRPr="005006AD">
              <w:rPr>
                <w:lang w:val="fr-CH"/>
              </w:rPr>
              <w:t>Emballages</w:t>
            </w:r>
            <w:r>
              <w:rPr>
                <w:spacing w:val="60"/>
                <w:sz w:val="17"/>
                <w:lang w:val="fr-CH"/>
              </w:rPr>
              <w:tab/>
            </w:r>
          </w:p>
        </w:tc>
        <w:tc>
          <w:tcPr>
            <w:tcW w:w="994" w:type="dxa"/>
            <w:shd w:val="clear" w:color="auto" w:fill="auto"/>
            <w:vAlign w:val="bottom"/>
          </w:tcPr>
          <w:p w:rsidR="00AF53E1" w:rsidRPr="00AF53E1" w:rsidRDefault="00224BEC" w:rsidP="00AF53E1">
            <w:pPr>
              <w:spacing w:after="120"/>
              <w:jc w:val="right"/>
            </w:pPr>
            <w:r>
              <w:t>70–72</w:t>
            </w:r>
          </w:p>
        </w:tc>
        <w:tc>
          <w:tcPr>
            <w:tcW w:w="675" w:type="dxa"/>
            <w:shd w:val="clear" w:color="auto" w:fill="auto"/>
            <w:vAlign w:val="bottom"/>
          </w:tcPr>
          <w:p w:rsidR="00AF53E1" w:rsidRPr="00AF53E1" w:rsidRDefault="005006AD" w:rsidP="00AF53E1">
            <w:pPr>
              <w:spacing w:after="120"/>
              <w:jc w:val="right"/>
            </w:pPr>
            <w:r>
              <w:t>17</w:t>
            </w:r>
          </w:p>
        </w:tc>
      </w:tr>
      <w:tr w:rsidR="00AF53E1" w:rsidRPr="00AF53E1" w:rsidTr="00AF53E1">
        <w:tc>
          <w:tcPr>
            <w:tcW w:w="8375" w:type="dxa"/>
            <w:gridSpan w:val="2"/>
            <w:shd w:val="clear" w:color="auto" w:fill="auto"/>
          </w:tcPr>
          <w:p w:rsidR="00AF53E1" w:rsidRPr="00AF53E1" w:rsidRDefault="00CD48FA" w:rsidP="00CD48FA">
            <w:pPr>
              <w:pStyle w:val="ListParagraph"/>
              <w:numPr>
                <w:ilvl w:val="2"/>
                <w:numId w:val="6"/>
              </w:numPr>
              <w:tabs>
                <w:tab w:val="left" w:pos="1296"/>
                <w:tab w:val="left" w:pos="1728"/>
                <w:tab w:val="left" w:pos="2160"/>
                <w:tab w:val="left" w:pos="2592"/>
                <w:tab w:val="left" w:pos="3024"/>
                <w:tab w:val="left" w:pos="3456"/>
                <w:tab w:val="left" w:pos="3888"/>
                <w:tab w:val="right" w:leader="dot" w:pos="8381"/>
              </w:tabs>
              <w:suppressAutoHyphens/>
              <w:spacing w:after="120"/>
            </w:pPr>
            <w:r w:rsidRPr="00CD48FA">
              <w:rPr>
                <w:lang w:val="fr-CH"/>
              </w:rPr>
              <w:t xml:space="preserve">Proposition de correction à apporter à la version française </w:t>
            </w:r>
            <w:r>
              <w:rPr>
                <w:lang w:val="fr-CH"/>
              </w:rPr>
              <w:br/>
            </w:r>
            <w:r w:rsidRPr="00CD48FA">
              <w:rPr>
                <w:lang w:val="fr-CH"/>
              </w:rPr>
              <w:t>de l’alinéa 6.1.3.1 d)</w:t>
            </w:r>
            <w:r>
              <w:rPr>
                <w:spacing w:val="60"/>
                <w:sz w:val="17"/>
                <w:lang w:val="fr-CH"/>
              </w:rPr>
              <w:tab/>
            </w:r>
          </w:p>
        </w:tc>
        <w:tc>
          <w:tcPr>
            <w:tcW w:w="994" w:type="dxa"/>
            <w:shd w:val="clear" w:color="auto" w:fill="auto"/>
            <w:vAlign w:val="bottom"/>
          </w:tcPr>
          <w:p w:rsidR="00AF53E1" w:rsidRPr="00AF53E1" w:rsidRDefault="00CD48FA" w:rsidP="00AF53E1">
            <w:pPr>
              <w:spacing w:after="120"/>
              <w:jc w:val="right"/>
            </w:pPr>
            <w:r>
              <w:t>70</w:t>
            </w:r>
          </w:p>
        </w:tc>
        <w:tc>
          <w:tcPr>
            <w:tcW w:w="675" w:type="dxa"/>
            <w:shd w:val="clear" w:color="auto" w:fill="auto"/>
            <w:vAlign w:val="bottom"/>
          </w:tcPr>
          <w:p w:rsidR="00AF53E1" w:rsidRPr="00AF53E1" w:rsidRDefault="00CD48FA" w:rsidP="00AF53E1">
            <w:pPr>
              <w:spacing w:after="120"/>
              <w:jc w:val="right"/>
            </w:pPr>
            <w:r>
              <w:t>17</w:t>
            </w:r>
          </w:p>
        </w:tc>
      </w:tr>
      <w:tr w:rsidR="00AF53E1" w:rsidRPr="00AF53E1" w:rsidTr="00AF53E1">
        <w:tc>
          <w:tcPr>
            <w:tcW w:w="8375" w:type="dxa"/>
            <w:gridSpan w:val="2"/>
            <w:shd w:val="clear" w:color="auto" w:fill="auto"/>
          </w:tcPr>
          <w:p w:rsidR="00AF53E1" w:rsidRPr="00AF53E1" w:rsidRDefault="00CD48FA" w:rsidP="00D73965">
            <w:pPr>
              <w:pStyle w:val="ListParagraph"/>
              <w:numPr>
                <w:ilvl w:val="2"/>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pPr>
            <w:r w:rsidRPr="00CD48FA">
              <w:rPr>
                <w:lang w:val="fr-CH"/>
              </w:rPr>
              <w:t xml:space="preserve">Température au cours de l’épreuve de pression interne (hydraulique) </w:t>
            </w:r>
            <w:r w:rsidRPr="00CD48FA">
              <w:rPr>
                <w:lang w:val="fr-CH"/>
              </w:rPr>
              <w:br/>
              <w:t>applicable aux emballages en plastique et aux GRV en plastique</w:t>
            </w:r>
            <w:r w:rsidR="00D73965">
              <w:rPr>
                <w:spacing w:val="60"/>
                <w:sz w:val="17"/>
                <w:lang w:val="fr-CH"/>
              </w:rPr>
              <w:tab/>
            </w:r>
          </w:p>
        </w:tc>
        <w:tc>
          <w:tcPr>
            <w:tcW w:w="994" w:type="dxa"/>
            <w:shd w:val="clear" w:color="auto" w:fill="auto"/>
            <w:vAlign w:val="bottom"/>
          </w:tcPr>
          <w:p w:rsidR="00AF53E1" w:rsidRPr="00AF53E1" w:rsidRDefault="00D73965" w:rsidP="00AF53E1">
            <w:pPr>
              <w:spacing w:after="120"/>
              <w:jc w:val="right"/>
            </w:pPr>
            <w:r>
              <w:t>71</w:t>
            </w:r>
          </w:p>
        </w:tc>
        <w:tc>
          <w:tcPr>
            <w:tcW w:w="675" w:type="dxa"/>
            <w:shd w:val="clear" w:color="auto" w:fill="auto"/>
            <w:vAlign w:val="bottom"/>
          </w:tcPr>
          <w:p w:rsidR="00AF53E1" w:rsidRPr="00AF53E1" w:rsidRDefault="00D73965" w:rsidP="00AF53E1">
            <w:pPr>
              <w:spacing w:after="120"/>
              <w:jc w:val="right"/>
            </w:pPr>
            <w:r>
              <w:t>17</w:t>
            </w:r>
          </w:p>
        </w:tc>
      </w:tr>
      <w:tr w:rsidR="00AF53E1" w:rsidRPr="00AF53E1" w:rsidTr="00AF53E1">
        <w:tc>
          <w:tcPr>
            <w:tcW w:w="8375" w:type="dxa"/>
            <w:gridSpan w:val="2"/>
            <w:shd w:val="clear" w:color="auto" w:fill="auto"/>
          </w:tcPr>
          <w:p w:rsidR="00AF53E1" w:rsidRPr="00AF53E1" w:rsidRDefault="00D73965" w:rsidP="00D73965">
            <w:pPr>
              <w:pStyle w:val="ListParagraph"/>
              <w:numPr>
                <w:ilvl w:val="2"/>
                <w:numId w:val="6"/>
              </w:numPr>
              <w:tabs>
                <w:tab w:val="left" w:pos="1296"/>
                <w:tab w:val="left" w:pos="1728"/>
                <w:tab w:val="left" w:pos="2160"/>
                <w:tab w:val="left" w:pos="2592"/>
                <w:tab w:val="left" w:pos="3024"/>
                <w:tab w:val="left" w:pos="3456"/>
                <w:tab w:val="right" w:leader="dot" w:pos="8381"/>
              </w:tabs>
              <w:suppressAutoHyphens/>
              <w:spacing w:after="120"/>
            </w:pPr>
            <w:r w:rsidRPr="00D73965">
              <w:rPr>
                <w:lang w:val="fr-CH"/>
              </w:rPr>
              <w:t xml:space="preserve">Instructions d’emballage P620 et P650 pour les matières infectieuses </w:t>
            </w:r>
            <w:r w:rsidRPr="00D73965">
              <w:rPr>
                <w:lang w:val="fr-CH"/>
              </w:rPr>
              <w:br/>
              <w:t>de la division 6.2</w:t>
            </w:r>
            <w:r>
              <w:rPr>
                <w:spacing w:val="60"/>
                <w:sz w:val="17"/>
                <w:lang w:val="fr-CH"/>
              </w:rPr>
              <w:tab/>
            </w:r>
          </w:p>
        </w:tc>
        <w:tc>
          <w:tcPr>
            <w:tcW w:w="994" w:type="dxa"/>
            <w:shd w:val="clear" w:color="auto" w:fill="auto"/>
            <w:vAlign w:val="bottom"/>
          </w:tcPr>
          <w:p w:rsidR="00AF53E1" w:rsidRPr="00AF53E1" w:rsidRDefault="00D73965" w:rsidP="00AF53E1">
            <w:pPr>
              <w:spacing w:after="120"/>
              <w:jc w:val="right"/>
            </w:pPr>
            <w:r>
              <w:t>72</w:t>
            </w:r>
          </w:p>
        </w:tc>
        <w:tc>
          <w:tcPr>
            <w:tcW w:w="675" w:type="dxa"/>
            <w:shd w:val="clear" w:color="auto" w:fill="auto"/>
            <w:vAlign w:val="bottom"/>
          </w:tcPr>
          <w:p w:rsidR="00AF53E1" w:rsidRPr="00AF53E1" w:rsidRDefault="00D73965" w:rsidP="00AF53E1">
            <w:pPr>
              <w:spacing w:after="120"/>
              <w:jc w:val="right"/>
            </w:pPr>
            <w:r>
              <w:t>17</w:t>
            </w:r>
          </w:p>
        </w:tc>
      </w:tr>
      <w:tr w:rsidR="00AF53E1" w:rsidRPr="00AF53E1" w:rsidTr="00AF53E1">
        <w:tc>
          <w:tcPr>
            <w:tcW w:w="8375" w:type="dxa"/>
            <w:gridSpan w:val="2"/>
            <w:shd w:val="clear" w:color="auto" w:fill="auto"/>
          </w:tcPr>
          <w:p w:rsidR="00AF53E1" w:rsidRPr="00AF53E1" w:rsidRDefault="00D73965" w:rsidP="00D73965">
            <w:pPr>
              <w:pStyle w:val="ListParagraph"/>
              <w:numPr>
                <w:ilvl w:val="1"/>
                <w:numId w:val="6"/>
              </w:numPr>
              <w:tabs>
                <w:tab w:val="left" w:pos="1296"/>
                <w:tab w:val="left" w:pos="1728"/>
                <w:tab w:val="left" w:pos="2160"/>
                <w:tab w:val="left" w:pos="2592"/>
                <w:tab w:val="left" w:pos="3024"/>
                <w:tab w:val="right" w:leader="dot" w:pos="8381"/>
              </w:tabs>
              <w:suppressAutoHyphens/>
              <w:spacing w:after="120"/>
            </w:pPr>
            <w:r w:rsidRPr="00D73965">
              <w:rPr>
                <w:lang w:val="fr-CH"/>
              </w:rPr>
              <w:t>Citernes mobiles</w:t>
            </w:r>
            <w:r>
              <w:rPr>
                <w:spacing w:val="60"/>
                <w:sz w:val="17"/>
                <w:lang w:val="fr-CH"/>
              </w:rPr>
              <w:tab/>
            </w:r>
          </w:p>
        </w:tc>
        <w:tc>
          <w:tcPr>
            <w:tcW w:w="994" w:type="dxa"/>
            <w:shd w:val="clear" w:color="auto" w:fill="auto"/>
            <w:vAlign w:val="bottom"/>
          </w:tcPr>
          <w:p w:rsidR="00AF53E1" w:rsidRPr="00AF53E1" w:rsidRDefault="00D73965" w:rsidP="00AF53E1">
            <w:pPr>
              <w:spacing w:after="120"/>
              <w:jc w:val="right"/>
            </w:pPr>
            <w:r>
              <w:t>73</w:t>
            </w:r>
          </w:p>
        </w:tc>
        <w:tc>
          <w:tcPr>
            <w:tcW w:w="675" w:type="dxa"/>
            <w:shd w:val="clear" w:color="auto" w:fill="auto"/>
            <w:vAlign w:val="bottom"/>
          </w:tcPr>
          <w:p w:rsidR="00AF53E1" w:rsidRPr="00AF53E1" w:rsidRDefault="00D73965" w:rsidP="00AF53E1">
            <w:pPr>
              <w:spacing w:after="120"/>
              <w:jc w:val="right"/>
            </w:pPr>
            <w:r>
              <w:t>18</w:t>
            </w:r>
          </w:p>
        </w:tc>
      </w:tr>
      <w:tr w:rsidR="00AF53E1" w:rsidRPr="00AF53E1" w:rsidTr="00AF53E1">
        <w:tc>
          <w:tcPr>
            <w:tcW w:w="8375" w:type="dxa"/>
            <w:gridSpan w:val="2"/>
            <w:shd w:val="clear" w:color="auto" w:fill="auto"/>
          </w:tcPr>
          <w:p w:rsidR="00AF53E1" w:rsidRPr="00AF53E1" w:rsidRDefault="00D73965" w:rsidP="00D73965">
            <w:pPr>
              <w:pStyle w:val="ListParagraph"/>
              <w:numPr>
                <w:ilvl w:val="1"/>
                <w:numId w:val="6"/>
              </w:numPr>
              <w:tabs>
                <w:tab w:val="left" w:pos="1296"/>
                <w:tab w:val="left" w:pos="1728"/>
                <w:tab w:val="left" w:pos="2160"/>
                <w:tab w:val="left" w:pos="2592"/>
                <w:tab w:val="left" w:pos="3024"/>
                <w:tab w:val="left" w:pos="3456"/>
                <w:tab w:val="left" w:pos="3888"/>
                <w:tab w:val="right" w:leader="dot" w:pos="8381"/>
              </w:tabs>
              <w:suppressAutoHyphens/>
              <w:spacing w:after="120"/>
            </w:pPr>
            <w:r w:rsidRPr="00D73965">
              <w:rPr>
                <w:lang w:val="fr-CH"/>
              </w:rPr>
              <w:t>Autres propositions diverses</w:t>
            </w:r>
            <w:r>
              <w:rPr>
                <w:spacing w:val="60"/>
                <w:sz w:val="17"/>
                <w:lang w:val="fr-CH"/>
              </w:rPr>
              <w:tab/>
            </w:r>
          </w:p>
        </w:tc>
        <w:tc>
          <w:tcPr>
            <w:tcW w:w="994" w:type="dxa"/>
            <w:shd w:val="clear" w:color="auto" w:fill="auto"/>
            <w:vAlign w:val="bottom"/>
          </w:tcPr>
          <w:p w:rsidR="00AF53E1" w:rsidRPr="00AF53E1" w:rsidRDefault="00D73965" w:rsidP="00AF53E1">
            <w:pPr>
              <w:spacing w:after="120"/>
              <w:jc w:val="right"/>
            </w:pPr>
            <w:r>
              <w:t>74–75</w:t>
            </w:r>
          </w:p>
        </w:tc>
        <w:tc>
          <w:tcPr>
            <w:tcW w:w="675" w:type="dxa"/>
            <w:shd w:val="clear" w:color="auto" w:fill="auto"/>
            <w:vAlign w:val="bottom"/>
          </w:tcPr>
          <w:p w:rsidR="00AF53E1" w:rsidRPr="00AF53E1" w:rsidRDefault="00D73965" w:rsidP="00AF53E1">
            <w:pPr>
              <w:spacing w:after="120"/>
              <w:jc w:val="right"/>
            </w:pPr>
            <w:r>
              <w:t>18</w:t>
            </w:r>
          </w:p>
        </w:tc>
      </w:tr>
      <w:tr w:rsidR="00AF53E1" w:rsidRPr="00AF53E1" w:rsidTr="00AF53E1">
        <w:tc>
          <w:tcPr>
            <w:tcW w:w="8375" w:type="dxa"/>
            <w:gridSpan w:val="2"/>
            <w:shd w:val="clear" w:color="auto" w:fill="auto"/>
          </w:tcPr>
          <w:p w:rsidR="00AF53E1" w:rsidRPr="00AF53E1" w:rsidRDefault="00D73965" w:rsidP="00D73965">
            <w:pPr>
              <w:pStyle w:val="ListParagraph"/>
              <w:numPr>
                <w:ilvl w:val="2"/>
                <w:numId w:val="6"/>
              </w:numPr>
              <w:tabs>
                <w:tab w:val="left" w:pos="1296"/>
                <w:tab w:val="left" w:pos="1728"/>
                <w:tab w:val="left" w:pos="2160"/>
                <w:tab w:val="left" w:pos="2592"/>
                <w:tab w:val="left" w:pos="3024"/>
                <w:tab w:val="left" w:pos="3456"/>
                <w:tab w:val="left" w:pos="3888"/>
                <w:tab w:val="right" w:leader="dot" w:pos="8381"/>
              </w:tabs>
              <w:suppressAutoHyphens/>
              <w:spacing w:after="120"/>
            </w:pPr>
            <w:r w:rsidRPr="00D73965">
              <w:rPr>
                <w:lang w:val="fr-CH"/>
              </w:rPr>
              <w:t>Application de l’exemption du paragraphe 1.1.1.9 aux lampes contenant du mercure</w:t>
            </w:r>
            <w:r>
              <w:rPr>
                <w:spacing w:val="60"/>
                <w:sz w:val="17"/>
                <w:lang w:val="fr-CH"/>
              </w:rPr>
              <w:tab/>
            </w:r>
          </w:p>
        </w:tc>
        <w:tc>
          <w:tcPr>
            <w:tcW w:w="994" w:type="dxa"/>
            <w:shd w:val="clear" w:color="auto" w:fill="auto"/>
            <w:vAlign w:val="bottom"/>
          </w:tcPr>
          <w:p w:rsidR="00AF53E1" w:rsidRPr="00AF53E1" w:rsidRDefault="00D73965" w:rsidP="00AF53E1">
            <w:pPr>
              <w:spacing w:after="120"/>
              <w:jc w:val="right"/>
            </w:pPr>
            <w:r>
              <w:t>74</w:t>
            </w:r>
          </w:p>
        </w:tc>
        <w:tc>
          <w:tcPr>
            <w:tcW w:w="675" w:type="dxa"/>
            <w:shd w:val="clear" w:color="auto" w:fill="auto"/>
            <w:vAlign w:val="bottom"/>
          </w:tcPr>
          <w:p w:rsidR="00AF53E1" w:rsidRPr="00AF53E1" w:rsidRDefault="00D73965" w:rsidP="00AF53E1">
            <w:pPr>
              <w:spacing w:after="120"/>
              <w:jc w:val="right"/>
            </w:pPr>
            <w:r>
              <w:t>18</w:t>
            </w:r>
          </w:p>
        </w:tc>
      </w:tr>
      <w:tr w:rsidR="00AF53E1" w:rsidRPr="00AF53E1" w:rsidTr="00AF53E1">
        <w:tc>
          <w:tcPr>
            <w:tcW w:w="8375" w:type="dxa"/>
            <w:gridSpan w:val="2"/>
            <w:shd w:val="clear" w:color="auto" w:fill="auto"/>
          </w:tcPr>
          <w:p w:rsidR="00AF53E1" w:rsidRPr="00AF53E1" w:rsidRDefault="00D73965" w:rsidP="00B30A19">
            <w:pPr>
              <w:pStyle w:val="ListParagraph"/>
              <w:numPr>
                <w:ilvl w:val="2"/>
                <w:numId w:val="6"/>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pPr>
            <w:r w:rsidRPr="00D73965">
              <w:rPr>
                <w:lang w:val="fr-CH"/>
              </w:rPr>
              <w:t xml:space="preserve">Révision de la formulation de certains amendements </w:t>
            </w:r>
            <w:r w:rsidR="00B30A19">
              <w:rPr>
                <w:lang w:val="fr-CH"/>
              </w:rPr>
              <w:br/>
            </w:r>
            <w:r w:rsidRPr="00D73965">
              <w:rPr>
                <w:lang w:val="fr-CH"/>
              </w:rPr>
              <w:t>à</w:t>
            </w:r>
            <w:r w:rsidR="00B30A19">
              <w:rPr>
                <w:lang w:val="fr-CH"/>
              </w:rPr>
              <w:t xml:space="preserve"> la dix-huitième </w:t>
            </w:r>
            <w:r w:rsidRPr="00D73965">
              <w:rPr>
                <w:lang w:val="fr-CH"/>
              </w:rPr>
              <w:t>édition révisée du Règlement type</w:t>
            </w:r>
            <w:r>
              <w:rPr>
                <w:spacing w:val="60"/>
                <w:sz w:val="17"/>
                <w:lang w:val="fr-CH"/>
              </w:rPr>
              <w:tab/>
            </w:r>
          </w:p>
        </w:tc>
        <w:tc>
          <w:tcPr>
            <w:tcW w:w="994" w:type="dxa"/>
            <w:shd w:val="clear" w:color="auto" w:fill="auto"/>
            <w:vAlign w:val="bottom"/>
          </w:tcPr>
          <w:p w:rsidR="00AF53E1" w:rsidRPr="00AF53E1" w:rsidRDefault="00D73965" w:rsidP="00AF53E1">
            <w:pPr>
              <w:spacing w:after="120"/>
              <w:jc w:val="right"/>
            </w:pPr>
            <w:r>
              <w:t>75</w:t>
            </w:r>
          </w:p>
        </w:tc>
        <w:tc>
          <w:tcPr>
            <w:tcW w:w="675" w:type="dxa"/>
            <w:shd w:val="clear" w:color="auto" w:fill="auto"/>
            <w:vAlign w:val="bottom"/>
          </w:tcPr>
          <w:p w:rsidR="00AF53E1" w:rsidRPr="00AF53E1" w:rsidRDefault="00D73965" w:rsidP="00AF53E1">
            <w:pPr>
              <w:spacing w:after="120"/>
              <w:jc w:val="right"/>
            </w:pPr>
            <w:r>
              <w:t>18</w:t>
            </w:r>
          </w:p>
        </w:tc>
      </w:tr>
      <w:tr w:rsidR="00AF53E1" w:rsidRPr="00AF53E1" w:rsidTr="00AF53E1">
        <w:tc>
          <w:tcPr>
            <w:tcW w:w="8375" w:type="dxa"/>
            <w:gridSpan w:val="2"/>
            <w:shd w:val="clear" w:color="auto" w:fill="auto"/>
          </w:tcPr>
          <w:p w:rsidR="00AF53E1" w:rsidRPr="00AF53E1" w:rsidRDefault="00D73965" w:rsidP="00D73965">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pPr>
            <w:r w:rsidRPr="00D73965">
              <w:rPr>
                <w:lang w:val="fr-CH"/>
              </w:rPr>
              <w:t xml:space="preserve">Harmonisation générale des règlements de transport des marchandises </w:t>
            </w:r>
            <w:r>
              <w:rPr>
                <w:lang w:val="fr-CH"/>
              </w:rPr>
              <w:br/>
            </w:r>
            <w:r w:rsidRPr="00D73965">
              <w:rPr>
                <w:lang w:val="fr-CH"/>
              </w:rPr>
              <w:t>dangereuses avec le Règlement type (point 7 de l’ordre du jour)</w:t>
            </w:r>
            <w:r>
              <w:rPr>
                <w:spacing w:val="60"/>
                <w:sz w:val="17"/>
                <w:lang w:val="fr-CH"/>
              </w:rPr>
              <w:tab/>
            </w:r>
          </w:p>
        </w:tc>
        <w:tc>
          <w:tcPr>
            <w:tcW w:w="994" w:type="dxa"/>
            <w:shd w:val="clear" w:color="auto" w:fill="auto"/>
            <w:vAlign w:val="bottom"/>
          </w:tcPr>
          <w:p w:rsidR="00AF53E1" w:rsidRPr="00AF53E1" w:rsidRDefault="00D73965" w:rsidP="00AF53E1">
            <w:pPr>
              <w:spacing w:after="120"/>
              <w:jc w:val="right"/>
            </w:pPr>
            <w:r>
              <w:t>78–86</w:t>
            </w:r>
          </w:p>
        </w:tc>
        <w:tc>
          <w:tcPr>
            <w:tcW w:w="675" w:type="dxa"/>
            <w:shd w:val="clear" w:color="auto" w:fill="auto"/>
            <w:vAlign w:val="bottom"/>
          </w:tcPr>
          <w:p w:rsidR="00AF53E1" w:rsidRPr="00AF53E1" w:rsidRDefault="00D73965" w:rsidP="00AF53E1">
            <w:pPr>
              <w:spacing w:after="120"/>
              <w:jc w:val="right"/>
            </w:pPr>
            <w:r>
              <w:t>18</w:t>
            </w:r>
          </w:p>
        </w:tc>
      </w:tr>
      <w:tr w:rsidR="00AF53E1" w:rsidRPr="00AF53E1" w:rsidTr="00AF53E1">
        <w:tc>
          <w:tcPr>
            <w:tcW w:w="8375" w:type="dxa"/>
            <w:gridSpan w:val="2"/>
            <w:shd w:val="clear" w:color="auto" w:fill="auto"/>
          </w:tcPr>
          <w:p w:rsidR="00AF53E1" w:rsidRPr="00AF53E1" w:rsidRDefault="00D73965" w:rsidP="00D73965">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pPr>
            <w:r w:rsidRPr="00D73965">
              <w:rPr>
                <w:lang w:val="fr-CH"/>
              </w:rPr>
              <w:t>Définition de l’« acier de référence »</w:t>
            </w:r>
            <w:r>
              <w:rPr>
                <w:spacing w:val="60"/>
                <w:sz w:val="17"/>
                <w:lang w:val="fr-CH"/>
              </w:rPr>
              <w:tab/>
            </w:r>
          </w:p>
        </w:tc>
        <w:tc>
          <w:tcPr>
            <w:tcW w:w="994" w:type="dxa"/>
            <w:shd w:val="clear" w:color="auto" w:fill="auto"/>
            <w:vAlign w:val="bottom"/>
          </w:tcPr>
          <w:p w:rsidR="00AF53E1" w:rsidRPr="00AF53E1" w:rsidRDefault="00D73965" w:rsidP="00AF53E1">
            <w:pPr>
              <w:spacing w:after="120"/>
              <w:jc w:val="right"/>
            </w:pPr>
            <w:r>
              <w:t>76</w:t>
            </w:r>
          </w:p>
        </w:tc>
        <w:tc>
          <w:tcPr>
            <w:tcW w:w="675" w:type="dxa"/>
            <w:shd w:val="clear" w:color="auto" w:fill="auto"/>
            <w:vAlign w:val="bottom"/>
          </w:tcPr>
          <w:p w:rsidR="00AF53E1" w:rsidRPr="00AF53E1" w:rsidRDefault="00D73965" w:rsidP="00AF53E1">
            <w:pPr>
              <w:spacing w:after="120"/>
              <w:jc w:val="right"/>
            </w:pPr>
            <w:r>
              <w:t>18</w:t>
            </w:r>
          </w:p>
        </w:tc>
      </w:tr>
      <w:tr w:rsidR="00AF53E1" w:rsidRPr="00AF53E1" w:rsidTr="00AF53E1">
        <w:tc>
          <w:tcPr>
            <w:tcW w:w="8375" w:type="dxa"/>
            <w:gridSpan w:val="2"/>
            <w:shd w:val="clear" w:color="auto" w:fill="auto"/>
          </w:tcPr>
          <w:p w:rsidR="00AF53E1" w:rsidRPr="00AF53E1" w:rsidRDefault="00D73965" w:rsidP="00D73965">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pPr>
            <w:r w:rsidRPr="00D73965">
              <w:rPr>
                <w:lang w:val="fr-CH"/>
              </w:rPr>
              <w:t>Transport des métaux en poudre toxiques</w:t>
            </w:r>
            <w:r>
              <w:rPr>
                <w:spacing w:val="60"/>
                <w:sz w:val="17"/>
                <w:lang w:val="fr-CH"/>
              </w:rPr>
              <w:tab/>
            </w:r>
          </w:p>
        </w:tc>
        <w:tc>
          <w:tcPr>
            <w:tcW w:w="994" w:type="dxa"/>
            <w:shd w:val="clear" w:color="auto" w:fill="auto"/>
            <w:vAlign w:val="bottom"/>
          </w:tcPr>
          <w:p w:rsidR="00AF53E1" w:rsidRPr="00AF53E1" w:rsidRDefault="00D73965" w:rsidP="00AF53E1">
            <w:pPr>
              <w:spacing w:after="120"/>
              <w:jc w:val="right"/>
            </w:pPr>
            <w:r>
              <w:t>77</w:t>
            </w:r>
          </w:p>
        </w:tc>
        <w:tc>
          <w:tcPr>
            <w:tcW w:w="675" w:type="dxa"/>
            <w:shd w:val="clear" w:color="auto" w:fill="auto"/>
            <w:vAlign w:val="bottom"/>
          </w:tcPr>
          <w:p w:rsidR="00AF53E1" w:rsidRPr="00AF53E1" w:rsidRDefault="00D73965" w:rsidP="00AF53E1">
            <w:pPr>
              <w:spacing w:after="120"/>
              <w:jc w:val="right"/>
            </w:pPr>
            <w:r>
              <w:t>19</w:t>
            </w:r>
          </w:p>
        </w:tc>
      </w:tr>
      <w:tr w:rsidR="00AF53E1" w:rsidRPr="00AF53E1" w:rsidTr="00AF53E1">
        <w:tc>
          <w:tcPr>
            <w:tcW w:w="8375" w:type="dxa"/>
            <w:gridSpan w:val="2"/>
            <w:shd w:val="clear" w:color="auto" w:fill="auto"/>
          </w:tcPr>
          <w:p w:rsidR="00AF53E1" w:rsidRPr="00AF53E1" w:rsidRDefault="00D73965" w:rsidP="00D73965">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pPr>
            <w:r w:rsidRPr="00D73965">
              <w:rPr>
                <w:lang w:val="fr-CH"/>
              </w:rPr>
              <w:t>Observations formulées par le Groupe de travail des marchandises dangereuses de l’OACI (DGP-WG/15)</w:t>
            </w:r>
            <w:r>
              <w:rPr>
                <w:spacing w:val="60"/>
                <w:sz w:val="17"/>
                <w:lang w:val="fr-CH"/>
              </w:rPr>
              <w:tab/>
            </w:r>
          </w:p>
        </w:tc>
        <w:tc>
          <w:tcPr>
            <w:tcW w:w="994" w:type="dxa"/>
            <w:shd w:val="clear" w:color="auto" w:fill="auto"/>
            <w:vAlign w:val="bottom"/>
          </w:tcPr>
          <w:p w:rsidR="00AF53E1" w:rsidRPr="00AF53E1" w:rsidRDefault="00D73965" w:rsidP="00AF53E1">
            <w:pPr>
              <w:spacing w:after="120"/>
              <w:jc w:val="right"/>
            </w:pPr>
            <w:r>
              <w:t>78–81</w:t>
            </w:r>
          </w:p>
        </w:tc>
        <w:tc>
          <w:tcPr>
            <w:tcW w:w="675" w:type="dxa"/>
            <w:shd w:val="clear" w:color="auto" w:fill="auto"/>
            <w:vAlign w:val="bottom"/>
          </w:tcPr>
          <w:p w:rsidR="00AF53E1" w:rsidRPr="00AF53E1" w:rsidRDefault="00D73965" w:rsidP="00AF53E1">
            <w:pPr>
              <w:spacing w:after="120"/>
              <w:jc w:val="right"/>
            </w:pPr>
            <w:r>
              <w:t>19</w:t>
            </w:r>
          </w:p>
        </w:tc>
      </w:tr>
      <w:tr w:rsidR="00AF53E1" w:rsidRPr="00AF53E1" w:rsidTr="00AF53E1">
        <w:tc>
          <w:tcPr>
            <w:tcW w:w="8375" w:type="dxa"/>
            <w:gridSpan w:val="2"/>
            <w:shd w:val="clear" w:color="auto" w:fill="auto"/>
          </w:tcPr>
          <w:p w:rsidR="00AF53E1" w:rsidRPr="00AF53E1" w:rsidRDefault="00D73965" w:rsidP="00D73965">
            <w:pPr>
              <w:pStyle w:val="ListParagraph"/>
              <w:numPr>
                <w:ilvl w:val="1"/>
                <w:numId w:val="6"/>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pPr>
            <w:r w:rsidRPr="00D73965">
              <w:rPr>
                <w:lang w:val="fr-CH"/>
              </w:rPr>
              <w:t xml:space="preserve">Rapport de la trente-troisième session du Groupe des questions </w:t>
            </w:r>
            <w:r>
              <w:rPr>
                <w:lang w:val="fr-CH"/>
              </w:rPr>
              <w:br/>
            </w:r>
            <w:r w:rsidRPr="00D73965">
              <w:rPr>
                <w:lang w:val="fr-CH"/>
              </w:rPr>
              <w:t>techniques et éditoriales de l’OMI</w:t>
            </w:r>
            <w:r>
              <w:rPr>
                <w:spacing w:val="60"/>
                <w:sz w:val="17"/>
                <w:lang w:val="fr-CH"/>
              </w:rPr>
              <w:tab/>
            </w:r>
          </w:p>
        </w:tc>
        <w:tc>
          <w:tcPr>
            <w:tcW w:w="994" w:type="dxa"/>
            <w:shd w:val="clear" w:color="auto" w:fill="auto"/>
            <w:vAlign w:val="bottom"/>
          </w:tcPr>
          <w:p w:rsidR="00AF53E1" w:rsidRPr="00AF53E1" w:rsidRDefault="00D73965" w:rsidP="00AF53E1">
            <w:pPr>
              <w:spacing w:after="120"/>
              <w:jc w:val="right"/>
            </w:pPr>
            <w:r>
              <w:t>82–86</w:t>
            </w:r>
          </w:p>
        </w:tc>
        <w:tc>
          <w:tcPr>
            <w:tcW w:w="675" w:type="dxa"/>
            <w:shd w:val="clear" w:color="auto" w:fill="auto"/>
            <w:vAlign w:val="bottom"/>
          </w:tcPr>
          <w:p w:rsidR="00AF53E1" w:rsidRPr="00AF53E1" w:rsidRDefault="00D73965" w:rsidP="00AF53E1">
            <w:pPr>
              <w:spacing w:after="120"/>
              <w:jc w:val="right"/>
            </w:pPr>
            <w:r>
              <w:t>20</w:t>
            </w:r>
          </w:p>
        </w:tc>
      </w:tr>
      <w:tr w:rsidR="00AF53E1" w:rsidRPr="00AF53E1" w:rsidTr="00AF53E1">
        <w:tc>
          <w:tcPr>
            <w:tcW w:w="8375" w:type="dxa"/>
            <w:gridSpan w:val="2"/>
            <w:shd w:val="clear" w:color="auto" w:fill="auto"/>
          </w:tcPr>
          <w:p w:rsidR="00AF53E1" w:rsidRPr="00AF53E1" w:rsidRDefault="00D73965" w:rsidP="00D73965">
            <w:pPr>
              <w:pStyle w:val="ListParagraph"/>
              <w:numPr>
                <w:ilvl w:val="0"/>
                <w:numId w:val="6"/>
              </w:numPr>
              <w:tabs>
                <w:tab w:val="left" w:pos="1296"/>
                <w:tab w:val="left" w:pos="1728"/>
                <w:tab w:val="left" w:pos="2160"/>
                <w:tab w:val="left" w:pos="2592"/>
                <w:tab w:val="left" w:pos="3024"/>
                <w:tab w:val="left" w:pos="3456"/>
                <w:tab w:val="right" w:leader="dot" w:pos="8381"/>
              </w:tabs>
              <w:suppressAutoHyphens/>
              <w:spacing w:after="120"/>
            </w:pPr>
            <w:r w:rsidRPr="00D73965">
              <w:rPr>
                <w:lang w:val="fr-CH"/>
              </w:rPr>
              <w:t xml:space="preserve">Coopération avec l’Agence internationale de l’énergie atomique (AIEA) </w:t>
            </w:r>
            <w:r>
              <w:rPr>
                <w:lang w:val="fr-CH"/>
              </w:rPr>
              <w:br/>
            </w:r>
            <w:r w:rsidRPr="00D73965">
              <w:rPr>
                <w:lang w:val="fr-CH"/>
              </w:rPr>
              <w:t>(point 8 de l’ordre du jour)</w:t>
            </w:r>
            <w:r>
              <w:rPr>
                <w:spacing w:val="60"/>
                <w:sz w:val="17"/>
                <w:lang w:val="fr-CH"/>
              </w:rPr>
              <w:tab/>
            </w:r>
          </w:p>
        </w:tc>
        <w:tc>
          <w:tcPr>
            <w:tcW w:w="994" w:type="dxa"/>
            <w:shd w:val="clear" w:color="auto" w:fill="auto"/>
            <w:vAlign w:val="bottom"/>
          </w:tcPr>
          <w:p w:rsidR="00AF53E1" w:rsidRPr="00AF53E1" w:rsidRDefault="00D73965" w:rsidP="00AF53E1">
            <w:pPr>
              <w:spacing w:after="120"/>
              <w:jc w:val="right"/>
            </w:pPr>
            <w:r>
              <w:t>87</w:t>
            </w:r>
          </w:p>
        </w:tc>
        <w:tc>
          <w:tcPr>
            <w:tcW w:w="675" w:type="dxa"/>
            <w:shd w:val="clear" w:color="auto" w:fill="auto"/>
            <w:vAlign w:val="bottom"/>
          </w:tcPr>
          <w:p w:rsidR="00AF53E1" w:rsidRPr="00AF53E1" w:rsidRDefault="00D73965" w:rsidP="00AF53E1">
            <w:pPr>
              <w:spacing w:after="120"/>
              <w:jc w:val="right"/>
            </w:pPr>
            <w:r>
              <w:t>20</w:t>
            </w:r>
          </w:p>
        </w:tc>
      </w:tr>
      <w:tr w:rsidR="00AF53E1" w:rsidRPr="00AF53E1" w:rsidTr="00AF53E1">
        <w:tc>
          <w:tcPr>
            <w:tcW w:w="8375" w:type="dxa"/>
            <w:gridSpan w:val="2"/>
            <w:shd w:val="clear" w:color="auto" w:fill="auto"/>
          </w:tcPr>
          <w:p w:rsidR="00AF53E1" w:rsidRPr="00D73965" w:rsidRDefault="00D73965" w:rsidP="00D73965">
            <w:pPr>
              <w:pStyle w:val="ListParagraph"/>
              <w:tabs>
                <w:tab w:val="left" w:pos="1296"/>
                <w:tab w:val="left" w:pos="1728"/>
                <w:tab w:val="left" w:pos="2160"/>
                <w:tab w:val="left" w:pos="2592"/>
                <w:tab w:val="left" w:pos="3024"/>
                <w:tab w:val="left" w:pos="3456"/>
                <w:tab w:val="left" w:pos="3888"/>
                <w:tab w:val="left" w:pos="4320"/>
                <w:tab w:val="right" w:leader="dot" w:pos="8381"/>
              </w:tabs>
              <w:suppressAutoHyphens/>
              <w:spacing w:after="120"/>
              <w:ind w:left="1296"/>
              <w:rPr>
                <w:spacing w:val="60"/>
                <w:sz w:val="17"/>
              </w:rPr>
            </w:pPr>
            <w:r w:rsidRPr="00D73965">
              <w:rPr>
                <w:lang w:val="fr-CH"/>
              </w:rPr>
              <w:t xml:space="preserve">Conclusions de la trentième session du Comité des normes de sûreté </w:t>
            </w:r>
            <w:r>
              <w:rPr>
                <w:lang w:val="fr-CH"/>
              </w:rPr>
              <w:br/>
            </w:r>
            <w:r w:rsidRPr="00D73965">
              <w:rPr>
                <w:lang w:val="fr-CH"/>
              </w:rPr>
              <w:t>du transport de l’AIEA (TRANSSC 30)</w:t>
            </w:r>
            <w:r>
              <w:rPr>
                <w:spacing w:val="60"/>
                <w:sz w:val="17"/>
                <w:lang w:val="fr-CH"/>
              </w:rPr>
              <w:tab/>
            </w:r>
          </w:p>
        </w:tc>
        <w:tc>
          <w:tcPr>
            <w:tcW w:w="994" w:type="dxa"/>
            <w:shd w:val="clear" w:color="auto" w:fill="auto"/>
            <w:vAlign w:val="bottom"/>
          </w:tcPr>
          <w:p w:rsidR="00AF53E1" w:rsidRPr="00AF53E1" w:rsidRDefault="00D73965" w:rsidP="00AF53E1">
            <w:pPr>
              <w:spacing w:after="120"/>
              <w:jc w:val="right"/>
            </w:pPr>
            <w:r>
              <w:t>87</w:t>
            </w:r>
          </w:p>
        </w:tc>
        <w:tc>
          <w:tcPr>
            <w:tcW w:w="675" w:type="dxa"/>
            <w:shd w:val="clear" w:color="auto" w:fill="auto"/>
            <w:vAlign w:val="bottom"/>
          </w:tcPr>
          <w:p w:rsidR="00AF53E1" w:rsidRPr="00AF53E1" w:rsidRDefault="00D73965" w:rsidP="00AF53E1">
            <w:pPr>
              <w:spacing w:after="120"/>
              <w:jc w:val="right"/>
            </w:pPr>
            <w:r>
              <w:t>20</w:t>
            </w:r>
          </w:p>
        </w:tc>
      </w:tr>
      <w:tr w:rsidR="00AF53E1" w:rsidRPr="00AF53E1" w:rsidTr="00AF53E1">
        <w:tc>
          <w:tcPr>
            <w:tcW w:w="8375" w:type="dxa"/>
            <w:gridSpan w:val="2"/>
            <w:shd w:val="clear" w:color="auto" w:fill="auto"/>
          </w:tcPr>
          <w:p w:rsidR="00AF53E1" w:rsidRPr="00AF53E1" w:rsidRDefault="00D73965" w:rsidP="00D73965">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pPr>
            <w:r w:rsidRPr="00D73965">
              <w:rPr>
                <w:lang w:val="fr-CH"/>
              </w:rPr>
              <w:t>Principes directeurs du Règlement type (point 9 de l’ordre du jour)</w:t>
            </w:r>
            <w:r>
              <w:rPr>
                <w:spacing w:val="60"/>
                <w:sz w:val="17"/>
                <w:lang w:val="fr-CH"/>
              </w:rPr>
              <w:tab/>
            </w:r>
          </w:p>
        </w:tc>
        <w:tc>
          <w:tcPr>
            <w:tcW w:w="994" w:type="dxa"/>
            <w:shd w:val="clear" w:color="auto" w:fill="auto"/>
            <w:vAlign w:val="bottom"/>
          </w:tcPr>
          <w:p w:rsidR="00AF53E1" w:rsidRPr="00AF53E1" w:rsidRDefault="00D73965" w:rsidP="00AF53E1">
            <w:pPr>
              <w:spacing w:after="120"/>
              <w:jc w:val="right"/>
            </w:pPr>
            <w:r>
              <w:t>88</w:t>
            </w:r>
          </w:p>
        </w:tc>
        <w:tc>
          <w:tcPr>
            <w:tcW w:w="675" w:type="dxa"/>
            <w:shd w:val="clear" w:color="auto" w:fill="auto"/>
            <w:vAlign w:val="bottom"/>
          </w:tcPr>
          <w:p w:rsidR="00AF53E1" w:rsidRPr="00AF53E1" w:rsidRDefault="00D73965" w:rsidP="00AF53E1">
            <w:pPr>
              <w:spacing w:after="120"/>
              <w:jc w:val="right"/>
            </w:pPr>
            <w:r>
              <w:t>21</w:t>
            </w:r>
          </w:p>
        </w:tc>
      </w:tr>
      <w:tr w:rsidR="00AF53E1" w:rsidRPr="00AF53E1" w:rsidTr="00AF53E1">
        <w:tc>
          <w:tcPr>
            <w:tcW w:w="8375" w:type="dxa"/>
            <w:gridSpan w:val="2"/>
            <w:shd w:val="clear" w:color="auto" w:fill="auto"/>
          </w:tcPr>
          <w:p w:rsidR="00AF53E1" w:rsidRPr="00AF53E1" w:rsidRDefault="00D73965" w:rsidP="00D73965">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pPr>
            <w:r w:rsidRPr="00D73965">
              <w:rPr>
                <w:lang w:val="fr-CH"/>
              </w:rPr>
              <w:t xml:space="preserve">Questions relatives au Système général harmonisé de classification </w:t>
            </w:r>
            <w:r>
              <w:rPr>
                <w:lang w:val="fr-CH"/>
              </w:rPr>
              <w:br/>
            </w:r>
            <w:r w:rsidRPr="00D73965">
              <w:rPr>
                <w:lang w:val="fr-CH"/>
              </w:rPr>
              <w:t>et d’étiquetage des produits chimiques (point 10 de l’ordre du jour)</w:t>
            </w:r>
            <w:r>
              <w:rPr>
                <w:spacing w:val="60"/>
                <w:sz w:val="17"/>
                <w:lang w:val="fr-CH"/>
              </w:rPr>
              <w:tab/>
            </w:r>
          </w:p>
        </w:tc>
        <w:tc>
          <w:tcPr>
            <w:tcW w:w="994" w:type="dxa"/>
            <w:shd w:val="clear" w:color="auto" w:fill="auto"/>
            <w:vAlign w:val="bottom"/>
          </w:tcPr>
          <w:p w:rsidR="00AF53E1" w:rsidRPr="00AF53E1" w:rsidRDefault="00D73965" w:rsidP="00AF53E1">
            <w:pPr>
              <w:spacing w:after="120"/>
              <w:jc w:val="right"/>
            </w:pPr>
            <w:r>
              <w:t>89–102</w:t>
            </w:r>
          </w:p>
        </w:tc>
        <w:tc>
          <w:tcPr>
            <w:tcW w:w="675" w:type="dxa"/>
            <w:shd w:val="clear" w:color="auto" w:fill="auto"/>
            <w:vAlign w:val="bottom"/>
          </w:tcPr>
          <w:p w:rsidR="00AF53E1" w:rsidRPr="00AF53E1" w:rsidRDefault="00D73965" w:rsidP="00AF53E1">
            <w:pPr>
              <w:spacing w:after="120"/>
              <w:jc w:val="right"/>
            </w:pPr>
            <w:r>
              <w:t>21</w:t>
            </w:r>
          </w:p>
        </w:tc>
      </w:tr>
      <w:tr w:rsidR="00AF53E1" w:rsidRPr="00AF53E1" w:rsidTr="00AF53E1">
        <w:tc>
          <w:tcPr>
            <w:tcW w:w="8375" w:type="dxa"/>
            <w:gridSpan w:val="2"/>
            <w:shd w:val="clear" w:color="auto" w:fill="auto"/>
          </w:tcPr>
          <w:p w:rsidR="00AF53E1" w:rsidRPr="00AF53E1" w:rsidRDefault="00D73965" w:rsidP="00D73965">
            <w:pPr>
              <w:pStyle w:val="ListParagraph"/>
              <w:numPr>
                <w:ilvl w:val="1"/>
                <w:numId w:val="6"/>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pPr>
            <w:r w:rsidRPr="00D73965">
              <w:rPr>
                <w:lang w:val="fr-CH"/>
              </w:rPr>
              <w:t>Critères relatifs à l’hydroréactivité</w:t>
            </w:r>
            <w:r>
              <w:rPr>
                <w:spacing w:val="60"/>
                <w:sz w:val="17"/>
                <w:lang w:val="fr-CH"/>
              </w:rPr>
              <w:tab/>
            </w:r>
          </w:p>
        </w:tc>
        <w:tc>
          <w:tcPr>
            <w:tcW w:w="994" w:type="dxa"/>
            <w:shd w:val="clear" w:color="auto" w:fill="auto"/>
            <w:vAlign w:val="bottom"/>
          </w:tcPr>
          <w:p w:rsidR="00AF53E1" w:rsidRPr="00AF53E1" w:rsidRDefault="00D73965" w:rsidP="00AF53E1">
            <w:pPr>
              <w:spacing w:after="120"/>
              <w:jc w:val="right"/>
            </w:pPr>
            <w:r>
              <w:t>89</w:t>
            </w:r>
          </w:p>
        </w:tc>
        <w:tc>
          <w:tcPr>
            <w:tcW w:w="675" w:type="dxa"/>
            <w:shd w:val="clear" w:color="auto" w:fill="auto"/>
            <w:vAlign w:val="bottom"/>
          </w:tcPr>
          <w:p w:rsidR="00AF53E1" w:rsidRPr="00AF53E1" w:rsidRDefault="00D73965" w:rsidP="00AF53E1">
            <w:pPr>
              <w:spacing w:after="120"/>
              <w:jc w:val="right"/>
            </w:pPr>
            <w:r>
              <w:t>21</w:t>
            </w:r>
          </w:p>
        </w:tc>
      </w:tr>
      <w:tr w:rsidR="00AF53E1" w:rsidRPr="00AF53E1" w:rsidTr="00AF53E1">
        <w:tc>
          <w:tcPr>
            <w:tcW w:w="8375" w:type="dxa"/>
            <w:gridSpan w:val="2"/>
            <w:shd w:val="clear" w:color="auto" w:fill="auto"/>
          </w:tcPr>
          <w:p w:rsidR="00AF53E1" w:rsidRPr="00AF53E1" w:rsidRDefault="00D73965" w:rsidP="00D73965">
            <w:pPr>
              <w:pStyle w:val="ListParagraph"/>
              <w:numPr>
                <w:ilvl w:val="1"/>
                <w:numId w:val="6"/>
              </w:numPr>
              <w:tabs>
                <w:tab w:val="left" w:pos="1296"/>
                <w:tab w:val="left" w:pos="1728"/>
                <w:tab w:val="left" w:pos="2160"/>
                <w:tab w:val="left" w:pos="2592"/>
                <w:tab w:val="left" w:pos="3024"/>
                <w:tab w:val="left" w:pos="3456"/>
                <w:tab w:val="right" w:leader="dot" w:pos="8381"/>
              </w:tabs>
              <w:suppressAutoHyphens/>
              <w:spacing w:after="120"/>
            </w:pPr>
            <w:r w:rsidRPr="00D73965">
              <w:rPr>
                <w:lang w:val="fr-CH"/>
              </w:rPr>
              <w:t xml:space="preserve">Épreuves et critères relatifs aux matières liquides </w:t>
            </w:r>
            <w:r>
              <w:rPr>
                <w:lang w:val="fr-CH"/>
              </w:rPr>
              <w:br/>
            </w:r>
            <w:r w:rsidRPr="00D73965">
              <w:rPr>
                <w:lang w:val="fr-CH"/>
              </w:rPr>
              <w:t>et solides comburantes</w:t>
            </w:r>
            <w:r>
              <w:rPr>
                <w:spacing w:val="60"/>
                <w:sz w:val="17"/>
                <w:lang w:val="fr-CH"/>
              </w:rPr>
              <w:tab/>
            </w:r>
          </w:p>
        </w:tc>
        <w:tc>
          <w:tcPr>
            <w:tcW w:w="994" w:type="dxa"/>
            <w:shd w:val="clear" w:color="auto" w:fill="auto"/>
            <w:vAlign w:val="bottom"/>
          </w:tcPr>
          <w:p w:rsidR="00AF53E1" w:rsidRPr="00AF53E1" w:rsidRDefault="00D73965" w:rsidP="00AF53E1">
            <w:pPr>
              <w:spacing w:after="120"/>
              <w:jc w:val="right"/>
            </w:pPr>
            <w:r>
              <w:t>90</w:t>
            </w:r>
          </w:p>
        </w:tc>
        <w:tc>
          <w:tcPr>
            <w:tcW w:w="675" w:type="dxa"/>
            <w:shd w:val="clear" w:color="auto" w:fill="auto"/>
            <w:vAlign w:val="bottom"/>
          </w:tcPr>
          <w:p w:rsidR="00AF53E1" w:rsidRPr="00AF53E1" w:rsidRDefault="00D73965" w:rsidP="00AF53E1">
            <w:pPr>
              <w:spacing w:after="120"/>
              <w:jc w:val="right"/>
            </w:pPr>
            <w:r>
              <w:t>21</w:t>
            </w:r>
          </w:p>
        </w:tc>
      </w:tr>
      <w:tr w:rsidR="00AF53E1" w:rsidRPr="00AF53E1" w:rsidTr="00AF53E1">
        <w:tc>
          <w:tcPr>
            <w:tcW w:w="8375" w:type="dxa"/>
            <w:gridSpan w:val="2"/>
            <w:shd w:val="clear" w:color="auto" w:fill="auto"/>
          </w:tcPr>
          <w:p w:rsidR="00AF53E1" w:rsidRPr="00AF53E1" w:rsidRDefault="00D73965" w:rsidP="00D73965">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pPr>
            <w:r w:rsidRPr="00D73965">
              <w:rPr>
                <w:lang w:val="fr-CH"/>
              </w:rPr>
              <w:t>Critères de classification relatifs aux gaz inflammables</w:t>
            </w:r>
            <w:r>
              <w:rPr>
                <w:spacing w:val="60"/>
                <w:sz w:val="17"/>
                <w:lang w:val="fr-CH"/>
              </w:rPr>
              <w:tab/>
            </w:r>
          </w:p>
        </w:tc>
        <w:tc>
          <w:tcPr>
            <w:tcW w:w="994" w:type="dxa"/>
            <w:shd w:val="clear" w:color="auto" w:fill="auto"/>
            <w:vAlign w:val="bottom"/>
          </w:tcPr>
          <w:p w:rsidR="00AF53E1" w:rsidRPr="00AF53E1" w:rsidRDefault="00D73965" w:rsidP="00AF53E1">
            <w:pPr>
              <w:spacing w:after="120"/>
              <w:jc w:val="right"/>
            </w:pPr>
            <w:r>
              <w:t>91–92</w:t>
            </w:r>
          </w:p>
        </w:tc>
        <w:tc>
          <w:tcPr>
            <w:tcW w:w="675" w:type="dxa"/>
            <w:shd w:val="clear" w:color="auto" w:fill="auto"/>
            <w:vAlign w:val="bottom"/>
          </w:tcPr>
          <w:p w:rsidR="00AF53E1" w:rsidRPr="00AF53E1" w:rsidRDefault="00D73965" w:rsidP="00AF53E1">
            <w:pPr>
              <w:spacing w:after="120"/>
              <w:jc w:val="right"/>
            </w:pPr>
            <w:r>
              <w:t>21</w:t>
            </w:r>
          </w:p>
        </w:tc>
      </w:tr>
      <w:tr w:rsidR="00AF53E1" w:rsidRPr="00AF53E1" w:rsidTr="00AF53E1">
        <w:tc>
          <w:tcPr>
            <w:tcW w:w="8375" w:type="dxa"/>
            <w:gridSpan w:val="2"/>
            <w:shd w:val="clear" w:color="auto" w:fill="auto"/>
          </w:tcPr>
          <w:p w:rsidR="00AF53E1" w:rsidRPr="00AF53E1" w:rsidRDefault="00D73965" w:rsidP="00D73965">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pPr>
            <w:r w:rsidRPr="00D73965">
              <w:rPr>
                <w:lang w:val="fr-CH"/>
              </w:rPr>
              <w:t>Jugement d’experts et force probante des données</w:t>
            </w:r>
            <w:r>
              <w:rPr>
                <w:spacing w:val="60"/>
                <w:sz w:val="17"/>
                <w:lang w:val="fr-CH"/>
              </w:rPr>
              <w:tab/>
            </w:r>
          </w:p>
        </w:tc>
        <w:tc>
          <w:tcPr>
            <w:tcW w:w="994" w:type="dxa"/>
            <w:shd w:val="clear" w:color="auto" w:fill="auto"/>
            <w:vAlign w:val="bottom"/>
          </w:tcPr>
          <w:p w:rsidR="00AF53E1" w:rsidRPr="00AF53E1" w:rsidRDefault="00D73965" w:rsidP="00AF53E1">
            <w:pPr>
              <w:spacing w:after="120"/>
              <w:jc w:val="right"/>
            </w:pPr>
            <w:r>
              <w:t>93</w:t>
            </w:r>
          </w:p>
        </w:tc>
        <w:tc>
          <w:tcPr>
            <w:tcW w:w="675" w:type="dxa"/>
            <w:shd w:val="clear" w:color="auto" w:fill="auto"/>
            <w:vAlign w:val="bottom"/>
          </w:tcPr>
          <w:p w:rsidR="00AF53E1" w:rsidRPr="00AF53E1" w:rsidRDefault="00D73965" w:rsidP="00AF53E1">
            <w:pPr>
              <w:spacing w:after="120"/>
              <w:jc w:val="right"/>
            </w:pPr>
            <w:r>
              <w:t>21</w:t>
            </w:r>
          </w:p>
        </w:tc>
      </w:tr>
      <w:tr w:rsidR="00AF53E1" w:rsidRPr="00AF53E1" w:rsidTr="00AF53E1">
        <w:tc>
          <w:tcPr>
            <w:tcW w:w="8375" w:type="dxa"/>
            <w:gridSpan w:val="2"/>
            <w:shd w:val="clear" w:color="auto" w:fill="auto"/>
          </w:tcPr>
          <w:p w:rsidR="00AF53E1" w:rsidRPr="00AF53E1" w:rsidRDefault="00D73965" w:rsidP="00D73965">
            <w:pPr>
              <w:pStyle w:val="ListParagraph"/>
              <w:numPr>
                <w:ilvl w:val="1"/>
                <w:numId w:val="6"/>
              </w:numPr>
              <w:tabs>
                <w:tab w:val="left" w:pos="1296"/>
                <w:tab w:val="left" w:pos="1728"/>
                <w:tab w:val="left" w:pos="2160"/>
                <w:tab w:val="left" w:pos="2592"/>
                <w:tab w:val="left" w:pos="3024"/>
                <w:tab w:val="left" w:pos="3456"/>
                <w:tab w:val="right" w:leader="dot" w:pos="8381"/>
              </w:tabs>
              <w:suppressAutoHyphens/>
              <w:spacing w:after="120"/>
            </w:pPr>
            <w:r w:rsidRPr="00D73965">
              <w:rPr>
                <w:lang w:val="fr-CH"/>
              </w:rPr>
              <w:t>Critères de corrosivité</w:t>
            </w:r>
            <w:r>
              <w:rPr>
                <w:spacing w:val="60"/>
                <w:sz w:val="17"/>
                <w:lang w:val="fr-CH"/>
              </w:rPr>
              <w:tab/>
            </w:r>
          </w:p>
        </w:tc>
        <w:tc>
          <w:tcPr>
            <w:tcW w:w="994" w:type="dxa"/>
            <w:shd w:val="clear" w:color="auto" w:fill="auto"/>
            <w:vAlign w:val="bottom"/>
          </w:tcPr>
          <w:p w:rsidR="00AF53E1" w:rsidRPr="00AF53E1" w:rsidRDefault="00D73965" w:rsidP="00AF53E1">
            <w:pPr>
              <w:spacing w:after="120"/>
              <w:jc w:val="right"/>
            </w:pPr>
            <w:r>
              <w:t>94–96</w:t>
            </w:r>
          </w:p>
        </w:tc>
        <w:tc>
          <w:tcPr>
            <w:tcW w:w="675" w:type="dxa"/>
            <w:shd w:val="clear" w:color="auto" w:fill="auto"/>
            <w:vAlign w:val="bottom"/>
          </w:tcPr>
          <w:p w:rsidR="00AF53E1" w:rsidRPr="00AF53E1" w:rsidRDefault="00D73965" w:rsidP="00AF53E1">
            <w:pPr>
              <w:spacing w:after="120"/>
              <w:jc w:val="right"/>
            </w:pPr>
            <w:r>
              <w:t>22</w:t>
            </w:r>
          </w:p>
        </w:tc>
      </w:tr>
      <w:tr w:rsidR="00AF53E1" w:rsidRPr="00AF53E1" w:rsidTr="00AF53E1">
        <w:tc>
          <w:tcPr>
            <w:tcW w:w="8375" w:type="dxa"/>
            <w:gridSpan w:val="2"/>
            <w:shd w:val="clear" w:color="auto" w:fill="auto"/>
          </w:tcPr>
          <w:p w:rsidR="00AF53E1" w:rsidRPr="00AF53E1" w:rsidRDefault="00D73965" w:rsidP="00D73965">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pPr>
            <w:r w:rsidRPr="00D73965">
              <w:rPr>
                <w:lang w:val="fr-CH"/>
              </w:rPr>
              <w:t>Mise à jour des références aux directives de l’OCDE</w:t>
            </w:r>
            <w:r>
              <w:rPr>
                <w:spacing w:val="60"/>
                <w:sz w:val="17"/>
                <w:lang w:val="fr-CH"/>
              </w:rPr>
              <w:tab/>
            </w:r>
          </w:p>
        </w:tc>
        <w:tc>
          <w:tcPr>
            <w:tcW w:w="994" w:type="dxa"/>
            <w:shd w:val="clear" w:color="auto" w:fill="auto"/>
            <w:vAlign w:val="bottom"/>
          </w:tcPr>
          <w:p w:rsidR="00AF53E1" w:rsidRPr="00AF53E1" w:rsidRDefault="00D73965" w:rsidP="00AF53E1">
            <w:pPr>
              <w:spacing w:after="120"/>
              <w:jc w:val="right"/>
            </w:pPr>
            <w:r>
              <w:t>97</w:t>
            </w:r>
          </w:p>
        </w:tc>
        <w:tc>
          <w:tcPr>
            <w:tcW w:w="675" w:type="dxa"/>
            <w:shd w:val="clear" w:color="auto" w:fill="auto"/>
            <w:vAlign w:val="bottom"/>
          </w:tcPr>
          <w:p w:rsidR="00AF53E1" w:rsidRPr="00AF53E1" w:rsidRDefault="00D73965" w:rsidP="00AF53E1">
            <w:pPr>
              <w:spacing w:after="120"/>
              <w:jc w:val="right"/>
            </w:pPr>
            <w:r>
              <w:t>23</w:t>
            </w:r>
          </w:p>
        </w:tc>
      </w:tr>
      <w:tr w:rsidR="00AF53E1" w:rsidRPr="00AF53E1" w:rsidTr="00AF53E1">
        <w:tc>
          <w:tcPr>
            <w:tcW w:w="8375" w:type="dxa"/>
            <w:gridSpan w:val="2"/>
            <w:shd w:val="clear" w:color="auto" w:fill="auto"/>
          </w:tcPr>
          <w:p w:rsidR="00AF53E1" w:rsidRPr="00AF53E1" w:rsidRDefault="00D73965" w:rsidP="00D73965">
            <w:pPr>
              <w:pStyle w:val="ListParagraph"/>
              <w:numPr>
                <w:ilvl w:val="1"/>
                <w:numId w:val="6"/>
              </w:numPr>
              <w:tabs>
                <w:tab w:val="left" w:pos="1296"/>
                <w:tab w:val="left" w:pos="1728"/>
                <w:tab w:val="left" w:pos="2160"/>
                <w:tab w:val="right" w:leader="dot" w:pos="8381"/>
              </w:tabs>
              <w:suppressAutoHyphens/>
              <w:spacing w:after="120"/>
            </w:pPr>
            <w:r w:rsidRPr="00D73965">
              <w:rPr>
                <w:lang w:val="fr-CH"/>
              </w:rPr>
              <w:t xml:space="preserve">Utilisation du Manuel d’épreuves et de critères dans le contexte </w:t>
            </w:r>
            <w:r w:rsidRPr="00D73965">
              <w:rPr>
                <w:lang w:val="fr-CH"/>
              </w:rPr>
              <w:br/>
              <w:t>du SGH</w:t>
            </w:r>
            <w:r>
              <w:rPr>
                <w:spacing w:val="60"/>
                <w:sz w:val="17"/>
                <w:lang w:val="fr-CH"/>
              </w:rPr>
              <w:tab/>
            </w:r>
          </w:p>
        </w:tc>
        <w:tc>
          <w:tcPr>
            <w:tcW w:w="994" w:type="dxa"/>
            <w:shd w:val="clear" w:color="auto" w:fill="auto"/>
            <w:vAlign w:val="bottom"/>
          </w:tcPr>
          <w:p w:rsidR="00AF53E1" w:rsidRPr="00AF53E1" w:rsidRDefault="00D73965" w:rsidP="00AF53E1">
            <w:pPr>
              <w:spacing w:after="120"/>
              <w:jc w:val="right"/>
            </w:pPr>
            <w:r>
              <w:t>98</w:t>
            </w:r>
          </w:p>
        </w:tc>
        <w:tc>
          <w:tcPr>
            <w:tcW w:w="675" w:type="dxa"/>
            <w:shd w:val="clear" w:color="auto" w:fill="auto"/>
            <w:vAlign w:val="bottom"/>
          </w:tcPr>
          <w:p w:rsidR="00AF53E1" w:rsidRPr="00AF53E1" w:rsidRDefault="00D73965" w:rsidP="00AF53E1">
            <w:pPr>
              <w:spacing w:after="120"/>
              <w:jc w:val="right"/>
            </w:pPr>
            <w:r>
              <w:t>23</w:t>
            </w:r>
          </w:p>
        </w:tc>
      </w:tr>
      <w:tr w:rsidR="00AF53E1" w:rsidRPr="00AF53E1" w:rsidTr="00AF53E1">
        <w:tc>
          <w:tcPr>
            <w:tcW w:w="8375" w:type="dxa"/>
            <w:gridSpan w:val="2"/>
            <w:shd w:val="clear" w:color="auto" w:fill="auto"/>
          </w:tcPr>
          <w:p w:rsidR="00AF53E1" w:rsidRPr="00AF53E1" w:rsidRDefault="00D73965" w:rsidP="00D73965">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pPr>
            <w:r w:rsidRPr="00D73965">
              <w:rPr>
                <w:lang w:val="fr-CH"/>
              </w:rPr>
              <w:t>Travaux à mener conjointement avec le Sous-Comité SGH</w:t>
            </w:r>
            <w:r>
              <w:rPr>
                <w:spacing w:val="60"/>
                <w:sz w:val="17"/>
                <w:lang w:val="fr-CH"/>
              </w:rPr>
              <w:tab/>
            </w:r>
          </w:p>
        </w:tc>
        <w:tc>
          <w:tcPr>
            <w:tcW w:w="994" w:type="dxa"/>
            <w:shd w:val="clear" w:color="auto" w:fill="auto"/>
            <w:vAlign w:val="bottom"/>
          </w:tcPr>
          <w:p w:rsidR="00AF53E1" w:rsidRPr="00AF53E1" w:rsidRDefault="00D73965" w:rsidP="00AF53E1">
            <w:pPr>
              <w:spacing w:after="120"/>
              <w:jc w:val="right"/>
            </w:pPr>
            <w:r>
              <w:t>99–100</w:t>
            </w:r>
          </w:p>
        </w:tc>
        <w:tc>
          <w:tcPr>
            <w:tcW w:w="675" w:type="dxa"/>
            <w:shd w:val="clear" w:color="auto" w:fill="auto"/>
            <w:vAlign w:val="bottom"/>
          </w:tcPr>
          <w:p w:rsidR="00AF53E1" w:rsidRPr="00AF53E1" w:rsidRDefault="00D73965" w:rsidP="00AF53E1">
            <w:pPr>
              <w:spacing w:after="120"/>
              <w:jc w:val="right"/>
            </w:pPr>
            <w:r>
              <w:t>23</w:t>
            </w:r>
          </w:p>
        </w:tc>
      </w:tr>
      <w:tr w:rsidR="00AF53E1" w:rsidRPr="00AF53E1" w:rsidTr="00AF53E1">
        <w:tc>
          <w:tcPr>
            <w:tcW w:w="8375" w:type="dxa"/>
            <w:gridSpan w:val="2"/>
            <w:shd w:val="clear" w:color="auto" w:fill="auto"/>
          </w:tcPr>
          <w:p w:rsidR="00AF53E1" w:rsidRPr="00AF53E1" w:rsidRDefault="00D73965" w:rsidP="00D73965">
            <w:pPr>
              <w:pStyle w:val="ListParagraph"/>
              <w:numPr>
                <w:ilvl w:val="1"/>
                <w:numId w:val="6"/>
              </w:numPr>
              <w:tabs>
                <w:tab w:val="left" w:pos="1296"/>
                <w:tab w:val="left" w:pos="1728"/>
                <w:tab w:val="left" w:pos="2160"/>
                <w:tab w:val="left" w:pos="2592"/>
                <w:tab w:val="left" w:pos="3024"/>
                <w:tab w:val="right" w:leader="dot" w:pos="8381"/>
              </w:tabs>
              <w:suppressAutoHyphens/>
              <w:spacing w:after="120"/>
            </w:pPr>
            <w:r w:rsidRPr="00D73965">
              <w:rPr>
                <w:lang w:val="fr-CH"/>
              </w:rPr>
              <w:t>Questions diverses</w:t>
            </w:r>
            <w:r>
              <w:rPr>
                <w:spacing w:val="60"/>
                <w:sz w:val="17"/>
                <w:lang w:val="fr-CH"/>
              </w:rPr>
              <w:tab/>
            </w:r>
          </w:p>
        </w:tc>
        <w:tc>
          <w:tcPr>
            <w:tcW w:w="994" w:type="dxa"/>
            <w:shd w:val="clear" w:color="auto" w:fill="auto"/>
            <w:vAlign w:val="bottom"/>
          </w:tcPr>
          <w:p w:rsidR="00AF53E1" w:rsidRPr="00AF53E1" w:rsidRDefault="00D73965" w:rsidP="00AF53E1">
            <w:pPr>
              <w:spacing w:after="120"/>
              <w:jc w:val="right"/>
            </w:pPr>
            <w:r>
              <w:t>101–102</w:t>
            </w:r>
          </w:p>
        </w:tc>
        <w:tc>
          <w:tcPr>
            <w:tcW w:w="675" w:type="dxa"/>
            <w:shd w:val="clear" w:color="auto" w:fill="auto"/>
            <w:vAlign w:val="bottom"/>
          </w:tcPr>
          <w:p w:rsidR="00AF53E1" w:rsidRPr="00AF53E1" w:rsidRDefault="00D73965" w:rsidP="00AF53E1">
            <w:pPr>
              <w:spacing w:after="120"/>
              <w:jc w:val="right"/>
            </w:pPr>
            <w:r>
              <w:t>24</w:t>
            </w:r>
          </w:p>
        </w:tc>
      </w:tr>
      <w:tr w:rsidR="00AF53E1" w:rsidRPr="00AF53E1" w:rsidTr="00AF53E1">
        <w:tc>
          <w:tcPr>
            <w:tcW w:w="8375" w:type="dxa"/>
            <w:gridSpan w:val="2"/>
            <w:shd w:val="clear" w:color="auto" w:fill="auto"/>
          </w:tcPr>
          <w:p w:rsidR="00AF53E1" w:rsidRPr="00AF53E1" w:rsidRDefault="00D73965" w:rsidP="00D73965">
            <w:pPr>
              <w:pStyle w:val="ListParagraph"/>
              <w:numPr>
                <w:ilvl w:val="2"/>
                <w:numId w:val="6"/>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pPr>
            <w:r w:rsidRPr="00D73965">
              <w:rPr>
                <w:lang w:val="fr-CH"/>
              </w:rPr>
              <w:t xml:space="preserve">Interdiction d’utiliser, lors du transport, des pictogrammes </w:t>
            </w:r>
            <w:r>
              <w:rPr>
                <w:lang w:val="fr-CH"/>
              </w:rPr>
              <w:br/>
            </w:r>
            <w:r w:rsidRPr="00D73965">
              <w:rPr>
                <w:lang w:val="fr-CH"/>
              </w:rPr>
              <w:t xml:space="preserve">du SGH non liés aux transports lorsqu’ils ne font pas partie </w:t>
            </w:r>
            <w:r>
              <w:rPr>
                <w:lang w:val="fr-CH"/>
              </w:rPr>
              <w:br/>
            </w:r>
            <w:r w:rsidRPr="00D73965">
              <w:rPr>
                <w:lang w:val="fr-CH"/>
              </w:rPr>
              <w:t>d’une étiquette SGH complète</w:t>
            </w:r>
            <w:r>
              <w:rPr>
                <w:spacing w:val="60"/>
                <w:sz w:val="17"/>
                <w:lang w:val="fr-CH"/>
              </w:rPr>
              <w:tab/>
            </w:r>
          </w:p>
        </w:tc>
        <w:tc>
          <w:tcPr>
            <w:tcW w:w="994" w:type="dxa"/>
            <w:shd w:val="clear" w:color="auto" w:fill="auto"/>
            <w:vAlign w:val="bottom"/>
          </w:tcPr>
          <w:p w:rsidR="00AF53E1" w:rsidRPr="00AF53E1" w:rsidRDefault="00D73965" w:rsidP="00AF53E1">
            <w:pPr>
              <w:spacing w:after="120"/>
              <w:jc w:val="right"/>
            </w:pPr>
            <w:r>
              <w:t>101</w:t>
            </w:r>
          </w:p>
        </w:tc>
        <w:tc>
          <w:tcPr>
            <w:tcW w:w="675" w:type="dxa"/>
            <w:shd w:val="clear" w:color="auto" w:fill="auto"/>
            <w:vAlign w:val="bottom"/>
          </w:tcPr>
          <w:p w:rsidR="00AF53E1" w:rsidRPr="00AF53E1" w:rsidRDefault="00D73965" w:rsidP="00AF53E1">
            <w:pPr>
              <w:spacing w:after="120"/>
              <w:jc w:val="right"/>
            </w:pPr>
            <w:r>
              <w:t>24</w:t>
            </w:r>
          </w:p>
        </w:tc>
      </w:tr>
      <w:tr w:rsidR="00AF53E1" w:rsidRPr="00AF53E1" w:rsidTr="00AF53E1">
        <w:tc>
          <w:tcPr>
            <w:tcW w:w="8375" w:type="dxa"/>
            <w:gridSpan w:val="2"/>
            <w:shd w:val="clear" w:color="auto" w:fill="auto"/>
          </w:tcPr>
          <w:p w:rsidR="00AF53E1" w:rsidRPr="00AF53E1" w:rsidRDefault="00D73965" w:rsidP="003E373B">
            <w:pPr>
              <w:pStyle w:val="ListParagraph"/>
              <w:numPr>
                <w:ilvl w:val="2"/>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pPr>
            <w:r w:rsidRPr="00D73965">
              <w:rPr>
                <w:lang w:val="fr-CH"/>
              </w:rPr>
              <w:t xml:space="preserve">Étiquettes SGH utilisées pour le transport sur des emballages </w:t>
            </w:r>
            <w:r w:rsidR="003E373B">
              <w:rPr>
                <w:lang w:val="fr-CH"/>
              </w:rPr>
              <w:br/>
            </w:r>
            <w:r w:rsidRPr="00D73965">
              <w:rPr>
                <w:lang w:val="fr-CH"/>
              </w:rPr>
              <w:t xml:space="preserve">combinés contenant des marchandises diverses non visées par </w:t>
            </w:r>
            <w:r w:rsidR="003E373B">
              <w:rPr>
                <w:lang w:val="fr-CH"/>
              </w:rPr>
              <w:br/>
            </w:r>
            <w:r w:rsidRPr="00D73965">
              <w:rPr>
                <w:lang w:val="fr-CH"/>
              </w:rPr>
              <w:t>les règlements de transport des marchandises dangereuses</w:t>
            </w:r>
            <w:r w:rsidR="003E373B">
              <w:rPr>
                <w:spacing w:val="60"/>
                <w:sz w:val="17"/>
                <w:lang w:val="fr-CH"/>
              </w:rPr>
              <w:tab/>
            </w:r>
          </w:p>
        </w:tc>
        <w:tc>
          <w:tcPr>
            <w:tcW w:w="994" w:type="dxa"/>
            <w:shd w:val="clear" w:color="auto" w:fill="auto"/>
            <w:vAlign w:val="bottom"/>
          </w:tcPr>
          <w:p w:rsidR="00AF53E1" w:rsidRPr="00AF53E1" w:rsidRDefault="003E373B" w:rsidP="00AF53E1">
            <w:pPr>
              <w:spacing w:after="120"/>
              <w:jc w:val="right"/>
            </w:pPr>
            <w:r>
              <w:t>102</w:t>
            </w:r>
          </w:p>
        </w:tc>
        <w:tc>
          <w:tcPr>
            <w:tcW w:w="675" w:type="dxa"/>
            <w:shd w:val="clear" w:color="auto" w:fill="auto"/>
            <w:vAlign w:val="bottom"/>
          </w:tcPr>
          <w:p w:rsidR="00AF53E1" w:rsidRPr="00AF53E1" w:rsidRDefault="003E373B" w:rsidP="00AF53E1">
            <w:pPr>
              <w:spacing w:after="120"/>
              <w:jc w:val="right"/>
            </w:pPr>
            <w:r>
              <w:t>24</w:t>
            </w:r>
          </w:p>
        </w:tc>
      </w:tr>
      <w:tr w:rsidR="00AF53E1" w:rsidRPr="00AF53E1" w:rsidTr="00AF53E1">
        <w:tc>
          <w:tcPr>
            <w:tcW w:w="8375" w:type="dxa"/>
            <w:gridSpan w:val="2"/>
            <w:shd w:val="clear" w:color="auto" w:fill="auto"/>
          </w:tcPr>
          <w:p w:rsidR="00AF53E1" w:rsidRPr="00AF53E1" w:rsidRDefault="003E373B" w:rsidP="003E373B">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pPr>
            <w:r w:rsidRPr="003E373B">
              <w:rPr>
                <w:lang w:val="fr-CH"/>
              </w:rPr>
              <w:t>Questions diverses (point 11 de l’ordre du jour)</w:t>
            </w:r>
            <w:r>
              <w:rPr>
                <w:spacing w:val="60"/>
                <w:sz w:val="17"/>
                <w:lang w:val="fr-CH"/>
              </w:rPr>
              <w:tab/>
            </w:r>
          </w:p>
        </w:tc>
        <w:tc>
          <w:tcPr>
            <w:tcW w:w="994" w:type="dxa"/>
            <w:shd w:val="clear" w:color="auto" w:fill="auto"/>
            <w:vAlign w:val="bottom"/>
          </w:tcPr>
          <w:p w:rsidR="00AF53E1" w:rsidRPr="00AF53E1" w:rsidRDefault="003E373B" w:rsidP="00AF53E1">
            <w:pPr>
              <w:spacing w:after="120"/>
              <w:jc w:val="right"/>
            </w:pPr>
            <w:r>
              <w:t>103–108</w:t>
            </w:r>
          </w:p>
        </w:tc>
        <w:tc>
          <w:tcPr>
            <w:tcW w:w="675" w:type="dxa"/>
            <w:shd w:val="clear" w:color="auto" w:fill="auto"/>
            <w:vAlign w:val="bottom"/>
          </w:tcPr>
          <w:p w:rsidR="00AF53E1" w:rsidRPr="00AF53E1" w:rsidRDefault="003E373B" w:rsidP="00AF53E1">
            <w:pPr>
              <w:spacing w:after="120"/>
              <w:jc w:val="right"/>
            </w:pPr>
            <w:r>
              <w:t>24</w:t>
            </w:r>
          </w:p>
        </w:tc>
      </w:tr>
      <w:tr w:rsidR="00AF53E1" w:rsidRPr="00AF53E1" w:rsidTr="00AF53E1">
        <w:tc>
          <w:tcPr>
            <w:tcW w:w="8375" w:type="dxa"/>
            <w:gridSpan w:val="2"/>
            <w:shd w:val="clear" w:color="auto" w:fill="auto"/>
          </w:tcPr>
          <w:p w:rsidR="00AF53E1" w:rsidRPr="00AF53E1" w:rsidRDefault="003E373B" w:rsidP="003E373B">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pPr>
            <w:r w:rsidRPr="003E373B">
              <w:rPr>
                <w:lang w:val="fr-CH"/>
              </w:rPr>
              <w:t>Résolution du Conseil économique et social</w:t>
            </w:r>
            <w:r>
              <w:rPr>
                <w:spacing w:val="60"/>
                <w:sz w:val="17"/>
                <w:lang w:val="fr-CH"/>
              </w:rPr>
              <w:tab/>
            </w:r>
          </w:p>
        </w:tc>
        <w:tc>
          <w:tcPr>
            <w:tcW w:w="994" w:type="dxa"/>
            <w:shd w:val="clear" w:color="auto" w:fill="auto"/>
            <w:vAlign w:val="bottom"/>
          </w:tcPr>
          <w:p w:rsidR="00AF53E1" w:rsidRPr="00AF53E1" w:rsidRDefault="003E373B" w:rsidP="00AF53E1">
            <w:pPr>
              <w:spacing w:after="120"/>
              <w:jc w:val="right"/>
            </w:pPr>
            <w:r>
              <w:t>103–104</w:t>
            </w:r>
          </w:p>
        </w:tc>
        <w:tc>
          <w:tcPr>
            <w:tcW w:w="675" w:type="dxa"/>
            <w:shd w:val="clear" w:color="auto" w:fill="auto"/>
            <w:vAlign w:val="bottom"/>
          </w:tcPr>
          <w:p w:rsidR="00AF53E1" w:rsidRPr="00AF53E1" w:rsidRDefault="003E373B" w:rsidP="00AF53E1">
            <w:pPr>
              <w:spacing w:after="120"/>
              <w:jc w:val="right"/>
            </w:pPr>
            <w:r>
              <w:t>24</w:t>
            </w:r>
          </w:p>
        </w:tc>
      </w:tr>
      <w:tr w:rsidR="00AF53E1" w:rsidRPr="00AF53E1" w:rsidTr="00AF53E1">
        <w:tc>
          <w:tcPr>
            <w:tcW w:w="8375" w:type="dxa"/>
            <w:gridSpan w:val="2"/>
            <w:shd w:val="clear" w:color="auto" w:fill="auto"/>
          </w:tcPr>
          <w:p w:rsidR="00AF53E1" w:rsidRPr="00AF53E1" w:rsidRDefault="003E373B" w:rsidP="003E373B">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pPr>
            <w:r w:rsidRPr="003E373B">
              <w:rPr>
                <w:lang w:val="fr-CH"/>
              </w:rPr>
              <w:t xml:space="preserve">Évaluation de l’impact régional et global des règlements de la Commission économique pour l’Europe et des Recommandations de l’ONU relatifs </w:t>
            </w:r>
            <w:r>
              <w:rPr>
                <w:lang w:val="fr-CH"/>
              </w:rPr>
              <w:br/>
            </w:r>
            <w:r w:rsidRPr="003E373B">
              <w:rPr>
                <w:lang w:val="fr-CH"/>
              </w:rPr>
              <w:t>au transport des marchandises dangereuses</w:t>
            </w:r>
            <w:r>
              <w:rPr>
                <w:spacing w:val="60"/>
                <w:sz w:val="17"/>
                <w:lang w:val="fr-CH"/>
              </w:rPr>
              <w:tab/>
            </w:r>
          </w:p>
        </w:tc>
        <w:tc>
          <w:tcPr>
            <w:tcW w:w="994" w:type="dxa"/>
            <w:shd w:val="clear" w:color="auto" w:fill="auto"/>
            <w:vAlign w:val="bottom"/>
          </w:tcPr>
          <w:p w:rsidR="00AF53E1" w:rsidRPr="00AF53E1" w:rsidRDefault="003E373B" w:rsidP="00AF53E1">
            <w:pPr>
              <w:spacing w:after="120"/>
              <w:jc w:val="right"/>
            </w:pPr>
            <w:r>
              <w:t>105–106</w:t>
            </w:r>
          </w:p>
        </w:tc>
        <w:tc>
          <w:tcPr>
            <w:tcW w:w="675" w:type="dxa"/>
            <w:shd w:val="clear" w:color="auto" w:fill="auto"/>
            <w:vAlign w:val="bottom"/>
          </w:tcPr>
          <w:p w:rsidR="00AF53E1" w:rsidRPr="00AF53E1" w:rsidRDefault="003E373B" w:rsidP="00AF53E1">
            <w:pPr>
              <w:spacing w:after="120"/>
              <w:jc w:val="right"/>
            </w:pPr>
            <w:r>
              <w:t>24</w:t>
            </w:r>
          </w:p>
        </w:tc>
      </w:tr>
      <w:tr w:rsidR="00AF53E1" w:rsidRPr="00AF53E1" w:rsidTr="00AF53E1">
        <w:tc>
          <w:tcPr>
            <w:tcW w:w="8375" w:type="dxa"/>
            <w:gridSpan w:val="2"/>
            <w:shd w:val="clear" w:color="auto" w:fill="auto"/>
          </w:tcPr>
          <w:p w:rsidR="00AF53E1" w:rsidRPr="00AF53E1" w:rsidRDefault="003E373B" w:rsidP="00CB063F">
            <w:pPr>
              <w:pStyle w:val="ListParagraph"/>
              <w:numPr>
                <w:ilvl w:val="1"/>
                <w:numId w:val="6"/>
              </w:numPr>
              <w:tabs>
                <w:tab w:val="left" w:pos="1296"/>
                <w:tab w:val="left" w:pos="1728"/>
                <w:tab w:val="left" w:pos="2160"/>
                <w:tab w:val="left" w:pos="2592"/>
                <w:tab w:val="left" w:pos="3024"/>
                <w:tab w:val="left" w:pos="3456"/>
                <w:tab w:val="left" w:pos="3888"/>
                <w:tab w:val="right" w:leader="dot" w:pos="8381"/>
              </w:tabs>
              <w:suppressAutoHyphens/>
              <w:spacing w:after="120"/>
            </w:pPr>
            <w:r w:rsidRPr="003E373B">
              <w:rPr>
                <w:lang w:val="fr-CH"/>
              </w:rPr>
              <w:t xml:space="preserve">Propositions de corrections à la </w:t>
            </w:r>
            <w:r w:rsidR="00CB063F">
              <w:rPr>
                <w:lang w:val="fr-CH"/>
              </w:rPr>
              <w:t xml:space="preserve">dix-neuvième </w:t>
            </w:r>
            <w:r w:rsidRPr="003E373B">
              <w:rPr>
                <w:lang w:val="fr-CH"/>
              </w:rPr>
              <w:t xml:space="preserve">édition révisée </w:t>
            </w:r>
            <w:r w:rsidR="00CB063F">
              <w:rPr>
                <w:lang w:val="fr-CH"/>
              </w:rPr>
              <w:br/>
            </w:r>
            <w:r w:rsidRPr="003E373B">
              <w:rPr>
                <w:lang w:val="fr-CH"/>
              </w:rPr>
              <w:t xml:space="preserve">des Recommandations relatives au transport des marchandises </w:t>
            </w:r>
            <w:r w:rsidR="00CB063F">
              <w:rPr>
                <w:lang w:val="fr-CH"/>
              </w:rPr>
              <w:br/>
            </w:r>
            <w:r w:rsidRPr="003E373B">
              <w:rPr>
                <w:lang w:val="fr-CH"/>
              </w:rPr>
              <w:t>dangereuses, Règlement type</w:t>
            </w:r>
            <w:r w:rsidR="00CB063F">
              <w:rPr>
                <w:spacing w:val="60"/>
                <w:sz w:val="17"/>
                <w:lang w:val="fr-CH"/>
              </w:rPr>
              <w:tab/>
            </w:r>
          </w:p>
        </w:tc>
        <w:tc>
          <w:tcPr>
            <w:tcW w:w="994" w:type="dxa"/>
            <w:shd w:val="clear" w:color="auto" w:fill="auto"/>
            <w:vAlign w:val="bottom"/>
          </w:tcPr>
          <w:p w:rsidR="00AF53E1" w:rsidRPr="00AF53E1" w:rsidRDefault="003E373B" w:rsidP="00AF53E1">
            <w:pPr>
              <w:spacing w:after="120"/>
              <w:jc w:val="right"/>
            </w:pPr>
            <w:r>
              <w:t>107</w:t>
            </w:r>
          </w:p>
        </w:tc>
        <w:tc>
          <w:tcPr>
            <w:tcW w:w="675" w:type="dxa"/>
            <w:shd w:val="clear" w:color="auto" w:fill="auto"/>
            <w:vAlign w:val="bottom"/>
          </w:tcPr>
          <w:p w:rsidR="00AF53E1" w:rsidRPr="00AF53E1" w:rsidRDefault="003E373B" w:rsidP="00AF53E1">
            <w:pPr>
              <w:spacing w:after="120"/>
              <w:jc w:val="right"/>
            </w:pPr>
            <w:r>
              <w:t>25</w:t>
            </w:r>
          </w:p>
        </w:tc>
      </w:tr>
      <w:tr w:rsidR="00AF53E1" w:rsidRPr="00AF53E1" w:rsidTr="00AF53E1">
        <w:tc>
          <w:tcPr>
            <w:tcW w:w="8375" w:type="dxa"/>
            <w:gridSpan w:val="2"/>
            <w:shd w:val="clear" w:color="auto" w:fill="auto"/>
          </w:tcPr>
          <w:p w:rsidR="00AF53E1" w:rsidRPr="00AF53E1" w:rsidRDefault="003E373B" w:rsidP="003E373B">
            <w:pPr>
              <w:pStyle w:val="ListParagraph"/>
              <w:numPr>
                <w:ilvl w:val="1"/>
                <w:numId w:val="6"/>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pPr>
            <w:r w:rsidRPr="003E373B">
              <w:rPr>
                <w:lang w:val="fr-CH"/>
              </w:rPr>
              <w:t>Hommage à M. P. Huurdeman</w:t>
            </w:r>
            <w:r>
              <w:rPr>
                <w:spacing w:val="60"/>
                <w:sz w:val="17"/>
                <w:lang w:val="fr-CH"/>
              </w:rPr>
              <w:tab/>
            </w:r>
          </w:p>
        </w:tc>
        <w:tc>
          <w:tcPr>
            <w:tcW w:w="994" w:type="dxa"/>
            <w:shd w:val="clear" w:color="auto" w:fill="auto"/>
            <w:vAlign w:val="bottom"/>
          </w:tcPr>
          <w:p w:rsidR="00AF53E1" w:rsidRPr="00AF53E1" w:rsidRDefault="003E373B" w:rsidP="00AF53E1">
            <w:pPr>
              <w:spacing w:after="120"/>
              <w:jc w:val="right"/>
            </w:pPr>
            <w:r>
              <w:t>108</w:t>
            </w:r>
          </w:p>
        </w:tc>
        <w:tc>
          <w:tcPr>
            <w:tcW w:w="675" w:type="dxa"/>
            <w:shd w:val="clear" w:color="auto" w:fill="auto"/>
            <w:vAlign w:val="bottom"/>
          </w:tcPr>
          <w:p w:rsidR="00AF53E1" w:rsidRPr="00AF53E1" w:rsidRDefault="003E373B" w:rsidP="00AF53E1">
            <w:pPr>
              <w:spacing w:after="120"/>
              <w:jc w:val="right"/>
            </w:pPr>
            <w:r>
              <w:t>25</w:t>
            </w:r>
          </w:p>
        </w:tc>
      </w:tr>
      <w:tr w:rsidR="00AF53E1" w:rsidRPr="00AF53E1" w:rsidTr="00AF53E1">
        <w:tc>
          <w:tcPr>
            <w:tcW w:w="8375" w:type="dxa"/>
            <w:gridSpan w:val="2"/>
            <w:shd w:val="clear" w:color="auto" w:fill="auto"/>
          </w:tcPr>
          <w:p w:rsidR="00AF53E1" w:rsidRPr="00AF53E1" w:rsidRDefault="003E373B" w:rsidP="003E373B">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pPr>
            <w:r w:rsidRPr="003E373B">
              <w:rPr>
                <w:lang w:val="fr-CH"/>
              </w:rPr>
              <w:t>Adoption du rapport (point 12 de l’ordre du jour)</w:t>
            </w:r>
            <w:r>
              <w:rPr>
                <w:spacing w:val="60"/>
                <w:sz w:val="17"/>
                <w:lang w:val="fr-CH"/>
              </w:rPr>
              <w:tab/>
            </w:r>
          </w:p>
        </w:tc>
        <w:tc>
          <w:tcPr>
            <w:tcW w:w="994" w:type="dxa"/>
            <w:shd w:val="clear" w:color="auto" w:fill="auto"/>
            <w:vAlign w:val="bottom"/>
          </w:tcPr>
          <w:p w:rsidR="00AF53E1" w:rsidRPr="00AF53E1" w:rsidRDefault="003E373B" w:rsidP="00AF53E1">
            <w:pPr>
              <w:spacing w:after="120"/>
              <w:jc w:val="right"/>
            </w:pPr>
            <w:r>
              <w:t>109</w:t>
            </w:r>
          </w:p>
        </w:tc>
        <w:tc>
          <w:tcPr>
            <w:tcW w:w="675" w:type="dxa"/>
            <w:shd w:val="clear" w:color="auto" w:fill="auto"/>
            <w:vAlign w:val="bottom"/>
          </w:tcPr>
          <w:p w:rsidR="00AF53E1" w:rsidRPr="00AF53E1" w:rsidRDefault="003E373B" w:rsidP="00AF53E1">
            <w:pPr>
              <w:spacing w:after="120"/>
              <w:jc w:val="right"/>
            </w:pPr>
            <w:r>
              <w:t>25</w:t>
            </w:r>
          </w:p>
        </w:tc>
      </w:tr>
      <w:tr w:rsidR="00AF53E1" w:rsidRPr="00AF53E1" w:rsidTr="00321370">
        <w:tc>
          <w:tcPr>
            <w:tcW w:w="9369" w:type="dxa"/>
            <w:gridSpan w:val="3"/>
            <w:shd w:val="clear" w:color="auto" w:fill="auto"/>
          </w:tcPr>
          <w:p w:rsidR="00AF53E1" w:rsidRPr="00AF53E1" w:rsidRDefault="00AF53E1" w:rsidP="00AF53E1">
            <w:pPr>
              <w:pStyle w:val="ListParagraph"/>
              <w:tabs>
                <w:tab w:val="right" w:pos="1080"/>
                <w:tab w:val="left" w:pos="1296"/>
                <w:tab w:val="right" w:pos="1714"/>
                <w:tab w:val="left" w:pos="2160"/>
                <w:tab w:val="left" w:pos="2592"/>
                <w:tab w:val="left" w:pos="3024"/>
                <w:tab w:val="left" w:pos="3456"/>
              </w:tabs>
              <w:spacing w:after="120"/>
              <w:ind w:left="0"/>
            </w:pPr>
            <w:r>
              <w:tab/>
              <w:t>Annexe I</w:t>
            </w:r>
          </w:p>
        </w:tc>
        <w:tc>
          <w:tcPr>
            <w:tcW w:w="675" w:type="dxa"/>
            <w:shd w:val="clear" w:color="auto" w:fill="auto"/>
            <w:vAlign w:val="bottom"/>
          </w:tcPr>
          <w:p w:rsidR="00AF53E1" w:rsidRPr="00AF53E1" w:rsidRDefault="00AF53E1" w:rsidP="00AF53E1">
            <w:pPr>
              <w:spacing w:after="120"/>
              <w:jc w:val="right"/>
            </w:pPr>
          </w:p>
        </w:tc>
      </w:tr>
      <w:tr w:rsidR="00AF53E1" w:rsidRPr="00AF53E1" w:rsidTr="00321370">
        <w:tc>
          <w:tcPr>
            <w:tcW w:w="9369" w:type="dxa"/>
            <w:gridSpan w:val="3"/>
            <w:shd w:val="clear" w:color="auto" w:fill="auto"/>
          </w:tcPr>
          <w:p w:rsidR="00AF53E1" w:rsidRPr="003E373B" w:rsidRDefault="003E373B" w:rsidP="003E373B">
            <w:pPr>
              <w:pStyle w:val="ListParagraph"/>
              <w:tabs>
                <w:tab w:val="left" w:pos="1296"/>
                <w:tab w:val="left" w:pos="1728"/>
                <w:tab w:val="left" w:pos="2160"/>
                <w:tab w:val="left" w:pos="2592"/>
                <w:tab w:val="left" w:pos="3024"/>
                <w:tab w:val="right" w:leader="dot" w:pos="9360"/>
              </w:tabs>
              <w:spacing w:after="120"/>
              <w:ind w:left="1296"/>
              <w:rPr>
                <w:spacing w:val="60"/>
                <w:sz w:val="17"/>
              </w:rPr>
            </w:pPr>
            <w:r w:rsidRPr="003E373B">
              <w:rPr>
                <w:lang w:val="fr-CH"/>
              </w:rPr>
              <w:t xml:space="preserve">Projet d’amendements aux chapitres 1.3 et 2.1 du SGH devant être proposés </w:t>
            </w:r>
            <w:r>
              <w:rPr>
                <w:lang w:val="fr-CH"/>
              </w:rPr>
              <w:br/>
            </w:r>
            <w:r w:rsidRPr="003E373B">
              <w:rPr>
                <w:lang w:val="fr-CH"/>
              </w:rPr>
              <w:t>au Sous-Comité SGH</w:t>
            </w:r>
            <w:r>
              <w:rPr>
                <w:spacing w:val="60"/>
                <w:sz w:val="17"/>
                <w:lang w:val="fr-CH"/>
              </w:rPr>
              <w:tab/>
            </w:r>
          </w:p>
        </w:tc>
        <w:tc>
          <w:tcPr>
            <w:tcW w:w="675" w:type="dxa"/>
            <w:shd w:val="clear" w:color="auto" w:fill="auto"/>
            <w:vAlign w:val="bottom"/>
          </w:tcPr>
          <w:p w:rsidR="00AF53E1" w:rsidRPr="00AF53E1" w:rsidRDefault="003E373B" w:rsidP="00AF53E1">
            <w:pPr>
              <w:spacing w:after="120"/>
              <w:jc w:val="right"/>
            </w:pPr>
            <w:r>
              <w:t>26</w:t>
            </w:r>
          </w:p>
        </w:tc>
      </w:tr>
      <w:tr w:rsidR="00AF53E1" w:rsidRPr="00AF53E1" w:rsidTr="00321370">
        <w:tc>
          <w:tcPr>
            <w:tcW w:w="9369" w:type="dxa"/>
            <w:gridSpan w:val="3"/>
            <w:shd w:val="clear" w:color="auto" w:fill="auto"/>
          </w:tcPr>
          <w:p w:rsidR="00AF53E1" w:rsidRDefault="00AF53E1" w:rsidP="00AF53E1">
            <w:pPr>
              <w:pStyle w:val="ListParagraph"/>
              <w:tabs>
                <w:tab w:val="right" w:pos="1080"/>
                <w:tab w:val="left" w:pos="1296"/>
                <w:tab w:val="right" w:pos="1714"/>
                <w:tab w:val="left" w:pos="2160"/>
                <w:tab w:val="left" w:pos="2592"/>
                <w:tab w:val="left" w:pos="3024"/>
                <w:tab w:val="left" w:pos="3456"/>
              </w:tabs>
              <w:spacing w:after="120"/>
              <w:ind w:left="0"/>
            </w:pPr>
            <w:r>
              <w:tab/>
              <w:t>Annexe II</w:t>
            </w:r>
          </w:p>
        </w:tc>
        <w:tc>
          <w:tcPr>
            <w:tcW w:w="675" w:type="dxa"/>
            <w:shd w:val="clear" w:color="auto" w:fill="auto"/>
            <w:vAlign w:val="bottom"/>
          </w:tcPr>
          <w:p w:rsidR="00AF53E1" w:rsidRPr="00AF53E1" w:rsidRDefault="00AF53E1" w:rsidP="00AF53E1">
            <w:pPr>
              <w:spacing w:after="120"/>
              <w:jc w:val="right"/>
            </w:pPr>
          </w:p>
        </w:tc>
      </w:tr>
      <w:tr w:rsidR="00AF53E1" w:rsidRPr="00AF53E1" w:rsidTr="00321370">
        <w:tc>
          <w:tcPr>
            <w:tcW w:w="9369" w:type="dxa"/>
            <w:gridSpan w:val="3"/>
            <w:shd w:val="clear" w:color="auto" w:fill="auto"/>
          </w:tcPr>
          <w:p w:rsidR="00AF53E1" w:rsidRPr="003E373B" w:rsidRDefault="003E373B" w:rsidP="003E373B">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1296"/>
              <w:rPr>
                <w:spacing w:val="60"/>
                <w:sz w:val="17"/>
              </w:rPr>
            </w:pPr>
            <w:r w:rsidRPr="003E373B">
              <w:rPr>
                <w:lang w:val="fr-CH"/>
              </w:rPr>
              <w:t xml:space="preserve">Projet d’amendements à la dix-neuvième édition révisée des Recommandations relatives </w:t>
            </w:r>
            <w:r>
              <w:rPr>
                <w:lang w:val="fr-CH"/>
              </w:rPr>
              <w:br/>
            </w:r>
            <w:r w:rsidRPr="003E373B">
              <w:rPr>
                <w:lang w:val="fr-CH"/>
              </w:rPr>
              <w:t>au transport des marchandises dangereuses, Règlement type (ST/SG/AC.10/1/Rev.19)</w:t>
            </w:r>
            <w:r>
              <w:rPr>
                <w:spacing w:val="60"/>
                <w:sz w:val="17"/>
                <w:lang w:val="fr-CH"/>
              </w:rPr>
              <w:tab/>
            </w:r>
          </w:p>
        </w:tc>
        <w:tc>
          <w:tcPr>
            <w:tcW w:w="675" w:type="dxa"/>
            <w:shd w:val="clear" w:color="auto" w:fill="auto"/>
            <w:vAlign w:val="bottom"/>
          </w:tcPr>
          <w:p w:rsidR="00AF53E1" w:rsidRPr="00AF53E1" w:rsidRDefault="003E373B" w:rsidP="00AF53E1">
            <w:pPr>
              <w:spacing w:after="120"/>
              <w:jc w:val="right"/>
            </w:pPr>
            <w:r>
              <w:t>27</w:t>
            </w:r>
          </w:p>
        </w:tc>
      </w:tr>
      <w:tr w:rsidR="00AF53E1" w:rsidRPr="00AF53E1" w:rsidTr="00321370">
        <w:tc>
          <w:tcPr>
            <w:tcW w:w="9369" w:type="dxa"/>
            <w:gridSpan w:val="3"/>
            <w:shd w:val="clear" w:color="auto" w:fill="auto"/>
          </w:tcPr>
          <w:p w:rsidR="00AF53E1" w:rsidRDefault="00AF53E1" w:rsidP="00AF53E1">
            <w:pPr>
              <w:pStyle w:val="ListParagraph"/>
              <w:tabs>
                <w:tab w:val="right" w:pos="1080"/>
                <w:tab w:val="left" w:pos="1296"/>
                <w:tab w:val="right" w:pos="1714"/>
                <w:tab w:val="left" w:pos="2160"/>
                <w:tab w:val="left" w:pos="2592"/>
                <w:tab w:val="left" w:pos="3024"/>
                <w:tab w:val="left" w:pos="3456"/>
              </w:tabs>
              <w:spacing w:after="120"/>
              <w:ind w:left="0"/>
            </w:pPr>
            <w:r>
              <w:tab/>
              <w:t>Annexe III</w:t>
            </w:r>
          </w:p>
        </w:tc>
        <w:tc>
          <w:tcPr>
            <w:tcW w:w="675" w:type="dxa"/>
            <w:shd w:val="clear" w:color="auto" w:fill="auto"/>
            <w:vAlign w:val="bottom"/>
          </w:tcPr>
          <w:p w:rsidR="00AF53E1" w:rsidRPr="00AF53E1" w:rsidRDefault="00AF53E1" w:rsidP="00AF53E1">
            <w:pPr>
              <w:spacing w:after="120"/>
              <w:jc w:val="right"/>
            </w:pPr>
          </w:p>
        </w:tc>
      </w:tr>
      <w:tr w:rsidR="00AF53E1" w:rsidRPr="00AF53E1" w:rsidTr="00321370">
        <w:tc>
          <w:tcPr>
            <w:tcW w:w="9369" w:type="dxa"/>
            <w:gridSpan w:val="3"/>
            <w:shd w:val="clear" w:color="auto" w:fill="auto"/>
          </w:tcPr>
          <w:p w:rsidR="00AF53E1" w:rsidRPr="003E373B" w:rsidRDefault="003E373B" w:rsidP="003E373B">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rsidRPr="003E373B">
              <w:rPr>
                <w:lang w:val="fr-CH"/>
              </w:rPr>
              <w:t xml:space="preserve">Corrections à la dix-neuvième édition révisée des Recommandations relatives </w:t>
            </w:r>
            <w:r>
              <w:rPr>
                <w:lang w:val="fr-CH"/>
              </w:rPr>
              <w:br/>
            </w:r>
            <w:r w:rsidRPr="003E373B">
              <w:rPr>
                <w:lang w:val="fr-CH"/>
              </w:rPr>
              <w:t>au transport des marchandises dangereuses, Règlement type</w:t>
            </w:r>
            <w:r>
              <w:rPr>
                <w:spacing w:val="60"/>
                <w:sz w:val="17"/>
                <w:lang w:val="fr-CH"/>
              </w:rPr>
              <w:tab/>
            </w:r>
          </w:p>
        </w:tc>
        <w:tc>
          <w:tcPr>
            <w:tcW w:w="675" w:type="dxa"/>
            <w:shd w:val="clear" w:color="auto" w:fill="auto"/>
            <w:vAlign w:val="bottom"/>
          </w:tcPr>
          <w:p w:rsidR="00AF53E1" w:rsidRPr="00AF53E1" w:rsidRDefault="006F1BDD" w:rsidP="00AF53E1">
            <w:pPr>
              <w:spacing w:after="120"/>
              <w:jc w:val="right"/>
            </w:pPr>
            <w:r>
              <w:t>29</w:t>
            </w:r>
          </w:p>
        </w:tc>
      </w:tr>
    </w:tbl>
    <w:p w:rsidR="004C0A8D" w:rsidRDefault="004C0A8D" w:rsidP="00AF53E1"/>
    <w:p w:rsidR="004C0A8D" w:rsidRDefault="004C0A8D">
      <w:pPr>
        <w:spacing w:line="240" w:lineRule="auto"/>
      </w:pPr>
      <w:r>
        <w:br w:type="page"/>
      </w:r>
    </w:p>
    <w:p w:rsidR="00ED1DE0" w:rsidRDefault="00321370" w:rsidP="003213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ED1DE0" w:rsidRPr="00ED1DE0">
        <w:rPr>
          <w:lang w:val="fr-CH"/>
        </w:rPr>
        <w:t>I.</w:t>
      </w:r>
      <w:r w:rsidR="00ED1DE0" w:rsidRPr="00ED1DE0">
        <w:rPr>
          <w:lang w:val="fr-CH"/>
        </w:rPr>
        <w:tab/>
      </w:r>
      <w:r w:rsidR="00ED1DE0" w:rsidRPr="00ED1DE0">
        <w:rPr>
          <w:lang w:val="fr-CH"/>
        </w:rPr>
        <w:tab/>
        <w:t>Participation</w:t>
      </w:r>
    </w:p>
    <w:p w:rsidR="00321370" w:rsidRPr="00321370" w:rsidRDefault="00321370" w:rsidP="00321370">
      <w:pPr>
        <w:pStyle w:val="SingleTxt"/>
        <w:spacing w:after="0" w:line="120" w:lineRule="exact"/>
        <w:rPr>
          <w:sz w:val="10"/>
          <w:lang w:val="fr-CH"/>
        </w:rPr>
      </w:pPr>
    </w:p>
    <w:p w:rsidR="00321370" w:rsidRPr="00321370" w:rsidRDefault="00321370" w:rsidP="00321370">
      <w:pPr>
        <w:pStyle w:val="SingleTxt"/>
        <w:spacing w:after="0" w:line="120" w:lineRule="exact"/>
        <w:rPr>
          <w:sz w:val="10"/>
          <w:lang w:val="fr-CH"/>
        </w:rPr>
      </w:pPr>
    </w:p>
    <w:p w:rsidR="00ED1DE0" w:rsidRPr="00ED1DE0" w:rsidRDefault="00ED1DE0" w:rsidP="00633201">
      <w:pPr>
        <w:pStyle w:val="SingleTxt"/>
        <w:numPr>
          <w:ilvl w:val="0"/>
          <w:numId w:val="8"/>
        </w:numPr>
        <w:ind w:left="1267" w:firstLine="0"/>
        <w:rPr>
          <w:lang w:val="fr-CH"/>
        </w:rPr>
      </w:pPr>
      <w:r w:rsidRPr="00ED1DE0">
        <w:rPr>
          <w:lang w:val="fr-CH"/>
        </w:rPr>
        <w:t>Le Sous-Comité d’experts du transport des marchandises dangereuses a tenu sa quarante-septième session du 22 au 26</w:t>
      </w:r>
      <w:r w:rsidR="00321370">
        <w:rPr>
          <w:lang w:val="fr-CH"/>
        </w:rPr>
        <w:t> </w:t>
      </w:r>
      <w:r w:rsidRPr="00ED1DE0">
        <w:rPr>
          <w:lang w:val="fr-CH"/>
        </w:rPr>
        <w:t>juin 2015.</w:t>
      </w:r>
    </w:p>
    <w:p w:rsidR="00ED1DE0" w:rsidRPr="00ED1DE0" w:rsidRDefault="00ED1DE0" w:rsidP="00633201">
      <w:pPr>
        <w:pStyle w:val="SingleTxt"/>
        <w:numPr>
          <w:ilvl w:val="0"/>
          <w:numId w:val="8"/>
        </w:numPr>
        <w:ind w:left="1267" w:firstLine="0"/>
        <w:rPr>
          <w:lang w:val="fr-CH"/>
        </w:rPr>
      </w:pPr>
      <w:r w:rsidRPr="00ED1DE0">
        <w:rPr>
          <w:lang w:val="fr-CH"/>
        </w:rPr>
        <w:t>Ont participé à cette session des experts des pays suivants</w:t>
      </w:r>
      <w:r w:rsidR="00321370">
        <w:rPr>
          <w:lang w:val="fr-CH"/>
        </w:rPr>
        <w:t> </w:t>
      </w:r>
      <w:r w:rsidRPr="00ED1DE0">
        <w:rPr>
          <w:lang w:val="fr-CH"/>
        </w:rPr>
        <w:t>: Afrique du Sud, Allemagne, Australie, Autriche, Belgique, Brésil, Canada, Chine, Espagne, États-Unis d’Amérique, Fédération de Russie, Finlande, France, Italie, Japon, Norvège, Pays-Bas, Pologne, République de Corée, Royaume-Uni, Suède et Suisse.</w:t>
      </w:r>
    </w:p>
    <w:p w:rsidR="00ED1DE0" w:rsidRPr="00ED1DE0" w:rsidRDefault="00ED1DE0" w:rsidP="00633201">
      <w:pPr>
        <w:pStyle w:val="SingleTxt"/>
        <w:numPr>
          <w:ilvl w:val="0"/>
          <w:numId w:val="8"/>
        </w:numPr>
        <w:ind w:left="1267" w:firstLine="0"/>
        <w:rPr>
          <w:lang w:val="fr-CH"/>
        </w:rPr>
      </w:pPr>
      <w:r w:rsidRPr="00ED1DE0">
        <w:rPr>
          <w:lang w:val="fr-CH"/>
        </w:rPr>
        <w:t>En vertu de l’article 72 du Règlement intérieur du Conseil économique et social, des observateurs de la Nouvelle Zélande, du Pérou, de la Roumanie, et de la Slovaquie y ont également participé.</w:t>
      </w:r>
    </w:p>
    <w:p w:rsidR="00ED1DE0" w:rsidRPr="00ED1DE0" w:rsidRDefault="00ED1DE0" w:rsidP="00633201">
      <w:pPr>
        <w:pStyle w:val="SingleTxt"/>
        <w:numPr>
          <w:ilvl w:val="0"/>
          <w:numId w:val="8"/>
        </w:numPr>
        <w:ind w:left="1267" w:firstLine="0"/>
        <w:rPr>
          <w:lang w:val="fr-CH"/>
        </w:rPr>
      </w:pPr>
      <w:r w:rsidRPr="00ED1DE0">
        <w:rPr>
          <w:lang w:val="fr-CH"/>
        </w:rPr>
        <w:t>L’Union européenne et l’Organisation intergouvernementale pour les transports internationaux ferroviaires (OTIF) étaient également représentées.</w:t>
      </w:r>
    </w:p>
    <w:p w:rsidR="00ED1DE0" w:rsidRPr="00ED1DE0" w:rsidRDefault="00ED1DE0" w:rsidP="00633201">
      <w:pPr>
        <w:pStyle w:val="SingleTxt"/>
        <w:numPr>
          <w:ilvl w:val="0"/>
          <w:numId w:val="8"/>
        </w:numPr>
        <w:ind w:left="1267" w:firstLine="0"/>
        <w:rPr>
          <w:lang w:val="fr-CH"/>
        </w:rPr>
      </w:pPr>
      <w:r w:rsidRPr="00ED1DE0">
        <w:rPr>
          <w:lang w:val="fr-CH"/>
        </w:rPr>
        <w:t>Des représentants de l’Agence internationale de l’énergie atomique (AIEA), et de l’Organisation maritime internationale (OMI) étaient également présents.</w:t>
      </w:r>
    </w:p>
    <w:p w:rsidR="00ED1DE0" w:rsidRDefault="00ED1DE0" w:rsidP="00633201">
      <w:pPr>
        <w:pStyle w:val="SingleTxt"/>
        <w:numPr>
          <w:ilvl w:val="0"/>
          <w:numId w:val="8"/>
        </w:numPr>
        <w:ind w:left="1267" w:firstLine="0"/>
        <w:rPr>
          <w:lang w:val="fr-CH"/>
        </w:rPr>
      </w:pPr>
      <w:r w:rsidRPr="00ED1DE0">
        <w:rPr>
          <w:lang w:val="fr-CH"/>
        </w:rPr>
        <w:t>Des représentants des organisations non gouvernementales suivantes ont participé aux débats sur des points intéressant leur organisation</w:t>
      </w:r>
      <w:r w:rsidR="00321370">
        <w:rPr>
          <w:lang w:val="fr-CH"/>
        </w:rPr>
        <w:t> </w:t>
      </w:r>
      <w:r w:rsidRPr="00ED1DE0">
        <w:rPr>
          <w:lang w:val="fr-CH"/>
        </w:rPr>
        <w:t xml:space="preserve">: Association du transport aérien international (IATA); Association européenne des gaz de pétrole liquéfiés (AEGPL); Association européenne des fournisseurs de l’automobile (CLEPA); Association européenne des gaz industriels (EIGA); Association of Hazmat Shippers (AHS); Association internationale de la savonnerie, de la détergence et des produits d’entretien (AISE); Australian Explosives Industry Safety Group (AEISG); Compressed Gas Association (CGA); Cosmetics Europe; Council on Safe Transportation of Hazardous Articles (COSTHA); Conseil européen de l’industrie chimique (CEFIC); Conseil international des associations chimiques (ICCA); Conseil international des associations de fabricants de grands récipients pour vrac (ICIBCA); Dangerous Goods Advisory Council (DGAC); Dangerous Goods Trainers Association (DGTA); European Association for </w:t>
      </w:r>
      <w:r w:rsidR="00CB063F">
        <w:rPr>
          <w:lang w:val="fr-CH"/>
        </w:rPr>
        <w:t>A</w:t>
      </w:r>
      <w:r w:rsidRPr="00ED1DE0">
        <w:rPr>
          <w:lang w:val="fr-CH"/>
        </w:rPr>
        <w:t>dvanced Rechargeable Batteries (RECHARGE); European Compliance Organization for Batteries (EUOBAT); European Metal Packaging (EMPAC); Fédération européenne des aérosols (FEA); Grain and Feed Trade Association (GAFTA); Institute of Makers of Explosives (IME); International Bulk Terminals Association (IBTA); International Confederation of Container Reconditioners (ICCR); International Confederation of Drum</w:t>
      </w:r>
      <w:r w:rsidR="00CB063F">
        <w:rPr>
          <w:lang w:val="fr-CH"/>
        </w:rPr>
        <w:t>s</w:t>
      </w:r>
      <w:r w:rsidRPr="00ED1DE0">
        <w:rPr>
          <w:lang w:val="fr-CH"/>
        </w:rPr>
        <w:t xml:space="preserve"> Manufacturers (ICDM); International Confederation of Plastics Packaging Manufacturers (ICPP); International Dangerous Goods and Containers Association (IDGCA); International Fishmeal and Fish Oil Organization (IFFO); International Fibre Drum Institute (IFDI); International Organization for Standardi</w:t>
      </w:r>
      <w:r w:rsidR="00CB063F">
        <w:rPr>
          <w:lang w:val="fr-CH"/>
        </w:rPr>
        <w:t>z</w:t>
      </w:r>
      <w:r w:rsidRPr="00ED1DE0">
        <w:rPr>
          <w:lang w:val="fr-CH"/>
        </w:rPr>
        <w:t>ation (ISO), International Paint and Printing Ink Council (IPPIC), International Vessel Operators Dangerous Goods Association (IVODGA); KiloFarad International (KFI); Portable Rechargeable Battery Association (PRBA); Responsible Packaging Management Association of Southern Africa (RPMASA); Sporting Arms and Ammunition Manufacturers’Institute (SAAMI) et Stainless Steel Container Association (SSCA).</w:t>
      </w:r>
    </w:p>
    <w:p w:rsidR="00321370" w:rsidRPr="00321370" w:rsidRDefault="00321370" w:rsidP="00321370">
      <w:pPr>
        <w:pStyle w:val="SingleTxt"/>
        <w:spacing w:after="0" w:line="120" w:lineRule="exact"/>
        <w:rPr>
          <w:sz w:val="10"/>
          <w:lang w:val="fr-CH"/>
        </w:rPr>
      </w:pPr>
    </w:p>
    <w:p w:rsidR="00321370" w:rsidRPr="00321370" w:rsidRDefault="00321370" w:rsidP="00321370">
      <w:pPr>
        <w:pStyle w:val="SingleTxt"/>
        <w:spacing w:after="0" w:line="120" w:lineRule="exact"/>
        <w:rPr>
          <w:sz w:val="10"/>
          <w:lang w:val="fr-CH"/>
        </w:rPr>
      </w:pPr>
    </w:p>
    <w:p w:rsidR="00ED1DE0" w:rsidRDefault="00ED1DE0" w:rsidP="00AD38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II.</w:t>
      </w:r>
      <w:r w:rsidRPr="00ED1DE0">
        <w:rPr>
          <w:lang w:val="fr-CH"/>
        </w:rPr>
        <w:tab/>
        <w:t xml:space="preserve">Adoption de l’ordre du jour </w:t>
      </w:r>
      <w:r w:rsidR="00321370">
        <w:rPr>
          <w:lang w:val="fr-CH"/>
        </w:rPr>
        <w:br/>
      </w:r>
      <w:r w:rsidRPr="00ED1DE0">
        <w:rPr>
          <w:lang w:val="fr-CH"/>
        </w:rPr>
        <w:t>(</w:t>
      </w:r>
      <w:r w:rsidR="00AA4162">
        <w:rPr>
          <w:lang w:val="fr-CH"/>
        </w:rPr>
        <w:t>p</w:t>
      </w:r>
      <w:r w:rsidRPr="00ED1DE0">
        <w:rPr>
          <w:lang w:val="fr-CH"/>
        </w:rPr>
        <w:t>oint 1 de l’ordre du jour)</w:t>
      </w:r>
    </w:p>
    <w:p w:rsidR="00321370" w:rsidRPr="00321370" w:rsidRDefault="00321370" w:rsidP="00AD3852">
      <w:pPr>
        <w:pStyle w:val="SingleTxt"/>
        <w:keepNext/>
        <w:keepLines/>
        <w:spacing w:after="0" w:line="120" w:lineRule="exact"/>
        <w:rPr>
          <w:sz w:val="10"/>
          <w:lang w:val="fr-CH"/>
        </w:rPr>
      </w:pPr>
    </w:p>
    <w:p w:rsidR="00321370" w:rsidRPr="00321370" w:rsidRDefault="00321370" w:rsidP="00AD3852">
      <w:pPr>
        <w:pStyle w:val="SingleTxt"/>
        <w:keepNext/>
        <w:keepLines/>
        <w:spacing w:after="0" w:line="120" w:lineRule="exact"/>
        <w:rPr>
          <w:sz w:val="10"/>
          <w:lang w:val="fr-CH"/>
        </w:rPr>
      </w:pPr>
    </w:p>
    <w:p w:rsidR="00ED1DE0" w:rsidRPr="00ED1DE0" w:rsidRDefault="00ED1DE0" w:rsidP="00AD3852">
      <w:pPr>
        <w:pStyle w:val="SingleTxt"/>
        <w:keepNext/>
        <w:keepLines/>
        <w:ind w:left="3658" w:hanging="2391"/>
        <w:jc w:val="left"/>
        <w:rPr>
          <w:lang w:val="fr-CH"/>
        </w:rPr>
      </w:pPr>
      <w:r w:rsidRPr="00ED1DE0">
        <w:rPr>
          <w:i/>
          <w:lang w:val="fr-CH"/>
        </w:rPr>
        <w:t>Documents</w:t>
      </w:r>
      <w:r w:rsidR="003A309C">
        <w:rPr>
          <w:i/>
          <w:lang w:val="fr-CH"/>
        </w:rPr>
        <w:t> </w:t>
      </w:r>
      <w:r w:rsidR="003A309C">
        <w:rPr>
          <w:lang w:val="fr-CH"/>
        </w:rPr>
        <w:t>:</w:t>
      </w:r>
      <w:r w:rsidR="003A309C">
        <w:rPr>
          <w:lang w:val="fr-CH"/>
        </w:rPr>
        <w:tab/>
      </w:r>
      <w:r w:rsidR="003A309C">
        <w:rPr>
          <w:lang w:val="fr-CH"/>
        </w:rPr>
        <w:tab/>
      </w:r>
      <w:r w:rsidR="003A309C">
        <w:rPr>
          <w:lang w:val="fr-CH"/>
        </w:rPr>
        <w:tab/>
      </w:r>
      <w:r w:rsidRPr="00ED1DE0">
        <w:rPr>
          <w:lang w:val="fr-CH"/>
        </w:rPr>
        <w:t>ST/SG/AC.10/C.3/93 (Ordre du jour provisoire)</w:t>
      </w:r>
      <w:r w:rsidR="009910F5">
        <w:rPr>
          <w:lang w:val="fr-CH"/>
        </w:rPr>
        <w:t xml:space="preserve">, </w:t>
      </w:r>
      <w:r w:rsidR="009910F5">
        <w:rPr>
          <w:lang w:val="fr-CH"/>
        </w:rPr>
        <w:br/>
      </w:r>
      <w:r w:rsidRPr="00ED1DE0">
        <w:rPr>
          <w:lang w:val="fr-CH"/>
        </w:rPr>
        <w:t>ST/SG/AC.10/C.3/93/Add.1 (Liste des documents)</w:t>
      </w:r>
      <w:r w:rsidR="003A309C">
        <w:rPr>
          <w:lang w:val="fr-CH"/>
        </w:rPr>
        <w:t>.</w:t>
      </w:r>
    </w:p>
    <w:p w:rsidR="00ED1DE0" w:rsidRPr="00ED1DE0" w:rsidRDefault="00ED1DE0" w:rsidP="003A309C">
      <w:pPr>
        <w:pStyle w:val="SingleTxt"/>
        <w:jc w:val="left"/>
        <w:rPr>
          <w:lang w:val="fr-CH"/>
        </w:rPr>
      </w:pPr>
      <w:r w:rsidRPr="00ED1DE0">
        <w:rPr>
          <w:i/>
          <w:lang w:val="fr-CH"/>
        </w:rPr>
        <w:t>Documents informels</w:t>
      </w:r>
      <w:r w:rsidR="003A309C">
        <w:rPr>
          <w:lang w:val="fr-CH"/>
        </w:rPr>
        <w:t> </w:t>
      </w:r>
      <w:r w:rsidRPr="00ED1DE0">
        <w:rPr>
          <w:lang w:val="fr-CH"/>
        </w:rPr>
        <w:t>:</w:t>
      </w:r>
      <w:r w:rsidRPr="00ED1DE0">
        <w:rPr>
          <w:lang w:val="fr-CH"/>
        </w:rPr>
        <w:tab/>
        <w:t>INF.1, INF.2 (Liste des documents)</w:t>
      </w:r>
      <w:r w:rsidR="003A309C">
        <w:rPr>
          <w:lang w:val="fr-CH"/>
        </w:rPr>
        <w:t xml:space="preserve">, </w:t>
      </w:r>
      <w:r w:rsidR="003A309C">
        <w:rPr>
          <w:lang w:val="fr-CH"/>
        </w:rPr>
        <w:br/>
      </w:r>
      <w:r w:rsidR="003A309C">
        <w:rPr>
          <w:lang w:val="fr-CH"/>
        </w:rPr>
        <w:tab/>
      </w:r>
      <w:r w:rsidR="003A309C">
        <w:rPr>
          <w:lang w:val="fr-CH"/>
        </w:rPr>
        <w:tab/>
      </w:r>
      <w:r w:rsidR="003A309C">
        <w:rPr>
          <w:lang w:val="fr-CH"/>
        </w:rPr>
        <w:tab/>
      </w:r>
      <w:r w:rsidR="003A309C">
        <w:rPr>
          <w:lang w:val="fr-CH"/>
        </w:rPr>
        <w:tab/>
      </w:r>
      <w:r w:rsidR="003A309C">
        <w:rPr>
          <w:lang w:val="fr-CH"/>
        </w:rPr>
        <w:tab/>
      </w:r>
      <w:r w:rsidRPr="00ED1DE0">
        <w:rPr>
          <w:lang w:val="fr-CH"/>
        </w:rPr>
        <w:t>INF.15 (Ordre du jour provisoire)</w:t>
      </w:r>
      <w:r w:rsidR="003A309C">
        <w:rPr>
          <w:lang w:val="fr-CH"/>
        </w:rPr>
        <w:t xml:space="preserve">, </w:t>
      </w:r>
      <w:r w:rsidR="003A309C">
        <w:rPr>
          <w:lang w:val="fr-CH"/>
        </w:rPr>
        <w:br/>
      </w:r>
      <w:r w:rsidR="003A309C">
        <w:rPr>
          <w:lang w:val="fr-CH"/>
        </w:rPr>
        <w:tab/>
      </w:r>
      <w:r w:rsidR="003A309C">
        <w:rPr>
          <w:lang w:val="fr-CH"/>
        </w:rPr>
        <w:tab/>
      </w:r>
      <w:r w:rsidR="003A309C">
        <w:rPr>
          <w:lang w:val="fr-CH"/>
        </w:rPr>
        <w:tab/>
      </w:r>
      <w:r w:rsidR="003A309C">
        <w:rPr>
          <w:lang w:val="fr-CH"/>
        </w:rPr>
        <w:tab/>
      </w:r>
      <w:r w:rsidR="003A309C">
        <w:rPr>
          <w:lang w:val="fr-CH"/>
        </w:rPr>
        <w:tab/>
      </w:r>
      <w:r w:rsidRPr="00ED1DE0">
        <w:rPr>
          <w:lang w:val="fr-CH"/>
        </w:rPr>
        <w:t>INF.36 (Réception organisée par les ONG)</w:t>
      </w:r>
      <w:r w:rsidR="00AA4162">
        <w:rPr>
          <w:lang w:val="fr-CH"/>
        </w:rPr>
        <w:t>.</w:t>
      </w:r>
    </w:p>
    <w:p w:rsidR="00ED1DE0" w:rsidRDefault="00ED1DE0" w:rsidP="00633201">
      <w:pPr>
        <w:pStyle w:val="SingleTxt"/>
        <w:numPr>
          <w:ilvl w:val="0"/>
          <w:numId w:val="8"/>
        </w:numPr>
        <w:ind w:left="1267" w:firstLine="0"/>
        <w:rPr>
          <w:lang w:val="fr-CH"/>
        </w:rPr>
      </w:pPr>
      <w:r w:rsidRPr="00ED1DE0">
        <w:rPr>
          <w:lang w:val="fr-CH"/>
        </w:rPr>
        <w:t>Le Sous-Comité a adopté l’ordre du jour provisoire établi par le secrétariat après l’avoir modifié pour tenir compte des documents informels (INF.1 à INF.58).</w:t>
      </w:r>
    </w:p>
    <w:p w:rsidR="00AA4162" w:rsidRPr="00AA4162" w:rsidRDefault="00AA4162" w:rsidP="00AA4162">
      <w:pPr>
        <w:pStyle w:val="SingleTxt"/>
        <w:spacing w:after="0" w:line="120" w:lineRule="exact"/>
        <w:rPr>
          <w:sz w:val="10"/>
          <w:lang w:val="fr-CH"/>
        </w:rPr>
      </w:pPr>
    </w:p>
    <w:p w:rsidR="00AA4162" w:rsidRPr="00AA4162" w:rsidRDefault="00AA4162" w:rsidP="00AA4162">
      <w:pPr>
        <w:pStyle w:val="SingleTxt"/>
        <w:spacing w:after="0" w:line="120" w:lineRule="exact"/>
        <w:rPr>
          <w:sz w:val="10"/>
          <w:lang w:val="fr-CH"/>
        </w:rPr>
      </w:pPr>
    </w:p>
    <w:p w:rsidR="00ED1DE0" w:rsidRDefault="00ED1DE0" w:rsidP="00AA41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III.</w:t>
      </w:r>
      <w:r w:rsidRPr="00ED1DE0">
        <w:rPr>
          <w:lang w:val="fr-CH"/>
        </w:rPr>
        <w:tab/>
        <w:t xml:space="preserve">Explosifs et questions connexes </w:t>
      </w:r>
      <w:r w:rsidR="00AD3852">
        <w:rPr>
          <w:lang w:val="fr-CH"/>
        </w:rPr>
        <w:br/>
      </w:r>
      <w:r w:rsidRPr="00ED1DE0">
        <w:rPr>
          <w:lang w:val="fr-CH"/>
        </w:rPr>
        <w:t>(point 2 de l’ordre du jour)</w:t>
      </w:r>
    </w:p>
    <w:p w:rsidR="00AA4162" w:rsidRPr="00AA4162" w:rsidRDefault="00AA4162" w:rsidP="00AA4162">
      <w:pPr>
        <w:pStyle w:val="SingleTxt"/>
        <w:spacing w:after="0" w:line="120" w:lineRule="exact"/>
        <w:rPr>
          <w:sz w:val="10"/>
          <w:lang w:val="fr-CH"/>
        </w:rPr>
      </w:pPr>
    </w:p>
    <w:p w:rsidR="00AA4162" w:rsidRPr="00AA4162" w:rsidRDefault="00AA4162" w:rsidP="00AA4162">
      <w:pPr>
        <w:pStyle w:val="SingleTxt"/>
        <w:spacing w:after="0" w:line="120" w:lineRule="exact"/>
        <w:rPr>
          <w:sz w:val="10"/>
          <w:lang w:val="fr-CH"/>
        </w:rPr>
      </w:pPr>
    </w:p>
    <w:p w:rsidR="00ED1DE0" w:rsidRDefault="00ED1DE0" w:rsidP="00633201">
      <w:pPr>
        <w:pStyle w:val="SingleTxt"/>
        <w:numPr>
          <w:ilvl w:val="0"/>
          <w:numId w:val="8"/>
        </w:numPr>
        <w:ind w:left="1267" w:firstLine="0"/>
        <w:rPr>
          <w:lang w:val="fr-CH"/>
        </w:rPr>
      </w:pPr>
      <w:r w:rsidRPr="00ED1DE0">
        <w:rPr>
          <w:lang w:val="fr-CH"/>
        </w:rPr>
        <w:t>À la suite d’un examen préliminaire en séance plénière, la plupart des questions relatives à ce point de l’ordre du jour (ainsi que celles concernant le point 10</w:t>
      </w:r>
      <w:r w:rsidR="00AA4162">
        <w:rPr>
          <w:lang w:val="fr-CH"/>
        </w:rPr>
        <w:t> </w:t>
      </w:r>
      <w:r w:rsidRPr="00ED1DE0">
        <w:rPr>
          <w:lang w:val="fr-CH"/>
        </w:rPr>
        <w:t>g)) ont été renvoyées au Groupe de travail des explosifs, qui s’est réuni du 22 au 25</w:t>
      </w:r>
      <w:r w:rsidR="00AA4162">
        <w:rPr>
          <w:lang w:val="fr-CH"/>
        </w:rPr>
        <w:t> </w:t>
      </w:r>
      <w:r w:rsidRPr="00ED1DE0">
        <w:rPr>
          <w:lang w:val="fr-CH"/>
        </w:rPr>
        <w:t>jui</w:t>
      </w:r>
      <w:r w:rsidR="00AA4162">
        <w:rPr>
          <w:lang w:val="fr-CH"/>
        </w:rPr>
        <w:t>n 2015 sous la présidence de M. E. </w:t>
      </w:r>
      <w:r w:rsidRPr="00ED1DE0">
        <w:rPr>
          <w:lang w:val="fr-CH"/>
        </w:rPr>
        <w:t>de Jong (Pays-Bas).</w:t>
      </w:r>
    </w:p>
    <w:p w:rsidR="00AA4162" w:rsidRPr="00AA4162" w:rsidRDefault="00AA4162" w:rsidP="00AA4162">
      <w:pPr>
        <w:pStyle w:val="SingleTxt"/>
        <w:spacing w:after="0" w:line="120" w:lineRule="exact"/>
        <w:rPr>
          <w:sz w:val="10"/>
          <w:lang w:val="fr-CH"/>
        </w:rPr>
      </w:pPr>
    </w:p>
    <w:p w:rsidR="00AA4162" w:rsidRPr="00AA4162" w:rsidRDefault="00AA4162" w:rsidP="00AA4162">
      <w:pPr>
        <w:pStyle w:val="SingleTxt"/>
        <w:spacing w:after="0" w:line="120" w:lineRule="exact"/>
        <w:rPr>
          <w:sz w:val="10"/>
          <w:lang w:val="fr-CH"/>
        </w:rPr>
      </w:pPr>
    </w:p>
    <w:p w:rsidR="00ED1DE0" w:rsidRDefault="00ED1DE0" w:rsidP="00AA41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r>
      <w:r w:rsidRPr="00ED1DE0">
        <w:rPr>
          <w:lang w:val="fr-CH"/>
        </w:rPr>
        <w:tab/>
        <w:t>Rapport du Groupe de travail sur les explosifs</w:t>
      </w:r>
    </w:p>
    <w:p w:rsidR="00AA4162" w:rsidRPr="00AA4162" w:rsidRDefault="00AA4162" w:rsidP="00AA4162">
      <w:pPr>
        <w:pStyle w:val="SingleTxt"/>
        <w:spacing w:after="0" w:line="120" w:lineRule="exact"/>
        <w:rPr>
          <w:sz w:val="10"/>
          <w:lang w:val="fr-CH"/>
        </w:rPr>
      </w:pPr>
    </w:p>
    <w:p w:rsidR="00AA4162" w:rsidRPr="00AA4162" w:rsidRDefault="00AA4162" w:rsidP="00AA4162">
      <w:pPr>
        <w:pStyle w:val="SingleTxt"/>
        <w:spacing w:after="0" w:line="120" w:lineRule="exact"/>
        <w:rPr>
          <w:sz w:val="10"/>
          <w:lang w:val="fr-CH"/>
        </w:rPr>
      </w:pPr>
    </w:p>
    <w:p w:rsidR="00ED1DE0" w:rsidRPr="00ED1DE0" w:rsidRDefault="00ED1DE0" w:rsidP="00ED1DE0">
      <w:pPr>
        <w:pStyle w:val="SingleTxt"/>
        <w:rPr>
          <w:lang w:val="fr-CH"/>
        </w:rPr>
      </w:pPr>
      <w:r w:rsidRPr="00ED1DE0">
        <w:rPr>
          <w:i/>
          <w:lang w:val="fr-CH"/>
        </w:rPr>
        <w:t>Document informel</w:t>
      </w:r>
      <w:r w:rsidR="00AA4162">
        <w:rPr>
          <w:lang w:val="fr-CH"/>
        </w:rPr>
        <w:t> </w:t>
      </w:r>
      <w:r w:rsidRPr="00ED1DE0">
        <w:rPr>
          <w:lang w:val="fr-CH"/>
        </w:rPr>
        <w:t>:</w:t>
      </w:r>
      <w:r w:rsidRPr="00ED1DE0">
        <w:rPr>
          <w:lang w:val="fr-CH"/>
        </w:rPr>
        <w:tab/>
      </w:r>
      <w:r w:rsidRPr="00ED1DE0">
        <w:rPr>
          <w:lang w:val="fr-CH"/>
        </w:rPr>
        <w:tab/>
        <w:t>INF.53</w:t>
      </w:r>
      <w:r w:rsidR="00AA4162">
        <w:rPr>
          <w:lang w:val="fr-CH"/>
        </w:rPr>
        <w:t>.</w:t>
      </w:r>
    </w:p>
    <w:p w:rsidR="00ED1DE0" w:rsidRDefault="00ED1DE0" w:rsidP="00633201">
      <w:pPr>
        <w:pStyle w:val="SingleTxt"/>
        <w:numPr>
          <w:ilvl w:val="0"/>
          <w:numId w:val="8"/>
        </w:numPr>
        <w:ind w:left="1267" w:firstLine="0"/>
        <w:rPr>
          <w:lang w:val="fr-CH"/>
        </w:rPr>
      </w:pPr>
      <w:r w:rsidRPr="00ED1DE0">
        <w:rPr>
          <w:lang w:val="fr-CH"/>
        </w:rPr>
        <w:t>Après avoir examiné le rapport du Groupe de travail, le Sous</w:t>
      </w:r>
      <w:r w:rsidR="00AA4162">
        <w:rPr>
          <w:lang w:val="fr-CH"/>
        </w:rPr>
        <w:t>-</w:t>
      </w:r>
      <w:r w:rsidRPr="00ED1DE0">
        <w:rPr>
          <w:lang w:val="fr-CH"/>
        </w:rPr>
        <w:t>Comité a pris les décisions figurant aux paragraphes 10 à 28 ci-dessous.</w:t>
      </w:r>
    </w:p>
    <w:p w:rsidR="00AA4162" w:rsidRPr="00AA4162" w:rsidRDefault="00AA4162" w:rsidP="00AA4162">
      <w:pPr>
        <w:pStyle w:val="SingleTxt"/>
        <w:spacing w:after="0" w:line="120" w:lineRule="exact"/>
        <w:rPr>
          <w:sz w:val="10"/>
          <w:lang w:val="fr-CH"/>
        </w:rPr>
      </w:pPr>
    </w:p>
    <w:p w:rsidR="00ED1DE0" w:rsidRDefault="00ED1DE0" w:rsidP="00207B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r>
      <w:r w:rsidRPr="00ED1DE0">
        <w:rPr>
          <w:lang w:val="fr-CH"/>
        </w:rPr>
        <w:tab/>
        <w:t>Directives concernant le</w:t>
      </w:r>
      <w:r w:rsidR="00AA4162">
        <w:rPr>
          <w:lang w:val="fr-CH"/>
        </w:rPr>
        <w:t>s méthodes de travail du Groupe</w:t>
      </w:r>
    </w:p>
    <w:p w:rsidR="00AA4162" w:rsidRPr="00AA4162" w:rsidRDefault="00AA4162" w:rsidP="00AA4162">
      <w:pPr>
        <w:pStyle w:val="SingleTxt"/>
        <w:spacing w:after="0" w:line="120" w:lineRule="exact"/>
        <w:rPr>
          <w:sz w:val="10"/>
          <w:lang w:val="fr-CH"/>
        </w:rPr>
      </w:pPr>
    </w:p>
    <w:p w:rsidR="00ED1DE0" w:rsidRPr="00AA4162" w:rsidRDefault="00ED1DE0" w:rsidP="00ED1DE0">
      <w:pPr>
        <w:pStyle w:val="SingleTxt"/>
        <w:rPr>
          <w:spacing w:val="3"/>
          <w:lang w:val="fr-CH"/>
        </w:rPr>
      </w:pPr>
      <w:r w:rsidRPr="00AA4162">
        <w:rPr>
          <w:i/>
          <w:spacing w:val="3"/>
          <w:lang w:val="fr-CH"/>
        </w:rPr>
        <w:t>Document</w:t>
      </w:r>
      <w:r w:rsidR="00AA4162" w:rsidRPr="00AA4162">
        <w:rPr>
          <w:i/>
          <w:spacing w:val="3"/>
          <w:lang w:val="fr-CH"/>
        </w:rPr>
        <w:t> </w:t>
      </w:r>
      <w:r w:rsidR="00AA4162" w:rsidRPr="00AA4162">
        <w:rPr>
          <w:spacing w:val="3"/>
          <w:lang w:val="fr-CH"/>
        </w:rPr>
        <w:t>:</w:t>
      </w:r>
      <w:r w:rsidR="00AA4162" w:rsidRPr="00AA4162">
        <w:rPr>
          <w:spacing w:val="3"/>
          <w:lang w:val="fr-CH"/>
        </w:rPr>
        <w:tab/>
      </w:r>
      <w:r w:rsidR="00AA4162" w:rsidRPr="00AA4162">
        <w:rPr>
          <w:spacing w:val="3"/>
          <w:lang w:val="fr-CH"/>
        </w:rPr>
        <w:tab/>
      </w:r>
      <w:r w:rsidR="00AA4162" w:rsidRPr="00AA4162">
        <w:rPr>
          <w:spacing w:val="3"/>
          <w:lang w:val="fr-CH"/>
        </w:rPr>
        <w:tab/>
      </w:r>
      <w:r w:rsidRPr="00AA4162">
        <w:rPr>
          <w:spacing w:val="3"/>
          <w:lang w:val="fr-CH"/>
        </w:rPr>
        <w:t>ST/SG/AC.10/C.3/2015/1 (Président du Groupe de travail)</w:t>
      </w:r>
      <w:r w:rsidR="00AA4162" w:rsidRPr="00AA4162">
        <w:rPr>
          <w:spacing w:val="3"/>
          <w:lang w:val="fr-CH"/>
        </w:rPr>
        <w:t>.</w:t>
      </w:r>
    </w:p>
    <w:p w:rsidR="00ED1DE0" w:rsidRDefault="00ED1DE0" w:rsidP="00633201">
      <w:pPr>
        <w:pStyle w:val="SingleTxt"/>
        <w:numPr>
          <w:ilvl w:val="0"/>
          <w:numId w:val="8"/>
        </w:numPr>
        <w:ind w:left="1267" w:firstLine="0"/>
        <w:rPr>
          <w:lang w:val="fr-CH"/>
        </w:rPr>
      </w:pPr>
      <w:r w:rsidRPr="00ED1DE0">
        <w:rPr>
          <w:lang w:val="fr-CH"/>
        </w:rPr>
        <w:t>Le Sous-Comité a noté que le Groupe de travail avait accepté d’essayer de travailler dans le cadre des directives proposées par le Président.</w:t>
      </w:r>
    </w:p>
    <w:p w:rsidR="00AA4162" w:rsidRPr="00AA4162" w:rsidRDefault="00AA4162" w:rsidP="00AA4162">
      <w:pPr>
        <w:pStyle w:val="SingleTxt"/>
        <w:spacing w:after="0" w:line="120" w:lineRule="exact"/>
        <w:rPr>
          <w:sz w:val="10"/>
          <w:lang w:val="fr-CH"/>
        </w:rPr>
      </w:pPr>
    </w:p>
    <w:p w:rsidR="00AA4162" w:rsidRPr="00AA4162" w:rsidRDefault="00AA4162" w:rsidP="00AA4162">
      <w:pPr>
        <w:pStyle w:val="SingleTxt"/>
        <w:spacing w:after="0" w:line="120" w:lineRule="exact"/>
        <w:rPr>
          <w:sz w:val="10"/>
          <w:lang w:val="fr-CH"/>
        </w:rPr>
      </w:pPr>
    </w:p>
    <w:p w:rsidR="00ED1DE0" w:rsidRDefault="00ED1DE0" w:rsidP="00AA41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A.</w:t>
      </w:r>
      <w:r w:rsidRPr="00ED1DE0">
        <w:rPr>
          <w:lang w:val="fr-CH"/>
        </w:rPr>
        <w:tab/>
        <w:t>Essais et critères pour les compositions éclair</w:t>
      </w:r>
    </w:p>
    <w:p w:rsidR="00AA4162" w:rsidRPr="00AA4162" w:rsidRDefault="00AA4162" w:rsidP="00AA4162">
      <w:pPr>
        <w:pStyle w:val="SingleTxt"/>
        <w:spacing w:after="0" w:line="120" w:lineRule="exact"/>
        <w:rPr>
          <w:sz w:val="10"/>
          <w:lang w:val="fr-CH"/>
        </w:rPr>
      </w:pPr>
    </w:p>
    <w:p w:rsidR="00AA4162" w:rsidRPr="00AA4162" w:rsidRDefault="00AA4162" w:rsidP="00AA4162">
      <w:pPr>
        <w:pStyle w:val="SingleTxt"/>
        <w:spacing w:after="0" w:line="120" w:lineRule="exact"/>
        <w:rPr>
          <w:sz w:val="10"/>
          <w:lang w:val="fr-CH"/>
        </w:rPr>
      </w:pPr>
    </w:p>
    <w:p w:rsidR="00ED1DE0" w:rsidRDefault="00ED1DE0" w:rsidP="00AA41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r>
      <w:r w:rsidRPr="00ED1DE0">
        <w:rPr>
          <w:lang w:val="fr-CH"/>
        </w:rPr>
        <w:tab/>
        <w:t>Efficacité des bouchons mo</w:t>
      </w:r>
      <w:r w:rsidR="00AA4162">
        <w:rPr>
          <w:lang w:val="fr-CH"/>
        </w:rPr>
        <w:t>difiés des États-Unis et du HSL</w:t>
      </w:r>
    </w:p>
    <w:p w:rsidR="00AA4162" w:rsidRPr="00AA4162" w:rsidRDefault="00AA4162" w:rsidP="00AA4162">
      <w:pPr>
        <w:pStyle w:val="SingleTxt"/>
        <w:spacing w:after="0" w:line="120" w:lineRule="exact"/>
        <w:rPr>
          <w:sz w:val="10"/>
          <w:lang w:val="fr-CH"/>
        </w:rPr>
      </w:pPr>
    </w:p>
    <w:p w:rsidR="00ED1DE0" w:rsidRPr="00ED1DE0" w:rsidRDefault="00ED1DE0" w:rsidP="00AA4162">
      <w:pPr>
        <w:pStyle w:val="SingleTxt"/>
        <w:jc w:val="left"/>
        <w:rPr>
          <w:iCs/>
          <w:lang w:val="fr-CH"/>
        </w:rPr>
      </w:pPr>
      <w:r w:rsidRPr="00ED1DE0">
        <w:rPr>
          <w:i/>
          <w:lang w:val="fr-CH"/>
        </w:rPr>
        <w:t>Documents</w:t>
      </w:r>
      <w:r w:rsidR="00AA4162">
        <w:rPr>
          <w:i/>
          <w:lang w:val="fr-CH"/>
        </w:rPr>
        <w:t> </w:t>
      </w:r>
      <w:r w:rsidRPr="00ED1DE0">
        <w:rPr>
          <w:i/>
          <w:lang w:val="fr-CH"/>
        </w:rPr>
        <w:t>:</w:t>
      </w:r>
      <w:r w:rsidRPr="00ED1DE0">
        <w:rPr>
          <w:i/>
          <w:lang w:val="fr-CH"/>
        </w:rPr>
        <w:tab/>
      </w:r>
      <w:r w:rsidRPr="00ED1DE0">
        <w:rPr>
          <w:i/>
          <w:lang w:val="fr-CH"/>
        </w:rPr>
        <w:tab/>
      </w:r>
      <w:r w:rsidRPr="00ED1DE0">
        <w:rPr>
          <w:i/>
          <w:lang w:val="fr-CH"/>
        </w:rPr>
        <w:tab/>
      </w:r>
      <w:r w:rsidRPr="00AA4162">
        <w:rPr>
          <w:lang w:val="fr-CH"/>
        </w:rPr>
        <w:t>ST/SG/AC.10/C.3/2014/72</w:t>
      </w:r>
      <w:r w:rsidRPr="00ED1DE0">
        <w:rPr>
          <w:lang w:val="fr-CH"/>
        </w:rPr>
        <w:t xml:space="preserve"> (Japon)</w:t>
      </w:r>
      <w:r w:rsidR="00AA4162">
        <w:rPr>
          <w:lang w:val="fr-CH"/>
        </w:rPr>
        <w:t>,</w:t>
      </w:r>
      <w:r w:rsidRPr="00ED1DE0">
        <w:rPr>
          <w:lang w:val="fr-CH"/>
        </w:rPr>
        <w:t xml:space="preserve"> </w:t>
      </w:r>
      <w:r w:rsidR="00AA4162">
        <w:rPr>
          <w:lang w:val="fr-CH"/>
        </w:rPr>
        <w:br/>
      </w:r>
      <w:r w:rsidR="00AA4162">
        <w:rPr>
          <w:lang w:val="fr-CH"/>
        </w:rPr>
        <w:tab/>
      </w:r>
      <w:r w:rsidR="00AA4162">
        <w:rPr>
          <w:lang w:val="fr-CH"/>
        </w:rPr>
        <w:tab/>
      </w:r>
      <w:r w:rsidR="00AA4162">
        <w:rPr>
          <w:lang w:val="fr-CH"/>
        </w:rPr>
        <w:tab/>
      </w:r>
      <w:r w:rsidR="00AA4162">
        <w:rPr>
          <w:lang w:val="fr-CH"/>
        </w:rPr>
        <w:tab/>
      </w:r>
      <w:r w:rsidRPr="00ED1DE0">
        <w:rPr>
          <w:lang w:val="fr-CH"/>
        </w:rPr>
        <w:tab/>
      </w:r>
      <w:r w:rsidRPr="00AA4162">
        <w:rPr>
          <w:lang w:val="fr-CH"/>
        </w:rPr>
        <w:t>ST/SG/AC.10/C.3/2015/12</w:t>
      </w:r>
      <w:r w:rsidRPr="00ED1DE0">
        <w:rPr>
          <w:i/>
          <w:iCs/>
          <w:lang w:val="fr-CH"/>
        </w:rPr>
        <w:t xml:space="preserve"> </w:t>
      </w:r>
      <w:r w:rsidRPr="00ED1DE0">
        <w:rPr>
          <w:iCs/>
          <w:lang w:val="fr-CH"/>
        </w:rPr>
        <w:t>(Royaume-Uni)</w:t>
      </w:r>
      <w:r w:rsidR="00AA4162">
        <w:rPr>
          <w:iCs/>
          <w:lang w:val="fr-CH"/>
        </w:rPr>
        <w:t>.</w:t>
      </w:r>
    </w:p>
    <w:p w:rsidR="00ED1DE0" w:rsidRPr="00ED1DE0" w:rsidRDefault="00ED1DE0" w:rsidP="00ED1DE0">
      <w:pPr>
        <w:pStyle w:val="SingleTxt"/>
        <w:rPr>
          <w:iCs/>
          <w:lang w:val="fr-CH"/>
        </w:rPr>
      </w:pPr>
      <w:r w:rsidRPr="00ED1DE0">
        <w:rPr>
          <w:i/>
          <w:lang w:val="fr-CH"/>
        </w:rPr>
        <w:t>Document informel</w:t>
      </w:r>
      <w:r w:rsidR="00AA4162">
        <w:rPr>
          <w:i/>
          <w:lang w:val="fr-CH"/>
        </w:rPr>
        <w:t> </w:t>
      </w:r>
      <w:r w:rsidRPr="00ED1DE0">
        <w:rPr>
          <w:i/>
          <w:lang w:val="fr-CH"/>
        </w:rPr>
        <w:t>:</w:t>
      </w:r>
      <w:r w:rsidRPr="00ED1DE0">
        <w:rPr>
          <w:i/>
          <w:lang w:val="fr-CH"/>
        </w:rPr>
        <w:tab/>
      </w:r>
      <w:r w:rsidRPr="00ED1DE0">
        <w:rPr>
          <w:i/>
          <w:lang w:val="fr-CH"/>
        </w:rPr>
        <w:tab/>
      </w:r>
      <w:r w:rsidRPr="00AA4162">
        <w:rPr>
          <w:lang w:val="fr-CH"/>
        </w:rPr>
        <w:t>INF.28</w:t>
      </w:r>
      <w:r w:rsidRPr="00ED1DE0">
        <w:rPr>
          <w:i/>
          <w:iCs/>
          <w:lang w:val="fr-CH"/>
        </w:rPr>
        <w:t xml:space="preserve"> </w:t>
      </w:r>
      <w:r w:rsidRPr="00ED1DE0">
        <w:rPr>
          <w:iCs/>
          <w:lang w:val="fr-CH"/>
        </w:rPr>
        <w:t>(Japon)</w:t>
      </w:r>
      <w:r w:rsidR="00AA4162">
        <w:rPr>
          <w:iCs/>
          <w:lang w:val="fr-CH"/>
        </w:rPr>
        <w:t>.</w:t>
      </w:r>
    </w:p>
    <w:p w:rsidR="00ED1DE0" w:rsidRDefault="00ED1DE0" w:rsidP="00633201">
      <w:pPr>
        <w:pStyle w:val="SingleTxt"/>
        <w:numPr>
          <w:ilvl w:val="0"/>
          <w:numId w:val="8"/>
        </w:numPr>
        <w:ind w:left="1267" w:firstLine="0"/>
        <w:rPr>
          <w:lang w:val="fr-CH"/>
        </w:rPr>
      </w:pPr>
      <w:r w:rsidRPr="00ED1DE0">
        <w:rPr>
          <w:lang w:val="fr-CH"/>
        </w:rPr>
        <w:t xml:space="preserve">Le Sous-Comité a noté que le Groupe de travail avait appuyé les modifications proposées dans le document INF.28. Il a accepté que l’expert du Japon soumette une proposition officielle </w:t>
      </w:r>
      <w:r w:rsidR="00AA4162">
        <w:rPr>
          <w:lang w:val="fr-CH"/>
        </w:rPr>
        <w:t xml:space="preserve">à la quarante-huitième session </w:t>
      </w:r>
      <w:r w:rsidRPr="00ED1DE0">
        <w:rPr>
          <w:lang w:val="fr-CH"/>
        </w:rPr>
        <w:t>et que celui du Royaume-Uni établisse une proposition officielle en vue de l’adoption du modèle de bouchon modifié tout en poursuivant l’étude de l</w:t>
      </w:r>
      <w:r w:rsidR="00AA4162">
        <w:rPr>
          <w:lang w:val="fr-CH"/>
        </w:rPr>
        <w:t>a question de la variabilité.</w:t>
      </w:r>
    </w:p>
    <w:p w:rsidR="00AA4162" w:rsidRPr="00AA4162" w:rsidRDefault="00AA4162" w:rsidP="00AA4162">
      <w:pPr>
        <w:pStyle w:val="SingleTxt"/>
        <w:spacing w:after="0" w:line="120" w:lineRule="exact"/>
        <w:rPr>
          <w:sz w:val="10"/>
          <w:lang w:val="fr-CH"/>
        </w:rPr>
      </w:pPr>
    </w:p>
    <w:p w:rsidR="00AA4162" w:rsidRPr="00AA4162" w:rsidRDefault="00AA4162" w:rsidP="00AA4162">
      <w:pPr>
        <w:pStyle w:val="SingleTxt"/>
        <w:spacing w:after="0" w:line="120" w:lineRule="exact"/>
        <w:rPr>
          <w:sz w:val="10"/>
          <w:lang w:val="fr-CH"/>
        </w:rPr>
      </w:pPr>
    </w:p>
    <w:p w:rsidR="00ED1DE0" w:rsidRDefault="00AA4162" w:rsidP="00AD385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B.</w:t>
      </w:r>
      <w:r>
        <w:rPr>
          <w:lang w:val="fr-CH"/>
        </w:rPr>
        <w:tab/>
        <w:t>Examen des épreuves de</w:t>
      </w:r>
      <w:r w:rsidR="00ED1DE0" w:rsidRPr="00ED1DE0">
        <w:rPr>
          <w:lang w:val="fr-CH"/>
        </w:rPr>
        <w:t xml:space="preserve"> la série 6</w:t>
      </w:r>
    </w:p>
    <w:p w:rsidR="00AA4162" w:rsidRPr="00AA4162" w:rsidRDefault="00AA4162" w:rsidP="00AD3852">
      <w:pPr>
        <w:pStyle w:val="SingleTxt"/>
        <w:keepNext/>
        <w:keepLines/>
        <w:spacing w:after="0" w:line="120" w:lineRule="exact"/>
        <w:rPr>
          <w:sz w:val="10"/>
          <w:lang w:val="fr-CH"/>
        </w:rPr>
      </w:pPr>
    </w:p>
    <w:p w:rsidR="00AA4162" w:rsidRPr="00AA4162" w:rsidRDefault="00AA4162" w:rsidP="00AD3852">
      <w:pPr>
        <w:pStyle w:val="SingleTxt"/>
        <w:keepNext/>
        <w:keepLines/>
        <w:spacing w:after="0" w:line="120" w:lineRule="exact"/>
        <w:rPr>
          <w:sz w:val="10"/>
          <w:lang w:val="fr-CH"/>
        </w:rPr>
      </w:pPr>
    </w:p>
    <w:p w:rsidR="00ED1DE0" w:rsidRDefault="00ED1DE0" w:rsidP="00AD38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r>
      <w:r w:rsidRPr="00ED1DE0">
        <w:rPr>
          <w:lang w:val="fr-CH"/>
        </w:rPr>
        <w:tab/>
        <w:t>Recommandations visant à améliorer les épreuves de la série 6</w:t>
      </w:r>
    </w:p>
    <w:p w:rsidR="00AA4162" w:rsidRPr="00AA4162" w:rsidRDefault="00AA4162" w:rsidP="00AD3852">
      <w:pPr>
        <w:pStyle w:val="SingleTxt"/>
        <w:keepNext/>
        <w:keepLines/>
        <w:spacing w:after="0" w:line="120" w:lineRule="exact"/>
        <w:rPr>
          <w:sz w:val="10"/>
          <w:lang w:val="fr-CH"/>
        </w:rPr>
      </w:pPr>
    </w:p>
    <w:p w:rsidR="00ED1DE0" w:rsidRPr="00ED1DE0" w:rsidRDefault="00ED1DE0" w:rsidP="00AD3852">
      <w:pPr>
        <w:pStyle w:val="SingleTxt"/>
        <w:keepNext/>
        <w:keepLines/>
        <w:rPr>
          <w:lang w:val="fr-CH"/>
        </w:rPr>
      </w:pPr>
      <w:r w:rsidRPr="00ED1DE0">
        <w:rPr>
          <w:i/>
          <w:lang w:val="fr-CH"/>
        </w:rPr>
        <w:t>Document informel</w:t>
      </w:r>
      <w:r w:rsidR="00AA4162">
        <w:rPr>
          <w:i/>
          <w:lang w:val="fr-CH"/>
        </w:rPr>
        <w:t> </w:t>
      </w:r>
      <w:r w:rsidRPr="00ED1DE0">
        <w:rPr>
          <w:lang w:val="fr-CH"/>
        </w:rPr>
        <w:t>:</w:t>
      </w:r>
      <w:r w:rsidRPr="00ED1DE0">
        <w:rPr>
          <w:lang w:val="fr-CH"/>
        </w:rPr>
        <w:tab/>
      </w:r>
      <w:r w:rsidRPr="00ED1DE0">
        <w:rPr>
          <w:lang w:val="fr-CH"/>
        </w:rPr>
        <w:tab/>
        <w:t>INF.10 (IME)</w:t>
      </w:r>
      <w:r w:rsidR="00AA4162">
        <w:rPr>
          <w:lang w:val="fr-CH"/>
        </w:rPr>
        <w:t>.</w:t>
      </w:r>
    </w:p>
    <w:p w:rsidR="00ED1DE0" w:rsidRDefault="00ED1DE0" w:rsidP="00633201">
      <w:pPr>
        <w:pStyle w:val="SingleTxt"/>
        <w:numPr>
          <w:ilvl w:val="0"/>
          <w:numId w:val="8"/>
        </w:numPr>
        <w:ind w:left="1267" w:firstLine="0"/>
        <w:rPr>
          <w:lang w:val="fr-CH"/>
        </w:rPr>
      </w:pPr>
      <w:r w:rsidRPr="00ED1DE0">
        <w:rPr>
          <w:lang w:val="fr-CH"/>
        </w:rPr>
        <w:t>Le Sous-Comité a accepté que le Groupe de travail revoie la liste fournie par l’IME lors de la quarante-huitième session et que le travail consacré à l’examen de la série</w:t>
      </w:r>
      <w:r w:rsidR="00AA4162">
        <w:rPr>
          <w:lang w:val="fr-CH"/>
        </w:rPr>
        <w:t> </w:t>
      </w:r>
      <w:r w:rsidRPr="00ED1DE0">
        <w:rPr>
          <w:lang w:val="fr-CH"/>
        </w:rPr>
        <w:t>6 d’essais se poursuive comme indiqué au paragraphe 5 du rapport du Groupe de travail (INF.53).</w:t>
      </w:r>
    </w:p>
    <w:p w:rsidR="00AA4162" w:rsidRPr="00AA4162" w:rsidRDefault="00AA4162" w:rsidP="00AA4162">
      <w:pPr>
        <w:pStyle w:val="SingleTxt"/>
        <w:spacing w:after="0" w:line="120" w:lineRule="exact"/>
        <w:rPr>
          <w:sz w:val="10"/>
          <w:lang w:val="fr-CH"/>
        </w:rPr>
      </w:pPr>
    </w:p>
    <w:p w:rsidR="00AA4162" w:rsidRPr="00AA4162" w:rsidRDefault="00AA4162" w:rsidP="00AA4162">
      <w:pPr>
        <w:pStyle w:val="SingleTxt"/>
        <w:spacing w:after="0" w:line="120" w:lineRule="exact"/>
        <w:rPr>
          <w:sz w:val="10"/>
          <w:lang w:val="fr-CH"/>
        </w:rPr>
      </w:pPr>
    </w:p>
    <w:p w:rsidR="00ED1DE0" w:rsidRDefault="00ED1DE0" w:rsidP="00AA41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C.</w:t>
      </w:r>
      <w:r w:rsidRPr="00ED1DE0">
        <w:rPr>
          <w:lang w:val="fr-CH"/>
        </w:rPr>
        <w:tab/>
        <w:t xml:space="preserve">Examen des épreuves dans les première et deuxième parties </w:t>
      </w:r>
      <w:r w:rsidR="00AA4162">
        <w:rPr>
          <w:lang w:val="fr-CH"/>
        </w:rPr>
        <w:br/>
      </w:r>
      <w:r w:rsidRPr="00ED1DE0">
        <w:rPr>
          <w:lang w:val="fr-CH"/>
        </w:rPr>
        <w:t>du Manuel d’épreuves et de critères</w:t>
      </w:r>
    </w:p>
    <w:p w:rsidR="00AA4162" w:rsidRPr="00AA4162" w:rsidRDefault="00AA4162" w:rsidP="00AA4162">
      <w:pPr>
        <w:pStyle w:val="SingleTxt"/>
        <w:spacing w:after="0" w:line="120" w:lineRule="exact"/>
        <w:rPr>
          <w:sz w:val="10"/>
          <w:lang w:val="fr-CH"/>
        </w:rPr>
      </w:pPr>
    </w:p>
    <w:p w:rsidR="00AA4162" w:rsidRPr="00AA4162" w:rsidRDefault="00AA4162" w:rsidP="00AA4162">
      <w:pPr>
        <w:pStyle w:val="SingleTxt"/>
        <w:spacing w:after="0" w:line="120" w:lineRule="exact"/>
        <w:rPr>
          <w:sz w:val="10"/>
          <w:lang w:val="fr-CH"/>
        </w:rPr>
      </w:pPr>
    </w:p>
    <w:p w:rsidR="00ED1DE0" w:rsidRDefault="00ED1DE0" w:rsidP="00AA41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1.</w:t>
      </w:r>
      <w:r w:rsidRPr="00ED1DE0">
        <w:rPr>
          <w:lang w:val="fr-CH"/>
        </w:rPr>
        <w:tab/>
        <w:t>Épreuve de Koenen</w:t>
      </w:r>
    </w:p>
    <w:p w:rsidR="00AA4162" w:rsidRPr="00AA4162" w:rsidRDefault="00AA4162" w:rsidP="00AA4162">
      <w:pPr>
        <w:pStyle w:val="SingleTxt"/>
        <w:spacing w:after="0" w:line="120" w:lineRule="exact"/>
        <w:rPr>
          <w:sz w:val="10"/>
          <w:lang w:val="fr-CH"/>
        </w:rPr>
      </w:pPr>
    </w:p>
    <w:p w:rsidR="00ED1DE0" w:rsidRPr="00ED1DE0" w:rsidRDefault="00ED1DE0" w:rsidP="00AA4162">
      <w:pPr>
        <w:pStyle w:val="SingleTxt"/>
        <w:jc w:val="left"/>
        <w:rPr>
          <w:i/>
          <w:iCs/>
          <w:lang w:val="fr-CH"/>
        </w:rPr>
      </w:pPr>
      <w:r w:rsidRPr="00ED1DE0">
        <w:rPr>
          <w:i/>
          <w:lang w:val="fr-CH"/>
        </w:rPr>
        <w:t>Documents</w:t>
      </w:r>
      <w:r w:rsidR="00AA4162">
        <w:rPr>
          <w:i/>
          <w:lang w:val="fr-CH"/>
        </w:rPr>
        <w:t> </w:t>
      </w:r>
      <w:r w:rsidRPr="00AA4162">
        <w:rPr>
          <w:lang w:val="fr-CH"/>
        </w:rPr>
        <w:t>:</w:t>
      </w:r>
      <w:r w:rsidRPr="00ED1DE0">
        <w:rPr>
          <w:i/>
          <w:lang w:val="fr-CH"/>
        </w:rPr>
        <w:tab/>
      </w:r>
      <w:r w:rsidRPr="00ED1DE0">
        <w:rPr>
          <w:i/>
          <w:lang w:val="fr-CH"/>
        </w:rPr>
        <w:tab/>
      </w:r>
      <w:r w:rsidRPr="00ED1DE0">
        <w:rPr>
          <w:i/>
          <w:lang w:val="fr-CH"/>
        </w:rPr>
        <w:tab/>
      </w:r>
      <w:r w:rsidRPr="00AA4162">
        <w:rPr>
          <w:lang w:val="fr-CH"/>
        </w:rPr>
        <w:t>ST/SG/AC.10/C.3/2015/2</w:t>
      </w:r>
      <w:r w:rsidRPr="00ED1DE0">
        <w:rPr>
          <w:i/>
          <w:iCs/>
          <w:lang w:val="fr-CH"/>
        </w:rPr>
        <w:t xml:space="preserve"> </w:t>
      </w:r>
      <w:r w:rsidRPr="00ED1DE0">
        <w:rPr>
          <w:iCs/>
          <w:lang w:val="fr-CH"/>
        </w:rPr>
        <w:t>(IME et AEISG)</w:t>
      </w:r>
      <w:r w:rsidR="00AA4162">
        <w:rPr>
          <w:iCs/>
          <w:lang w:val="fr-CH"/>
        </w:rPr>
        <w:t>,</w:t>
      </w:r>
      <w:r w:rsidRPr="00ED1DE0">
        <w:rPr>
          <w:i/>
          <w:iCs/>
          <w:lang w:val="fr-CH"/>
        </w:rPr>
        <w:t xml:space="preserve"> </w:t>
      </w:r>
      <w:r w:rsidRPr="00ED1DE0">
        <w:rPr>
          <w:i/>
          <w:iCs/>
          <w:lang w:val="fr-CH"/>
        </w:rPr>
        <w:br/>
      </w:r>
      <w:r w:rsidRPr="00ED1DE0">
        <w:rPr>
          <w:lang w:val="fr-CH"/>
        </w:rPr>
        <w:tab/>
      </w:r>
      <w:r w:rsidRPr="00ED1DE0">
        <w:rPr>
          <w:lang w:val="fr-CH"/>
        </w:rPr>
        <w:tab/>
      </w:r>
      <w:r w:rsidRPr="00ED1DE0">
        <w:rPr>
          <w:lang w:val="fr-CH"/>
        </w:rPr>
        <w:tab/>
      </w:r>
      <w:r w:rsidRPr="00ED1DE0">
        <w:rPr>
          <w:lang w:val="fr-CH"/>
        </w:rPr>
        <w:tab/>
      </w:r>
      <w:r w:rsidRPr="00ED1DE0">
        <w:rPr>
          <w:lang w:val="fr-CH"/>
        </w:rPr>
        <w:tab/>
      </w:r>
      <w:r w:rsidRPr="00AA4162">
        <w:rPr>
          <w:lang w:val="fr-CH"/>
        </w:rPr>
        <w:t>ST/SG/AC.10/C.3/2015/4</w:t>
      </w:r>
      <w:r w:rsidRPr="00ED1DE0">
        <w:rPr>
          <w:i/>
          <w:iCs/>
          <w:lang w:val="fr-CH"/>
        </w:rPr>
        <w:t xml:space="preserve"> </w:t>
      </w:r>
      <w:r w:rsidRPr="00ED1DE0">
        <w:rPr>
          <w:iCs/>
          <w:lang w:val="fr-CH"/>
        </w:rPr>
        <w:t>(Allemagne)</w:t>
      </w:r>
      <w:r w:rsidR="00AA4162">
        <w:rPr>
          <w:iCs/>
          <w:lang w:val="fr-CH"/>
        </w:rPr>
        <w:t>.</w:t>
      </w:r>
    </w:p>
    <w:p w:rsidR="00ED1DE0" w:rsidRPr="00ED1DE0" w:rsidRDefault="00ED1DE0" w:rsidP="00AA4162">
      <w:pPr>
        <w:pStyle w:val="SingleTxt"/>
        <w:jc w:val="left"/>
        <w:rPr>
          <w:i/>
          <w:iCs/>
          <w:lang w:val="fr-CH"/>
        </w:rPr>
      </w:pPr>
      <w:r w:rsidRPr="00ED1DE0">
        <w:rPr>
          <w:i/>
          <w:lang w:val="fr-CH"/>
        </w:rPr>
        <w:t>Documents informels</w:t>
      </w:r>
      <w:r w:rsidR="00AA4162">
        <w:rPr>
          <w:i/>
          <w:lang w:val="fr-CH"/>
        </w:rPr>
        <w:t> </w:t>
      </w:r>
      <w:r w:rsidRPr="00AA4162">
        <w:rPr>
          <w:lang w:val="fr-CH"/>
        </w:rPr>
        <w:t xml:space="preserve">: </w:t>
      </w:r>
      <w:r w:rsidRPr="00ED1DE0">
        <w:rPr>
          <w:i/>
          <w:lang w:val="fr-CH"/>
        </w:rPr>
        <w:tab/>
      </w:r>
      <w:r w:rsidRPr="00AA4162">
        <w:rPr>
          <w:lang w:val="fr-CH"/>
        </w:rPr>
        <w:t>INF.3</w:t>
      </w:r>
      <w:r w:rsidRPr="00ED1DE0">
        <w:rPr>
          <w:i/>
          <w:iCs/>
          <w:lang w:val="fr-CH"/>
        </w:rPr>
        <w:t xml:space="preserve"> </w:t>
      </w:r>
      <w:r w:rsidRPr="00ED1DE0">
        <w:rPr>
          <w:iCs/>
          <w:lang w:val="fr-CH"/>
        </w:rPr>
        <w:t>(IME et AEISG)</w:t>
      </w:r>
      <w:r w:rsidR="00AA4162">
        <w:rPr>
          <w:iCs/>
          <w:lang w:val="fr-CH"/>
        </w:rPr>
        <w:t xml:space="preserve">, </w:t>
      </w:r>
      <w:r w:rsidR="00AA4162">
        <w:rPr>
          <w:iCs/>
          <w:lang w:val="fr-CH"/>
        </w:rPr>
        <w:br/>
      </w:r>
      <w:r w:rsidR="00AA4162">
        <w:rPr>
          <w:lang w:val="fr-CH"/>
        </w:rPr>
        <w:tab/>
      </w:r>
      <w:r w:rsidR="00AA4162">
        <w:rPr>
          <w:lang w:val="fr-CH"/>
        </w:rPr>
        <w:tab/>
      </w:r>
      <w:r w:rsidR="00AA4162">
        <w:rPr>
          <w:lang w:val="fr-CH"/>
        </w:rPr>
        <w:tab/>
      </w:r>
      <w:r w:rsidR="00AA4162">
        <w:rPr>
          <w:lang w:val="fr-CH"/>
        </w:rPr>
        <w:tab/>
      </w:r>
      <w:r w:rsidR="00AA4162">
        <w:rPr>
          <w:lang w:val="fr-CH"/>
        </w:rPr>
        <w:tab/>
      </w:r>
      <w:r w:rsidRPr="00AA4162">
        <w:rPr>
          <w:lang w:val="fr-CH"/>
        </w:rPr>
        <w:t>INF.40</w:t>
      </w:r>
      <w:r w:rsidRPr="00ED1DE0">
        <w:rPr>
          <w:i/>
          <w:iCs/>
          <w:lang w:val="fr-CH"/>
        </w:rPr>
        <w:t xml:space="preserve"> </w:t>
      </w:r>
      <w:r w:rsidRPr="00ED1DE0">
        <w:rPr>
          <w:iCs/>
          <w:lang w:val="fr-CH"/>
        </w:rPr>
        <w:t>(France)</w:t>
      </w:r>
      <w:r w:rsidR="00AA4162">
        <w:rPr>
          <w:iCs/>
          <w:lang w:val="fr-CH"/>
        </w:rPr>
        <w:t>.</w:t>
      </w:r>
    </w:p>
    <w:p w:rsidR="00ED1DE0" w:rsidRDefault="00ED1DE0" w:rsidP="00633201">
      <w:pPr>
        <w:pStyle w:val="SingleTxt"/>
        <w:numPr>
          <w:ilvl w:val="0"/>
          <w:numId w:val="8"/>
        </w:numPr>
        <w:ind w:left="1267" w:firstLine="0"/>
        <w:rPr>
          <w:lang w:val="fr-CH"/>
        </w:rPr>
      </w:pPr>
      <w:r w:rsidRPr="00ED1DE0">
        <w:rPr>
          <w:lang w:val="fr-CH"/>
        </w:rPr>
        <w:t xml:space="preserve">Le Sous-Comité a accepté que l’IME et l’AEISG tiennent compte des observations du Groupe de travail et établissent une proposition révisée pour une future session. Il a noté que l’expert de l’Allemagne poursuivrait ses recherches sur des matériaux de remplacement de l’acier des douilles et que celui de la France continuerait à chercher un remplaçant adéquat pour le phtalate de dibutyle en tenant compte de la capacité calorifique en tant que partie </w:t>
      </w:r>
      <w:r w:rsidR="00AA4162">
        <w:rPr>
          <w:lang w:val="fr-CH"/>
        </w:rPr>
        <w:t>intégrante des spécifications.</w:t>
      </w:r>
    </w:p>
    <w:p w:rsidR="00AA4162" w:rsidRPr="00AA4162" w:rsidRDefault="00AA4162" w:rsidP="00AA4162">
      <w:pPr>
        <w:pStyle w:val="SingleTxt"/>
        <w:spacing w:after="0" w:line="120" w:lineRule="exact"/>
        <w:rPr>
          <w:sz w:val="10"/>
          <w:lang w:val="fr-CH"/>
        </w:rPr>
      </w:pPr>
    </w:p>
    <w:p w:rsidR="00ED1DE0" w:rsidRDefault="00ED1DE0" w:rsidP="00AA41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2.</w:t>
      </w:r>
      <w:r w:rsidRPr="00ED1DE0">
        <w:rPr>
          <w:lang w:val="fr-CH"/>
        </w:rPr>
        <w:tab/>
        <w:t>Détonateur normalisé de l’ONU</w:t>
      </w:r>
    </w:p>
    <w:p w:rsidR="00AA4162" w:rsidRPr="00AA4162" w:rsidRDefault="00AA4162" w:rsidP="00AA4162">
      <w:pPr>
        <w:pStyle w:val="SingleTxt"/>
        <w:spacing w:after="0" w:line="120" w:lineRule="exact"/>
        <w:rPr>
          <w:sz w:val="10"/>
          <w:lang w:val="fr-CH"/>
        </w:rPr>
      </w:pPr>
    </w:p>
    <w:p w:rsidR="00ED1DE0" w:rsidRPr="00ED1DE0" w:rsidRDefault="00ED1DE0" w:rsidP="00ED1DE0">
      <w:pPr>
        <w:pStyle w:val="SingleTxt"/>
        <w:rPr>
          <w:iCs/>
          <w:lang w:val="fr-CH"/>
        </w:rPr>
      </w:pPr>
      <w:r w:rsidRPr="00ED1DE0">
        <w:rPr>
          <w:i/>
          <w:lang w:val="fr-CH"/>
        </w:rPr>
        <w:t>Document</w:t>
      </w:r>
      <w:r w:rsidR="00AA4162">
        <w:rPr>
          <w:i/>
          <w:lang w:val="fr-CH"/>
        </w:rPr>
        <w:t> </w:t>
      </w:r>
      <w:r w:rsidRPr="00AA4162">
        <w:rPr>
          <w:lang w:val="fr-CH"/>
        </w:rPr>
        <w:t>:</w:t>
      </w:r>
      <w:r w:rsidRPr="00ED1DE0">
        <w:rPr>
          <w:i/>
          <w:lang w:val="fr-CH"/>
        </w:rPr>
        <w:tab/>
      </w:r>
      <w:r w:rsidRPr="00ED1DE0">
        <w:rPr>
          <w:i/>
          <w:lang w:val="fr-CH"/>
        </w:rPr>
        <w:tab/>
      </w:r>
      <w:r w:rsidRPr="00ED1DE0">
        <w:rPr>
          <w:i/>
          <w:lang w:val="fr-CH"/>
        </w:rPr>
        <w:tab/>
      </w:r>
      <w:r w:rsidRPr="00AA4162">
        <w:rPr>
          <w:lang w:val="fr-CH"/>
        </w:rPr>
        <w:t>ST/SG/AC.10/C.3/2015/2</w:t>
      </w:r>
      <w:r w:rsidRPr="00ED1DE0">
        <w:rPr>
          <w:lang w:val="fr-CH"/>
        </w:rPr>
        <w:t xml:space="preserve">6 </w:t>
      </w:r>
      <w:r w:rsidRPr="00ED1DE0">
        <w:rPr>
          <w:iCs/>
          <w:lang w:val="fr-CH"/>
        </w:rPr>
        <w:t>(Allemagne)</w:t>
      </w:r>
      <w:r w:rsidR="00AA4162">
        <w:rPr>
          <w:iCs/>
          <w:lang w:val="fr-CH"/>
        </w:rPr>
        <w:t>.</w:t>
      </w:r>
    </w:p>
    <w:p w:rsidR="00ED1DE0" w:rsidRPr="00ED1DE0" w:rsidRDefault="00ED1DE0" w:rsidP="00ED1DE0">
      <w:pPr>
        <w:pStyle w:val="SingleTxt"/>
        <w:rPr>
          <w:i/>
          <w:iCs/>
          <w:lang w:val="fr-CH"/>
        </w:rPr>
      </w:pPr>
      <w:r w:rsidRPr="00ED1DE0">
        <w:rPr>
          <w:i/>
          <w:lang w:val="fr-CH"/>
        </w:rPr>
        <w:t>Document informel</w:t>
      </w:r>
      <w:r w:rsidR="00AA4162">
        <w:rPr>
          <w:i/>
          <w:lang w:val="fr-CH"/>
        </w:rPr>
        <w:t> </w:t>
      </w:r>
      <w:r w:rsidR="00AA4162">
        <w:rPr>
          <w:lang w:val="fr-CH"/>
        </w:rPr>
        <w:t>:</w:t>
      </w:r>
      <w:r w:rsidRPr="00ED1DE0">
        <w:rPr>
          <w:i/>
          <w:lang w:val="fr-CH"/>
        </w:rPr>
        <w:tab/>
      </w:r>
      <w:r w:rsidRPr="00ED1DE0">
        <w:rPr>
          <w:i/>
          <w:lang w:val="fr-CH"/>
        </w:rPr>
        <w:tab/>
      </w:r>
      <w:r w:rsidRPr="00AA4162">
        <w:rPr>
          <w:lang w:val="fr-CH"/>
        </w:rPr>
        <w:t>INF.3</w:t>
      </w:r>
      <w:r w:rsidRPr="00ED1DE0">
        <w:rPr>
          <w:lang w:val="fr-CH"/>
        </w:rPr>
        <w:t>7</w:t>
      </w:r>
      <w:r w:rsidRPr="00ED1DE0">
        <w:rPr>
          <w:i/>
          <w:iCs/>
          <w:lang w:val="fr-CH"/>
        </w:rPr>
        <w:t xml:space="preserve"> </w:t>
      </w:r>
      <w:r w:rsidRPr="00ED1DE0">
        <w:rPr>
          <w:iCs/>
          <w:lang w:val="fr-CH"/>
        </w:rPr>
        <w:t>(Allemagne)</w:t>
      </w:r>
      <w:r w:rsidR="00AA4162">
        <w:rPr>
          <w:iCs/>
          <w:lang w:val="fr-CH"/>
        </w:rPr>
        <w:t>.</w:t>
      </w:r>
    </w:p>
    <w:p w:rsidR="00ED1DE0" w:rsidRDefault="00ED1DE0" w:rsidP="00633201">
      <w:pPr>
        <w:pStyle w:val="SingleTxt"/>
        <w:numPr>
          <w:ilvl w:val="0"/>
          <w:numId w:val="8"/>
        </w:numPr>
        <w:ind w:left="1267" w:firstLine="0"/>
        <w:rPr>
          <w:lang w:val="fr-CH"/>
        </w:rPr>
      </w:pPr>
      <w:r w:rsidRPr="00ED1DE0">
        <w:rPr>
          <w:lang w:val="fr-CH"/>
        </w:rPr>
        <w:t>Le Sous-Comité a noté que l’Allemagne et l’IME tiendraient compte des observations du Groupe de travail et continueraient leur recherche d’une alternative a</w:t>
      </w:r>
      <w:r w:rsidR="00484033">
        <w:rPr>
          <w:lang w:val="fr-CH"/>
        </w:rPr>
        <w:t>u détonateur normalisé actuel.</w:t>
      </w:r>
    </w:p>
    <w:p w:rsidR="00484033" w:rsidRPr="00484033" w:rsidRDefault="00484033" w:rsidP="00484033">
      <w:pPr>
        <w:pStyle w:val="SingleTxt"/>
        <w:spacing w:after="0" w:line="120" w:lineRule="exact"/>
        <w:rPr>
          <w:sz w:val="10"/>
          <w:lang w:val="fr-CH"/>
        </w:rPr>
      </w:pPr>
    </w:p>
    <w:p w:rsidR="00484033" w:rsidRPr="00484033" w:rsidRDefault="00484033" w:rsidP="00484033">
      <w:pPr>
        <w:pStyle w:val="SingleTxt"/>
        <w:spacing w:after="0" w:line="120" w:lineRule="exact"/>
        <w:rPr>
          <w:sz w:val="10"/>
          <w:lang w:val="fr-CH"/>
        </w:rPr>
      </w:pPr>
    </w:p>
    <w:p w:rsidR="00ED1DE0" w:rsidRDefault="00ED1DE0" w:rsidP="004840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D.</w:t>
      </w:r>
      <w:r w:rsidRPr="00ED1DE0">
        <w:rPr>
          <w:lang w:val="fr-CH"/>
        </w:rPr>
        <w:tab/>
        <w:t>Examen des instructions d’emballage applicables aux explosifs</w:t>
      </w:r>
    </w:p>
    <w:p w:rsidR="00484033" w:rsidRPr="00484033" w:rsidRDefault="00484033" w:rsidP="00484033">
      <w:pPr>
        <w:pStyle w:val="SingleTxt"/>
        <w:spacing w:after="0" w:line="120" w:lineRule="exact"/>
        <w:rPr>
          <w:sz w:val="10"/>
          <w:lang w:val="fr-CH"/>
        </w:rPr>
      </w:pPr>
    </w:p>
    <w:p w:rsidR="00484033" w:rsidRPr="00484033" w:rsidRDefault="00484033" w:rsidP="00484033">
      <w:pPr>
        <w:pStyle w:val="SingleTxt"/>
        <w:spacing w:after="0" w:line="120" w:lineRule="exact"/>
        <w:rPr>
          <w:sz w:val="10"/>
          <w:lang w:val="fr-CH"/>
        </w:rPr>
      </w:pPr>
    </w:p>
    <w:p w:rsidR="00ED1DE0" w:rsidRDefault="00ED1DE0" w:rsidP="00633201">
      <w:pPr>
        <w:pStyle w:val="SingleTxt"/>
        <w:numPr>
          <w:ilvl w:val="0"/>
          <w:numId w:val="8"/>
        </w:numPr>
        <w:ind w:left="1267" w:firstLine="0"/>
        <w:rPr>
          <w:lang w:val="fr-CH"/>
        </w:rPr>
      </w:pPr>
      <w:r w:rsidRPr="00ED1DE0">
        <w:rPr>
          <w:lang w:val="fr-CH"/>
        </w:rPr>
        <w:t>Aucun document n’ayant été soumis, ce point de l’ordre du jour n’a pas été abordé.</w:t>
      </w:r>
    </w:p>
    <w:p w:rsidR="00C05199" w:rsidRPr="00C05199" w:rsidRDefault="00C05199" w:rsidP="00C05199">
      <w:pPr>
        <w:pStyle w:val="SingleTxt"/>
        <w:spacing w:after="0" w:line="120" w:lineRule="exact"/>
        <w:rPr>
          <w:sz w:val="10"/>
          <w:lang w:val="fr-CH"/>
        </w:rPr>
      </w:pPr>
    </w:p>
    <w:p w:rsidR="00C05199" w:rsidRPr="00C05199" w:rsidRDefault="00C05199" w:rsidP="00C05199">
      <w:pPr>
        <w:pStyle w:val="SingleTxt"/>
        <w:spacing w:after="0" w:line="120" w:lineRule="exact"/>
        <w:rPr>
          <w:sz w:val="10"/>
          <w:lang w:val="fr-CH"/>
        </w:rPr>
      </w:pPr>
    </w:p>
    <w:p w:rsidR="00ED1DE0" w:rsidRDefault="00ED1DE0" w:rsidP="00C051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E.</w:t>
      </w:r>
      <w:r w:rsidRPr="00ED1DE0">
        <w:rPr>
          <w:lang w:val="fr-CH"/>
        </w:rPr>
        <w:tab/>
        <w:t>Norme harmonisée appl</w:t>
      </w:r>
      <w:r w:rsidR="00C05199">
        <w:rPr>
          <w:lang w:val="fr-CH"/>
        </w:rPr>
        <w:t>icable aux marques de sécurité</w:t>
      </w:r>
    </w:p>
    <w:p w:rsidR="00C05199" w:rsidRPr="00C05199" w:rsidRDefault="00C05199" w:rsidP="00C05199">
      <w:pPr>
        <w:pStyle w:val="SingleTxt"/>
        <w:spacing w:after="0" w:line="120" w:lineRule="exact"/>
        <w:rPr>
          <w:sz w:val="10"/>
          <w:lang w:val="fr-CH"/>
        </w:rPr>
      </w:pPr>
    </w:p>
    <w:p w:rsidR="00C05199" w:rsidRPr="00C05199" w:rsidRDefault="00C05199" w:rsidP="00C05199">
      <w:pPr>
        <w:pStyle w:val="SingleTxt"/>
        <w:spacing w:after="0" w:line="120" w:lineRule="exact"/>
        <w:rPr>
          <w:sz w:val="10"/>
          <w:lang w:val="fr-CH"/>
        </w:rPr>
      </w:pPr>
    </w:p>
    <w:p w:rsidR="00ED1DE0" w:rsidRPr="00ED1DE0" w:rsidRDefault="00ED1DE0" w:rsidP="00A76AA1">
      <w:pPr>
        <w:pStyle w:val="SingleTxt"/>
        <w:rPr>
          <w:lang w:val="fr-CH"/>
        </w:rPr>
      </w:pPr>
      <w:r w:rsidRPr="00ED1DE0">
        <w:rPr>
          <w:i/>
          <w:lang w:val="fr-CH"/>
        </w:rPr>
        <w:t>Document informel</w:t>
      </w:r>
      <w:r w:rsidR="00C05199">
        <w:rPr>
          <w:i/>
          <w:lang w:val="fr-CH"/>
        </w:rPr>
        <w:t> </w:t>
      </w:r>
      <w:r w:rsidRPr="00ED1DE0">
        <w:rPr>
          <w:lang w:val="fr-CH"/>
        </w:rPr>
        <w:t>:</w:t>
      </w:r>
      <w:r w:rsidRPr="00ED1DE0">
        <w:rPr>
          <w:lang w:val="fr-CH"/>
        </w:rPr>
        <w:tab/>
      </w:r>
      <w:r w:rsidRPr="00ED1DE0">
        <w:rPr>
          <w:lang w:val="fr-CH"/>
        </w:rPr>
        <w:tab/>
        <w:t>INF.9 (IME)</w:t>
      </w:r>
      <w:r w:rsidR="00C05199">
        <w:rPr>
          <w:lang w:val="fr-CH"/>
        </w:rPr>
        <w:t>.</w:t>
      </w:r>
    </w:p>
    <w:p w:rsidR="00ED1DE0" w:rsidRDefault="00ED1DE0" w:rsidP="00633201">
      <w:pPr>
        <w:pStyle w:val="SingleTxt"/>
        <w:numPr>
          <w:ilvl w:val="0"/>
          <w:numId w:val="8"/>
        </w:numPr>
        <w:ind w:left="1267" w:firstLine="0"/>
        <w:rPr>
          <w:lang w:val="fr-CH"/>
        </w:rPr>
      </w:pPr>
      <w:r w:rsidRPr="00ED1DE0">
        <w:rPr>
          <w:lang w:val="fr-CH"/>
        </w:rPr>
        <w:t>S’agissant de la norme harmonisée applicable aux marques de sécurité apposées sur les explosifs (par</w:t>
      </w:r>
      <w:r w:rsidR="00315AD2">
        <w:rPr>
          <w:lang w:val="fr-CH"/>
        </w:rPr>
        <w:t>. </w:t>
      </w:r>
      <w:r w:rsidRPr="00ED1DE0">
        <w:rPr>
          <w:lang w:val="fr-CH"/>
        </w:rPr>
        <w:t>17 du rapport du Groupe de travail), les avis restaient partagés quant à la question de savoir si une telle norme devait ou non être incluse dans le Règlement type, certains experts estimant que cette norme concernait la sécurité des explosifs en général et pas seulement la sécurité pendant le transport. Le Sous-Comité a néanmoins convenu qu’il pourrait offrir une plateforme de discussion concernant l’élaboration d’une telle norme et que par conséquent la participation de parties intéressées telles que la Commission européenne ou de représentants des services nationaux concernés autres que les ministères des transports serait la bienvenue. Si ce travai</w:t>
      </w:r>
      <w:r w:rsidR="00315AD2">
        <w:rPr>
          <w:lang w:val="fr-CH"/>
        </w:rPr>
        <w:t xml:space="preserve">l </w:t>
      </w:r>
      <w:r w:rsidR="00CB063F">
        <w:rPr>
          <w:lang w:val="fr-CH"/>
        </w:rPr>
        <w:t xml:space="preserve">pouvait </w:t>
      </w:r>
      <w:r w:rsidR="00315AD2">
        <w:rPr>
          <w:lang w:val="fr-CH"/>
        </w:rPr>
        <w:t>aboutir à l’élaboration d’une</w:t>
      </w:r>
      <w:r w:rsidRPr="00ED1DE0">
        <w:rPr>
          <w:lang w:val="fr-CH"/>
        </w:rPr>
        <w:t xml:space="preserve"> norme harmonisée acceptable pour les entités concernées, le Sous-Comité pourrait examiner ultérieurement s’il conviendrait ou non de l’inclure dans le Règlement type.</w:t>
      </w:r>
    </w:p>
    <w:p w:rsidR="00315AD2" w:rsidRPr="00315AD2" w:rsidRDefault="00315AD2" w:rsidP="00315AD2">
      <w:pPr>
        <w:pStyle w:val="SingleTxt"/>
        <w:spacing w:after="0" w:line="120" w:lineRule="exact"/>
        <w:rPr>
          <w:sz w:val="10"/>
          <w:lang w:val="fr-CH"/>
        </w:rPr>
      </w:pPr>
    </w:p>
    <w:p w:rsidR="00315AD2" w:rsidRPr="00315AD2" w:rsidRDefault="00315AD2" w:rsidP="00315AD2">
      <w:pPr>
        <w:pStyle w:val="SingleTxt"/>
        <w:spacing w:after="0" w:line="120" w:lineRule="exact"/>
        <w:rPr>
          <w:sz w:val="10"/>
          <w:lang w:val="fr-CH"/>
        </w:rPr>
      </w:pPr>
    </w:p>
    <w:p w:rsidR="00ED1DE0" w:rsidRPr="00A76AA1" w:rsidRDefault="00ED1DE0" w:rsidP="00315A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r>
      <w:r w:rsidRPr="00A76AA1">
        <w:rPr>
          <w:lang w:val="fr-CH"/>
        </w:rPr>
        <w:t>F.</w:t>
      </w:r>
      <w:r w:rsidRPr="00A76AA1">
        <w:rPr>
          <w:lang w:val="fr-CH"/>
        </w:rPr>
        <w:tab/>
        <w:t xml:space="preserve">Classement </w:t>
      </w:r>
      <w:r w:rsidR="00315AD2" w:rsidRPr="00A76AA1">
        <w:rPr>
          <w:lang w:val="fr-CH"/>
        </w:rPr>
        <w:t>des artifices de divertissement</w:t>
      </w:r>
    </w:p>
    <w:p w:rsidR="00315AD2" w:rsidRPr="00A76AA1" w:rsidRDefault="00315AD2" w:rsidP="00315AD2">
      <w:pPr>
        <w:pStyle w:val="SingleTxt"/>
        <w:spacing w:after="0" w:line="120" w:lineRule="exact"/>
        <w:rPr>
          <w:sz w:val="10"/>
          <w:lang w:val="fr-CH"/>
        </w:rPr>
      </w:pPr>
    </w:p>
    <w:p w:rsidR="00315AD2" w:rsidRPr="00CB063F" w:rsidRDefault="00315AD2" w:rsidP="00CB063F">
      <w:pPr>
        <w:pStyle w:val="SingleTxt"/>
        <w:spacing w:after="0" w:line="120" w:lineRule="exact"/>
        <w:rPr>
          <w:sz w:val="10"/>
          <w:lang w:val="fr-CH"/>
        </w:rPr>
      </w:pPr>
    </w:p>
    <w:p w:rsidR="00CB063F" w:rsidRPr="00A76AA1" w:rsidRDefault="00CB063F" w:rsidP="00CB063F">
      <w:pPr>
        <w:pStyle w:val="SingleTxt"/>
        <w:rPr>
          <w:lang w:val="fr-CH"/>
        </w:rPr>
      </w:pPr>
      <w:r w:rsidRPr="00CB063F">
        <w:rPr>
          <w:i/>
          <w:lang w:val="fr-CH"/>
        </w:rPr>
        <w:t>Document informel</w:t>
      </w:r>
      <w:r>
        <w:rPr>
          <w:lang w:val="fr-CH"/>
        </w:rPr>
        <w:t> :</w:t>
      </w:r>
      <w:r>
        <w:rPr>
          <w:lang w:val="fr-CH"/>
        </w:rPr>
        <w:tab/>
      </w:r>
      <w:r>
        <w:rPr>
          <w:lang w:val="fr-CH"/>
        </w:rPr>
        <w:tab/>
        <w:t>INF.9 (IME).</w:t>
      </w:r>
    </w:p>
    <w:p w:rsidR="00ED1DE0" w:rsidRPr="00A76AA1" w:rsidRDefault="00ED1DE0" w:rsidP="00633201">
      <w:pPr>
        <w:pStyle w:val="SingleTxt"/>
        <w:numPr>
          <w:ilvl w:val="0"/>
          <w:numId w:val="8"/>
        </w:numPr>
        <w:ind w:left="1267" w:firstLine="0"/>
        <w:rPr>
          <w:lang w:val="fr-CH"/>
        </w:rPr>
      </w:pPr>
      <w:r w:rsidRPr="00A76AA1">
        <w:rPr>
          <w:lang w:val="fr-CH"/>
        </w:rPr>
        <w:t>Aucun document n’ayant été soumis, ce point de l’ordre du jour n’a pas été abordé.</w:t>
      </w:r>
    </w:p>
    <w:p w:rsidR="00315AD2" w:rsidRPr="00A76AA1" w:rsidRDefault="00315AD2" w:rsidP="00315AD2">
      <w:pPr>
        <w:pStyle w:val="SingleTxt"/>
        <w:spacing w:after="0" w:line="120" w:lineRule="exact"/>
        <w:rPr>
          <w:sz w:val="10"/>
          <w:lang w:val="fr-CH"/>
        </w:rPr>
      </w:pPr>
    </w:p>
    <w:p w:rsidR="00315AD2" w:rsidRPr="00315AD2" w:rsidRDefault="00315AD2" w:rsidP="00315AD2">
      <w:pPr>
        <w:pStyle w:val="SingleTxt"/>
        <w:spacing w:after="0" w:line="120" w:lineRule="exact"/>
        <w:rPr>
          <w:sz w:val="10"/>
          <w:lang w:val="fr-CH"/>
        </w:rPr>
      </w:pPr>
    </w:p>
    <w:p w:rsidR="00ED1DE0" w:rsidRDefault="00ED1DE0" w:rsidP="00315A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G.</w:t>
      </w:r>
      <w:r w:rsidRPr="00ED1DE0">
        <w:rPr>
          <w:lang w:val="fr-CH"/>
        </w:rPr>
        <w:tab/>
        <w:t>Classement d</w:t>
      </w:r>
      <w:r w:rsidR="00315AD2">
        <w:rPr>
          <w:lang w:val="fr-CH"/>
        </w:rPr>
        <w:t>’objets sous le numéro ONU 0349</w:t>
      </w:r>
    </w:p>
    <w:p w:rsidR="00315AD2" w:rsidRPr="00315AD2" w:rsidRDefault="00315AD2" w:rsidP="00315AD2">
      <w:pPr>
        <w:pStyle w:val="SingleTxt"/>
        <w:spacing w:after="0" w:line="120" w:lineRule="exact"/>
        <w:rPr>
          <w:sz w:val="10"/>
          <w:lang w:val="fr-CH"/>
        </w:rPr>
      </w:pPr>
    </w:p>
    <w:p w:rsidR="00315AD2" w:rsidRPr="00315AD2" w:rsidRDefault="00315AD2" w:rsidP="00315AD2">
      <w:pPr>
        <w:pStyle w:val="SingleTxt"/>
        <w:spacing w:after="0" w:line="120" w:lineRule="exact"/>
        <w:rPr>
          <w:sz w:val="10"/>
          <w:lang w:val="fr-CH"/>
        </w:rPr>
      </w:pPr>
    </w:p>
    <w:p w:rsidR="00ED1DE0" w:rsidRPr="00ED1DE0" w:rsidRDefault="00ED1DE0" w:rsidP="00ED1DE0">
      <w:pPr>
        <w:pStyle w:val="SingleTxt"/>
        <w:rPr>
          <w:i/>
          <w:lang w:val="fr-CH"/>
        </w:rPr>
      </w:pPr>
      <w:r w:rsidRPr="00ED1DE0">
        <w:rPr>
          <w:i/>
          <w:lang w:val="fr-CH"/>
        </w:rPr>
        <w:t>Document</w:t>
      </w:r>
      <w:r w:rsidR="00A76AA1" w:rsidRPr="00A76AA1">
        <w:rPr>
          <w:lang w:val="fr-CH"/>
        </w:rPr>
        <w:t> </w:t>
      </w:r>
      <w:r w:rsidRPr="00A76AA1">
        <w:rPr>
          <w:lang w:val="fr-CH"/>
        </w:rPr>
        <w:t>:</w:t>
      </w:r>
      <w:r w:rsidRPr="00ED1DE0">
        <w:rPr>
          <w:i/>
          <w:lang w:val="fr-CH"/>
        </w:rPr>
        <w:tab/>
      </w:r>
      <w:r w:rsidRPr="00ED1DE0">
        <w:rPr>
          <w:i/>
          <w:lang w:val="fr-CH"/>
        </w:rPr>
        <w:tab/>
      </w:r>
      <w:r w:rsidRPr="00ED1DE0">
        <w:rPr>
          <w:i/>
          <w:lang w:val="fr-CH"/>
        </w:rPr>
        <w:tab/>
      </w:r>
      <w:r w:rsidRPr="00E43296">
        <w:rPr>
          <w:lang w:val="fr-CH"/>
        </w:rPr>
        <w:t>ST/SG/AC.10/C.3/2015/</w:t>
      </w:r>
      <w:r w:rsidRPr="00ED1DE0">
        <w:rPr>
          <w:lang w:val="fr-CH"/>
        </w:rPr>
        <w:t xml:space="preserve">86 </w:t>
      </w:r>
      <w:r w:rsidRPr="00ED1DE0">
        <w:rPr>
          <w:iCs/>
          <w:lang w:val="fr-CH"/>
        </w:rPr>
        <w:t>(Italie)</w:t>
      </w:r>
      <w:r w:rsidR="00A76AA1">
        <w:rPr>
          <w:iCs/>
          <w:lang w:val="fr-CH"/>
        </w:rPr>
        <w:t>.</w:t>
      </w:r>
    </w:p>
    <w:p w:rsidR="00ED1DE0" w:rsidRPr="00ED1DE0" w:rsidRDefault="00ED1DE0" w:rsidP="00A76AA1">
      <w:pPr>
        <w:pStyle w:val="SingleTxt"/>
        <w:jc w:val="left"/>
        <w:rPr>
          <w:lang w:val="fr-CH"/>
        </w:rPr>
      </w:pPr>
      <w:r w:rsidRPr="00ED1DE0">
        <w:rPr>
          <w:i/>
          <w:lang w:val="fr-CH"/>
        </w:rPr>
        <w:t>Documents informels</w:t>
      </w:r>
      <w:r w:rsidR="00A76AA1">
        <w:rPr>
          <w:i/>
          <w:lang w:val="fr-CH"/>
        </w:rPr>
        <w:t> </w:t>
      </w:r>
      <w:r w:rsidR="00A76AA1">
        <w:rPr>
          <w:lang w:val="fr-CH"/>
        </w:rPr>
        <w:t>:</w:t>
      </w:r>
      <w:r w:rsidR="00A76AA1">
        <w:rPr>
          <w:lang w:val="fr-CH"/>
        </w:rPr>
        <w:tab/>
      </w:r>
      <w:r w:rsidRPr="00ED1DE0">
        <w:rPr>
          <w:lang w:val="fr-CH"/>
        </w:rPr>
        <w:t>INF.47 (I</w:t>
      </w:r>
      <w:r w:rsidR="00170DFC">
        <w:rPr>
          <w:lang w:val="fr-CH"/>
        </w:rPr>
        <w:t>ME</w:t>
      </w:r>
      <w:r w:rsidRPr="00ED1DE0">
        <w:rPr>
          <w:lang w:val="fr-CH"/>
        </w:rPr>
        <w:t>)</w:t>
      </w:r>
      <w:r w:rsidR="00A76AA1">
        <w:rPr>
          <w:lang w:val="fr-CH"/>
        </w:rPr>
        <w:t xml:space="preserve">, </w:t>
      </w:r>
      <w:r w:rsidRPr="00ED1DE0">
        <w:rPr>
          <w:lang w:val="fr-CH"/>
        </w:rPr>
        <w:br/>
      </w:r>
      <w:r w:rsidRPr="00ED1DE0">
        <w:rPr>
          <w:lang w:val="fr-CH"/>
        </w:rPr>
        <w:tab/>
      </w:r>
      <w:r w:rsidRPr="00ED1DE0">
        <w:rPr>
          <w:lang w:val="fr-CH"/>
        </w:rPr>
        <w:tab/>
      </w:r>
      <w:r w:rsidRPr="00ED1DE0">
        <w:rPr>
          <w:lang w:val="fr-CH"/>
        </w:rPr>
        <w:tab/>
      </w:r>
      <w:r w:rsidRPr="00ED1DE0">
        <w:rPr>
          <w:lang w:val="fr-CH"/>
        </w:rPr>
        <w:tab/>
      </w:r>
      <w:r w:rsidRPr="00ED1DE0">
        <w:rPr>
          <w:lang w:val="fr-CH"/>
        </w:rPr>
        <w:tab/>
        <w:t>INF.38 (Suède)</w:t>
      </w:r>
      <w:r w:rsidR="00A76AA1">
        <w:rPr>
          <w:lang w:val="fr-CH"/>
        </w:rPr>
        <w:t>.</w:t>
      </w:r>
    </w:p>
    <w:p w:rsidR="00ED1DE0" w:rsidRPr="00ED1DE0" w:rsidRDefault="00ED1DE0" w:rsidP="00633201">
      <w:pPr>
        <w:pStyle w:val="SingleTxt"/>
        <w:numPr>
          <w:ilvl w:val="0"/>
          <w:numId w:val="8"/>
        </w:numPr>
        <w:ind w:left="1267" w:firstLine="0"/>
        <w:rPr>
          <w:lang w:val="fr-CH"/>
        </w:rPr>
      </w:pPr>
      <w:r w:rsidRPr="00ED1DE0">
        <w:rPr>
          <w:lang w:val="fr-CH"/>
        </w:rPr>
        <w:t>En ce qui concerne les objets relevant du numéro ONU 0349 qui pourraient être soumis aux prescriptions en matière de sécurité du chapitre 1.4 dont a fait état l’expert de l’Italie, le Sous-Comité a noté que si le Groupe de travail était conscient du problème les avis étaient partagés et qu’aucun consensus ne se dégageait. Le Sous-Comité n’est pas parvenu à apporter une solution mais il a estimé que la création de nouvelles rubriques, comme le propose l’It</w:t>
      </w:r>
      <w:r w:rsidR="00A76AA1">
        <w:rPr>
          <w:lang w:val="fr-CH"/>
        </w:rPr>
        <w:t>alie, ne serait pas appropriée.</w:t>
      </w:r>
    </w:p>
    <w:p w:rsidR="00ED1DE0" w:rsidRPr="00ED1DE0" w:rsidRDefault="00ED1DE0" w:rsidP="00633201">
      <w:pPr>
        <w:pStyle w:val="SingleTxt"/>
        <w:numPr>
          <w:ilvl w:val="0"/>
          <w:numId w:val="8"/>
        </w:numPr>
        <w:ind w:left="1267" w:firstLine="0"/>
        <w:rPr>
          <w:lang w:val="fr-CH"/>
        </w:rPr>
      </w:pPr>
      <w:r w:rsidRPr="00ED1DE0">
        <w:rPr>
          <w:lang w:val="fr-CH"/>
        </w:rPr>
        <w:t>S’agissant de la question de l’inclusion du numéro ONU 0339 dans la liste des marchandises dangereuses à haut risque, le Sous-Comité a noté que le Groupe de travail n’avait pas approuvé la proposition d’ajouter ce numéro à la liste indicative et que l’expert de la Suède examinerait les observations formulées et pourrait ultérieurement revenir à la charg</w:t>
      </w:r>
      <w:r w:rsidR="00A76AA1">
        <w:rPr>
          <w:lang w:val="fr-CH"/>
        </w:rPr>
        <w:t>e avec une proposition révisée.</w:t>
      </w:r>
    </w:p>
    <w:p w:rsidR="00ED1DE0" w:rsidRDefault="00ED1DE0" w:rsidP="00633201">
      <w:pPr>
        <w:pStyle w:val="SingleTxt"/>
        <w:numPr>
          <w:ilvl w:val="0"/>
          <w:numId w:val="8"/>
        </w:numPr>
        <w:ind w:left="1267" w:firstLine="0"/>
        <w:rPr>
          <w:lang w:val="fr-CH"/>
        </w:rPr>
      </w:pPr>
      <w:r w:rsidRPr="00ED1DE0">
        <w:rPr>
          <w:lang w:val="fr-CH"/>
        </w:rPr>
        <w:t>Le Sous-Comité a jugé qu’il serait utile de fournir une liste d’exemples des matières et objets concernés. Les experts qui souhaiteraient faire des suggestions ont été invités à prendre contact avec les experts de l’Italie et de la Suède. Il a également été proposé d’introduire des instructions dans le chapitre 1.4 du Règlement type.</w:t>
      </w:r>
    </w:p>
    <w:p w:rsidR="00A76AA1" w:rsidRPr="00A76AA1" w:rsidRDefault="00A76AA1" w:rsidP="00A76AA1">
      <w:pPr>
        <w:pStyle w:val="SingleTxt"/>
        <w:spacing w:after="0" w:line="120" w:lineRule="exact"/>
        <w:rPr>
          <w:sz w:val="10"/>
          <w:lang w:val="fr-CH"/>
        </w:rPr>
      </w:pPr>
    </w:p>
    <w:p w:rsidR="00A76AA1" w:rsidRPr="00A76AA1" w:rsidRDefault="00A76AA1" w:rsidP="00A76AA1">
      <w:pPr>
        <w:pStyle w:val="SingleTxt"/>
        <w:spacing w:after="0" w:line="120" w:lineRule="exact"/>
        <w:rPr>
          <w:sz w:val="10"/>
          <w:lang w:val="fr-CH"/>
        </w:rPr>
      </w:pPr>
    </w:p>
    <w:p w:rsidR="00ED1DE0" w:rsidRDefault="00ED1DE0" w:rsidP="00A76A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H</w:t>
      </w:r>
      <w:r w:rsidR="00A76AA1">
        <w:rPr>
          <w:lang w:val="fr-CH"/>
        </w:rPr>
        <w:t>.</w:t>
      </w:r>
      <w:r w:rsidR="00A76AA1">
        <w:rPr>
          <w:lang w:val="fr-CH"/>
        </w:rPr>
        <w:tab/>
        <w:t>Examen du chapitre 2.1 du SGH</w:t>
      </w:r>
    </w:p>
    <w:p w:rsidR="00A76AA1" w:rsidRPr="00A76AA1" w:rsidRDefault="00A76AA1" w:rsidP="00A76AA1">
      <w:pPr>
        <w:pStyle w:val="SingleTxt"/>
        <w:spacing w:after="0" w:line="120" w:lineRule="exact"/>
        <w:rPr>
          <w:sz w:val="10"/>
          <w:lang w:val="fr-CH"/>
        </w:rPr>
      </w:pPr>
    </w:p>
    <w:p w:rsidR="00A76AA1" w:rsidRPr="00A76AA1" w:rsidRDefault="00A76AA1" w:rsidP="00A76AA1">
      <w:pPr>
        <w:pStyle w:val="SingleTxt"/>
        <w:spacing w:after="0" w:line="120" w:lineRule="exact"/>
        <w:rPr>
          <w:sz w:val="10"/>
          <w:lang w:val="fr-CH"/>
        </w:rPr>
      </w:pPr>
    </w:p>
    <w:p w:rsidR="00ED1DE0" w:rsidRPr="00ED1DE0" w:rsidRDefault="00ED1DE0" w:rsidP="00633201">
      <w:pPr>
        <w:pStyle w:val="SingleTxt"/>
        <w:numPr>
          <w:ilvl w:val="0"/>
          <w:numId w:val="8"/>
        </w:numPr>
        <w:ind w:left="1267" w:firstLine="0"/>
        <w:rPr>
          <w:lang w:val="fr-CH"/>
        </w:rPr>
      </w:pPr>
      <w:r w:rsidRPr="00ED1DE0">
        <w:rPr>
          <w:lang w:val="fr-CH"/>
        </w:rPr>
        <w:t xml:space="preserve">Le Sous-Comité a approuvé les amendements proposés par le Groupe de travail sous la forme des </w:t>
      </w:r>
      <w:r w:rsidR="00A76AA1">
        <w:rPr>
          <w:lang w:val="fr-CH"/>
        </w:rPr>
        <w:t>« </w:t>
      </w:r>
      <w:r w:rsidRPr="00ED1DE0">
        <w:rPr>
          <w:lang w:val="fr-CH"/>
        </w:rPr>
        <w:t>amendements 1 à 3</w:t>
      </w:r>
      <w:r w:rsidR="00A76AA1">
        <w:rPr>
          <w:lang w:val="fr-CH"/>
        </w:rPr>
        <w:t> »</w:t>
      </w:r>
      <w:r w:rsidRPr="00ED1DE0">
        <w:rPr>
          <w:lang w:val="fr-CH"/>
        </w:rPr>
        <w:t xml:space="preserve"> dans l’annexe 2 de son rapport. Il a cependant été décidé de mettre l’amendement 1 entre crochets pour confirmation ultérieure. Il a été souligné que les amendements proposés devaient dans tous les cas être soumis au Sous-Comité SGH pour examen (voir annexe 1 du présent rapport).</w:t>
      </w:r>
    </w:p>
    <w:p w:rsidR="00ED1DE0" w:rsidRDefault="00ED1DE0" w:rsidP="00633201">
      <w:pPr>
        <w:pStyle w:val="SingleTxt"/>
        <w:numPr>
          <w:ilvl w:val="0"/>
          <w:numId w:val="8"/>
        </w:numPr>
        <w:ind w:left="1267" w:firstLine="0"/>
        <w:rPr>
          <w:lang w:val="fr-CH"/>
        </w:rPr>
      </w:pPr>
      <w:r w:rsidRPr="00A76AA1">
        <w:rPr>
          <w:spacing w:val="0"/>
          <w:lang w:val="fr-CH"/>
        </w:rPr>
        <w:t xml:space="preserve">Le Sous-Comité a noté que le Groupe de travail n’avait pas adopté les amendements </w:t>
      </w:r>
      <w:r w:rsidRPr="00A76AA1">
        <w:rPr>
          <w:lang w:val="fr-CH"/>
        </w:rPr>
        <w:t>proposés aux paragraphes 12 à 14 du document ST/SG/AC.10/C.3/2015/27, jugeant qu’il restait encore beaucoup à faire. Les membres du Groupe de travail, sous l</w:t>
      </w:r>
      <w:r w:rsidR="00FC6BB3">
        <w:rPr>
          <w:lang w:val="fr-CH"/>
        </w:rPr>
        <w:t>a présidence de leur Président,</w:t>
      </w:r>
      <w:r w:rsidRPr="00A76AA1">
        <w:rPr>
          <w:lang w:val="fr-CH"/>
        </w:rPr>
        <w:t xml:space="preserve"> travailleront entre les sessions pour élaborer des révisions destinées à améliorer le chapitre 2.1 du SGH. Les membres du Sous-Comité SGH seront invit</w:t>
      </w:r>
      <w:r w:rsidR="00FC6BB3">
        <w:rPr>
          <w:lang w:val="fr-CH"/>
        </w:rPr>
        <w:t xml:space="preserve">és à participer à ce travail </w:t>
      </w:r>
      <w:r w:rsidRPr="00A76AA1">
        <w:rPr>
          <w:lang w:val="fr-CH"/>
        </w:rPr>
        <w:t>entre les sessions.</w:t>
      </w:r>
    </w:p>
    <w:p w:rsidR="00A76AA1" w:rsidRPr="00A76AA1" w:rsidRDefault="00A76AA1" w:rsidP="00A76AA1">
      <w:pPr>
        <w:pStyle w:val="SingleTxt"/>
        <w:spacing w:after="0" w:line="120" w:lineRule="exact"/>
        <w:rPr>
          <w:sz w:val="10"/>
          <w:lang w:val="fr-CH"/>
        </w:rPr>
      </w:pPr>
    </w:p>
    <w:p w:rsidR="00A76AA1" w:rsidRPr="00A76AA1" w:rsidRDefault="00A76AA1" w:rsidP="00A76AA1">
      <w:pPr>
        <w:pStyle w:val="SingleTxt"/>
        <w:spacing w:after="0" w:line="120" w:lineRule="exact"/>
        <w:rPr>
          <w:spacing w:val="0"/>
          <w:sz w:val="10"/>
          <w:lang w:val="fr-CH"/>
        </w:rPr>
      </w:pPr>
    </w:p>
    <w:p w:rsidR="00ED1DE0" w:rsidRDefault="00A76AA1" w:rsidP="005A1D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I.</w:t>
      </w:r>
      <w:r>
        <w:rPr>
          <w:lang w:val="fr-CH"/>
        </w:rPr>
        <w:tab/>
        <w:t>Questions diverses</w:t>
      </w:r>
    </w:p>
    <w:p w:rsidR="00A76AA1" w:rsidRPr="00A76AA1" w:rsidRDefault="00A76AA1" w:rsidP="00AD3852">
      <w:pPr>
        <w:pStyle w:val="SingleTxt"/>
        <w:keepNext/>
        <w:keepLines/>
        <w:spacing w:after="0" w:line="120" w:lineRule="exact"/>
        <w:rPr>
          <w:sz w:val="10"/>
          <w:lang w:val="fr-CH"/>
        </w:rPr>
      </w:pPr>
    </w:p>
    <w:p w:rsidR="00A76AA1" w:rsidRPr="00A76AA1" w:rsidRDefault="00A76AA1" w:rsidP="00AD3852">
      <w:pPr>
        <w:pStyle w:val="SingleTxt"/>
        <w:keepNext/>
        <w:keepLines/>
        <w:spacing w:after="0" w:line="120" w:lineRule="exact"/>
        <w:rPr>
          <w:sz w:val="10"/>
          <w:lang w:val="fr-CH"/>
        </w:rPr>
      </w:pPr>
    </w:p>
    <w:p w:rsidR="00ED1DE0" w:rsidRDefault="00ED1DE0" w:rsidP="00AD38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1.</w:t>
      </w:r>
      <w:r w:rsidRPr="00ED1DE0">
        <w:rPr>
          <w:lang w:val="fr-CH"/>
        </w:rPr>
        <w:tab/>
        <w:t>Numéro ONU 3375 Nitrate d’ammonium en émulsion et disposition spéciale 309</w:t>
      </w:r>
    </w:p>
    <w:p w:rsidR="00A76AA1" w:rsidRPr="00A76AA1" w:rsidRDefault="00A76AA1" w:rsidP="00AD3852">
      <w:pPr>
        <w:pStyle w:val="SingleTxt"/>
        <w:keepNext/>
        <w:keepLines/>
        <w:spacing w:after="0" w:line="120" w:lineRule="exact"/>
        <w:rPr>
          <w:sz w:val="10"/>
          <w:lang w:val="fr-CH"/>
        </w:rPr>
      </w:pPr>
    </w:p>
    <w:p w:rsidR="00ED1DE0" w:rsidRPr="00ED1DE0" w:rsidRDefault="00ED1DE0" w:rsidP="00AD3852">
      <w:pPr>
        <w:pStyle w:val="SingleTxt"/>
        <w:keepNext/>
        <w:keepLines/>
        <w:rPr>
          <w:i/>
          <w:lang w:val="fr-CH"/>
        </w:rPr>
      </w:pPr>
      <w:r w:rsidRPr="00ED1DE0">
        <w:rPr>
          <w:i/>
          <w:lang w:val="fr-CH"/>
        </w:rPr>
        <w:t>Document</w:t>
      </w:r>
      <w:r w:rsidR="00A76AA1" w:rsidRPr="00A76AA1">
        <w:rPr>
          <w:lang w:val="fr-CH"/>
        </w:rPr>
        <w:t> </w:t>
      </w:r>
      <w:r w:rsidRPr="00A76AA1">
        <w:rPr>
          <w:lang w:val="fr-CH"/>
        </w:rPr>
        <w:t>:</w:t>
      </w:r>
      <w:r w:rsidRPr="00ED1DE0">
        <w:rPr>
          <w:i/>
          <w:lang w:val="fr-CH"/>
        </w:rPr>
        <w:tab/>
      </w:r>
      <w:r w:rsidRPr="00ED1DE0">
        <w:rPr>
          <w:i/>
          <w:lang w:val="fr-CH"/>
        </w:rPr>
        <w:tab/>
      </w:r>
      <w:r w:rsidRPr="00ED1DE0">
        <w:rPr>
          <w:i/>
          <w:lang w:val="fr-CH"/>
        </w:rPr>
        <w:tab/>
      </w:r>
      <w:r w:rsidRPr="00A76AA1">
        <w:rPr>
          <w:lang w:val="fr-CH"/>
        </w:rPr>
        <w:t>ST/SG/AC.10/C.3/2015/</w:t>
      </w:r>
      <w:r w:rsidRPr="00ED1DE0">
        <w:rPr>
          <w:lang w:val="fr-CH"/>
        </w:rPr>
        <w:t xml:space="preserve">10 </w:t>
      </w:r>
      <w:r w:rsidRPr="00ED1DE0">
        <w:rPr>
          <w:iCs/>
          <w:lang w:val="fr-CH"/>
        </w:rPr>
        <w:t>(AEISG)</w:t>
      </w:r>
      <w:r w:rsidR="00A76AA1">
        <w:rPr>
          <w:iCs/>
          <w:lang w:val="fr-CH"/>
        </w:rPr>
        <w:t>.</w:t>
      </w:r>
    </w:p>
    <w:p w:rsidR="00ED1DE0" w:rsidRDefault="00ED1DE0" w:rsidP="00633201">
      <w:pPr>
        <w:pStyle w:val="SingleTxt"/>
        <w:numPr>
          <w:ilvl w:val="0"/>
          <w:numId w:val="8"/>
        </w:numPr>
        <w:ind w:left="1267" w:firstLine="0"/>
        <w:rPr>
          <w:lang w:val="fr-CH"/>
        </w:rPr>
      </w:pPr>
      <w:r w:rsidRPr="00ED1DE0">
        <w:rPr>
          <w:lang w:val="fr-CH"/>
        </w:rPr>
        <w:t>Le Sous-Comité a approuvé la décision du Groupe de travail de ne pas adopter la proposition visant à supprimer de la disposition spéciale 309 l’obligation d’obtenir l’autorisation de l’autorité compétente, la plupart des membres estimant que cette autorisation constituait le mécanisme par lequel les autorités compétentes maintenaient la surveillance de l’utilisation du numéro ONU 3375 pour le transport du nitrate d’ammonium en émulsion.</w:t>
      </w:r>
    </w:p>
    <w:p w:rsidR="00A76AA1" w:rsidRPr="00A76AA1" w:rsidRDefault="00A76AA1" w:rsidP="00A76AA1">
      <w:pPr>
        <w:pStyle w:val="SingleTxt"/>
        <w:spacing w:after="0" w:line="120" w:lineRule="exact"/>
        <w:rPr>
          <w:sz w:val="10"/>
          <w:lang w:val="fr-CH"/>
        </w:rPr>
      </w:pPr>
    </w:p>
    <w:p w:rsidR="00ED1DE0" w:rsidRDefault="00ED1DE0" w:rsidP="00A76A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2.</w:t>
      </w:r>
      <w:r w:rsidRPr="00ED1DE0">
        <w:rPr>
          <w:lang w:val="fr-CH"/>
        </w:rPr>
        <w:tab/>
        <w:t>Classement par analogie</w:t>
      </w:r>
    </w:p>
    <w:p w:rsidR="00A76AA1" w:rsidRPr="00A76AA1" w:rsidRDefault="00A76AA1" w:rsidP="00A76AA1">
      <w:pPr>
        <w:pStyle w:val="SingleTxt"/>
        <w:spacing w:after="0" w:line="120" w:lineRule="exact"/>
        <w:rPr>
          <w:sz w:val="10"/>
          <w:lang w:val="fr-CH"/>
        </w:rPr>
      </w:pPr>
    </w:p>
    <w:p w:rsidR="00ED1DE0" w:rsidRPr="00ED1DE0" w:rsidRDefault="00ED1DE0" w:rsidP="00A76AA1">
      <w:pPr>
        <w:pStyle w:val="SingleTxt"/>
        <w:rPr>
          <w:i/>
          <w:lang w:val="fr-CH"/>
        </w:rPr>
      </w:pPr>
      <w:r w:rsidRPr="00ED1DE0">
        <w:rPr>
          <w:i/>
          <w:lang w:val="fr-CH"/>
        </w:rPr>
        <w:t>Document</w:t>
      </w:r>
      <w:r w:rsidR="00A76AA1">
        <w:rPr>
          <w:i/>
          <w:lang w:val="fr-CH"/>
        </w:rPr>
        <w:t> </w:t>
      </w:r>
      <w:r w:rsidRPr="00A76AA1">
        <w:rPr>
          <w:lang w:val="fr-CH"/>
        </w:rPr>
        <w:t>:</w:t>
      </w:r>
      <w:r w:rsidRPr="00ED1DE0">
        <w:rPr>
          <w:i/>
          <w:lang w:val="fr-CH"/>
        </w:rPr>
        <w:tab/>
      </w:r>
      <w:r w:rsidRPr="00ED1DE0">
        <w:rPr>
          <w:i/>
          <w:lang w:val="fr-CH"/>
        </w:rPr>
        <w:tab/>
      </w:r>
      <w:r w:rsidRPr="00ED1DE0">
        <w:rPr>
          <w:i/>
          <w:lang w:val="fr-CH"/>
        </w:rPr>
        <w:tab/>
      </w:r>
      <w:r w:rsidRPr="00A76AA1">
        <w:rPr>
          <w:lang w:val="fr-CH"/>
        </w:rPr>
        <w:t>ST/SG/AC.10/C.3/2015/</w:t>
      </w:r>
      <w:r w:rsidRPr="00ED1DE0">
        <w:rPr>
          <w:lang w:val="fr-CH"/>
        </w:rPr>
        <w:t xml:space="preserve">13 </w:t>
      </w:r>
      <w:r w:rsidRPr="00ED1DE0">
        <w:rPr>
          <w:iCs/>
          <w:lang w:val="fr-CH"/>
        </w:rPr>
        <w:t>(SAAMI)</w:t>
      </w:r>
      <w:r w:rsidR="00A76AA1">
        <w:rPr>
          <w:iCs/>
          <w:lang w:val="fr-CH"/>
        </w:rPr>
        <w:t>.</w:t>
      </w:r>
    </w:p>
    <w:p w:rsidR="00ED1DE0" w:rsidRDefault="00ED1DE0" w:rsidP="00633201">
      <w:pPr>
        <w:pStyle w:val="SingleTxt"/>
        <w:numPr>
          <w:ilvl w:val="0"/>
          <w:numId w:val="8"/>
        </w:numPr>
        <w:ind w:left="1267" w:firstLine="0"/>
        <w:rPr>
          <w:lang w:val="fr-CH"/>
        </w:rPr>
      </w:pPr>
      <w:r w:rsidRPr="00ED1DE0">
        <w:rPr>
          <w:lang w:val="fr-CH"/>
        </w:rPr>
        <w:t>Le Sous-Comité a encouragé le SAAMI à examiner les observations du Groupe de travail et à présenter des considérations nouvelles pour examen à la quarante-huitième session. Le représentant du SAAMI a demandé aux parties intéressées de prendre contact avec lui et de lui faire part de leur volonté de collaborer avec le SAAMI à la mise au point d’une proposition en</w:t>
      </w:r>
      <w:r w:rsidR="00A76AA1">
        <w:rPr>
          <w:lang w:val="fr-CH"/>
        </w:rPr>
        <w:t xml:space="preserve"> vue de la session de décembre.</w:t>
      </w:r>
    </w:p>
    <w:p w:rsidR="00A76AA1" w:rsidRPr="00A76AA1" w:rsidRDefault="00A76AA1" w:rsidP="00A76AA1">
      <w:pPr>
        <w:pStyle w:val="SingleTxt"/>
        <w:spacing w:after="0" w:line="120" w:lineRule="exact"/>
        <w:rPr>
          <w:sz w:val="10"/>
          <w:lang w:val="fr-CH"/>
        </w:rPr>
      </w:pPr>
    </w:p>
    <w:p w:rsidR="00ED1DE0" w:rsidRDefault="00A76AA1" w:rsidP="00BC2C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3.</w:t>
      </w:r>
      <w:r>
        <w:rPr>
          <w:lang w:val="fr-CH"/>
        </w:rPr>
        <w:tab/>
        <w:t xml:space="preserve">Transport de PETN </w:t>
      </w:r>
      <w:r w:rsidR="00ED1DE0" w:rsidRPr="00ED1DE0">
        <w:rPr>
          <w:lang w:val="fr-CH"/>
        </w:rPr>
        <w:t>mouillé à l’eau (9</w:t>
      </w:r>
      <w:r>
        <w:rPr>
          <w:lang w:val="fr-CH"/>
        </w:rPr>
        <w:t>-</w:t>
      </w:r>
      <w:r w:rsidR="00ED1DE0" w:rsidRPr="00ED1DE0">
        <w:rPr>
          <w:lang w:val="fr-CH"/>
        </w:rPr>
        <w:t>25</w:t>
      </w:r>
      <w:r>
        <w:rPr>
          <w:lang w:val="fr-CH"/>
        </w:rPr>
        <w:t> </w:t>
      </w:r>
      <w:r w:rsidR="00ED1DE0" w:rsidRPr="00ED1DE0">
        <w:rPr>
          <w:lang w:val="fr-CH"/>
        </w:rPr>
        <w:t>%)</w:t>
      </w:r>
    </w:p>
    <w:p w:rsidR="00A76AA1" w:rsidRPr="00A76AA1" w:rsidRDefault="00A76AA1" w:rsidP="00A76AA1">
      <w:pPr>
        <w:pStyle w:val="SingleTxt"/>
        <w:spacing w:after="0" w:line="120" w:lineRule="exact"/>
        <w:rPr>
          <w:sz w:val="10"/>
          <w:lang w:val="fr-CH"/>
        </w:rPr>
      </w:pPr>
    </w:p>
    <w:p w:rsidR="00ED1DE0" w:rsidRPr="00ED1DE0" w:rsidRDefault="00ED1DE0" w:rsidP="00A76AA1">
      <w:pPr>
        <w:pStyle w:val="SingleTxt"/>
        <w:rPr>
          <w:lang w:val="fr-CH"/>
        </w:rPr>
      </w:pPr>
      <w:r w:rsidRPr="00ED1DE0">
        <w:rPr>
          <w:i/>
          <w:lang w:val="fr-CH"/>
        </w:rPr>
        <w:t>Document informel</w:t>
      </w:r>
      <w:r w:rsidR="00A76AA1" w:rsidRPr="00A76AA1">
        <w:rPr>
          <w:lang w:val="fr-CH"/>
        </w:rPr>
        <w:t> </w:t>
      </w:r>
      <w:r w:rsidRPr="00A76AA1">
        <w:rPr>
          <w:lang w:val="fr-CH"/>
        </w:rPr>
        <w:t>:</w:t>
      </w:r>
      <w:r w:rsidRPr="00A76AA1">
        <w:rPr>
          <w:lang w:val="fr-CH"/>
        </w:rPr>
        <w:tab/>
      </w:r>
      <w:r w:rsidR="00A76AA1">
        <w:rPr>
          <w:lang w:val="fr-CH"/>
        </w:rPr>
        <w:tab/>
      </w:r>
      <w:r w:rsidRPr="00ED1DE0">
        <w:rPr>
          <w:lang w:val="fr-CH"/>
        </w:rPr>
        <w:t>INF.8 (Espagne)</w:t>
      </w:r>
      <w:r w:rsidR="00A76AA1">
        <w:rPr>
          <w:lang w:val="fr-CH"/>
        </w:rPr>
        <w:t>.</w:t>
      </w:r>
    </w:p>
    <w:p w:rsidR="00ED1DE0" w:rsidRDefault="00ED1DE0" w:rsidP="00633201">
      <w:pPr>
        <w:pStyle w:val="SingleTxt"/>
        <w:numPr>
          <w:ilvl w:val="0"/>
          <w:numId w:val="8"/>
        </w:numPr>
        <w:ind w:left="1267" w:firstLine="0"/>
        <w:rPr>
          <w:lang w:val="fr-CH"/>
        </w:rPr>
      </w:pPr>
      <w:r w:rsidRPr="00ED1DE0">
        <w:rPr>
          <w:lang w:val="fr-CH"/>
        </w:rPr>
        <w:t xml:space="preserve">L’experte de l’Espagne a annoncé qu’elle examinerait les observations du </w:t>
      </w:r>
      <w:r w:rsidR="005A1D1A">
        <w:rPr>
          <w:lang w:val="fr-CH"/>
        </w:rPr>
        <w:t>G</w:t>
      </w:r>
      <w:r w:rsidRPr="00ED1DE0">
        <w:rPr>
          <w:lang w:val="fr-CH"/>
        </w:rPr>
        <w:t xml:space="preserve">roupe de travail et les données supplémentaires que doit fournir l’experte de l’Allemagne et qu’elle envisagerait de soumettre une proposition pour la prochaine session si les données sont disponibles à temps, sinon </w:t>
      </w:r>
      <w:r w:rsidR="00A76AA1">
        <w:rPr>
          <w:lang w:val="fr-CH"/>
        </w:rPr>
        <w:t>à la quarante-neuvième session.</w:t>
      </w:r>
    </w:p>
    <w:p w:rsidR="00A76AA1" w:rsidRPr="00A76AA1" w:rsidRDefault="00A76AA1" w:rsidP="00A76AA1">
      <w:pPr>
        <w:pStyle w:val="SingleTxt"/>
        <w:spacing w:after="0" w:line="120" w:lineRule="exact"/>
        <w:rPr>
          <w:sz w:val="10"/>
          <w:lang w:val="fr-CH"/>
        </w:rPr>
      </w:pPr>
    </w:p>
    <w:p w:rsidR="00ED1DE0" w:rsidRDefault="00ED1DE0" w:rsidP="00A76A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4.</w:t>
      </w:r>
      <w:r w:rsidRPr="00ED1DE0">
        <w:rPr>
          <w:lang w:val="fr-CH"/>
        </w:rPr>
        <w:tab/>
        <w:t>Transport d’échantillons énergétiques en vue d’essais ultérieurs</w:t>
      </w:r>
    </w:p>
    <w:p w:rsidR="00A76AA1" w:rsidRPr="00A76AA1" w:rsidRDefault="00A76AA1" w:rsidP="00A76AA1">
      <w:pPr>
        <w:pStyle w:val="SingleTxt"/>
        <w:spacing w:after="0" w:line="120" w:lineRule="exact"/>
        <w:rPr>
          <w:sz w:val="10"/>
          <w:lang w:val="fr-CH"/>
        </w:rPr>
      </w:pPr>
    </w:p>
    <w:p w:rsidR="00ED1DE0" w:rsidRPr="00ED1DE0" w:rsidRDefault="00ED1DE0" w:rsidP="00ED1DE0">
      <w:pPr>
        <w:pStyle w:val="SingleTxt"/>
        <w:rPr>
          <w:lang w:val="fr-CH"/>
        </w:rPr>
      </w:pPr>
      <w:r w:rsidRPr="00ED1DE0">
        <w:rPr>
          <w:i/>
          <w:lang w:val="fr-CH"/>
        </w:rPr>
        <w:t>Document informel</w:t>
      </w:r>
      <w:r w:rsidR="00A76AA1" w:rsidRPr="00A76AA1">
        <w:rPr>
          <w:lang w:val="fr-CH"/>
        </w:rPr>
        <w:t> </w:t>
      </w:r>
      <w:r w:rsidRPr="00A76AA1">
        <w:rPr>
          <w:lang w:val="fr-CH"/>
        </w:rPr>
        <w:t>:</w:t>
      </w:r>
      <w:r w:rsidRPr="00ED1DE0">
        <w:rPr>
          <w:i/>
          <w:lang w:val="fr-CH"/>
        </w:rPr>
        <w:tab/>
      </w:r>
      <w:r w:rsidRPr="00ED1DE0">
        <w:rPr>
          <w:i/>
          <w:lang w:val="fr-CH"/>
        </w:rPr>
        <w:tab/>
      </w:r>
      <w:r w:rsidRPr="00ED1DE0">
        <w:rPr>
          <w:lang w:val="fr-CH"/>
        </w:rPr>
        <w:t>INF.29 (CEFIC)</w:t>
      </w:r>
      <w:r w:rsidR="00A76AA1">
        <w:rPr>
          <w:lang w:val="fr-CH"/>
        </w:rPr>
        <w:t>.</w:t>
      </w:r>
    </w:p>
    <w:p w:rsidR="00ED1DE0" w:rsidRDefault="00ED1DE0" w:rsidP="00633201">
      <w:pPr>
        <w:pStyle w:val="SingleTxt"/>
        <w:numPr>
          <w:ilvl w:val="0"/>
          <w:numId w:val="8"/>
        </w:numPr>
        <w:ind w:left="1267" w:firstLine="0"/>
        <w:rPr>
          <w:lang w:val="fr-CH"/>
        </w:rPr>
      </w:pPr>
      <w:r w:rsidRPr="00ED1DE0">
        <w:rPr>
          <w:lang w:val="fr-CH"/>
        </w:rPr>
        <w:t>Le CEFIC a été encouragé à poursuivre son travail et à soumettre une proposition lorsque seront terminés les essais prévus au paragraphe 18 du rapport du Groupe de travail et qu’une telle pro</w:t>
      </w:r>
      <w:r w:rsidR="00A76AA1">
        <w:rPr>
          <w:lang w:val="fr-CH"/>
        </w:rPr>
        <w:t>position pourra être élaborée.</w:t>
      </w:r>
    </w:p>
    <w:p w:rsidR="00A76AA1" w:rsidRPr="00A76AA1" w:rsidRDefault="00A76AA1" w:rsidP="00A76AA1">
      <w:pPr>
        <w:pStyle w:val="SingleTxt"/>
        <w:spacing w:after="0" w:line="120" w:lineRule="exact"/>
        <w:rPr>
          <w:sz w:val="10"/>
          <w:lang w:val="fr-CH"/>
        </w:rPr>
      </w:pPr>
    </w:p>
    <w:p w:rsidR="00ED1DE0" w:rsidRDefault="00ED1DE0" w:rsidP="00A76A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5.</w:t>
      </w:r>
      <w:r w:rsidRPr="00ED1DE0">
        <w:rPr>
          <w:lang w:val="fr-CH"/>
        </w:rPr>
        <w:tab/>
      </w:r>
      <w:r w:rsidRPr="00A76AA1">
        <w:rPr>
          <w:spacing w:val="0"/>
          <w:lang w:val="fr-CH"/>
        </w:rPr>
        <w:t>Dispositions relatives au transport du numéro ONU 0501 propergol solide, 1.4C</w:t>
      </w:r>
    </w:p>
    <w:p w:rsidR="00A76AA1" w:rsidRPr="00A76AA1" w:rsidRDefault="00A76AA1" w:rsidP="00A76AA1">
      <w:pPr>
        <w:pStyle w:val="SingleTxt"/>
        <w:spacing w:after="0" w:line="120" w:lineRule="exact"/>
        <w:rPr>
          <w:sz w:val="10"/>
          <w:lang w:val="fr-CH"/>
        </w:rPr>
      </w:pPr>
    </w:p>
    <w:p w:rsidR="00ED1DE0" w:rsidRPr="00ED1DE0" w:rsidRDefault="00ED1DE0" w:rsidP="00ED1DE0">
      <w:pPr>
        <w:pStyle w:val="SingleTxt"/>
        <w:rPr>
          <w:lang w:val="fr-CH"/>
        </w:rPr>
      </w:pPr>
      <w:r w:rsidRPr="00ED1DE0">
        <w:rPr>
          <w:i/>
          <w:lang w:val="fr-CH"/>
        </w:rPr>
        <w:t>Document informel</w:t>
      </w:r>
      <w:r w:rsidR="00A76AA1" w:rsidRPr="00A76AA1">
        <w:rPr>
          <w:lang w:val="fr-CH"/>
        </w:rPr>
        <w:t> </w:t>
      </w:r>
      <w:r w:rsidRPr="00A76AA1">
        <w:rPr>
          <w:lang w:val="fr-CH"/>
        </w:rPr>
        <w:t>:</w:t>
      </w:r>
      <w:r w:rsidRPr="00ED1DE0">
        <w:rPr>
          <w:i/>
          <w:lang w:val="fr-CH"/>
        </w:rPr>
        <w:tab/>
      </w:r>
      <w:r w:rsidRPr="00ED1DE0">
        <w:rPr>
          <w:i/>
          <w:lang w:val="fr-CH"/>
        </w:rPr>
        <w:tab/>
      </w:r>
      <w:r w:rsidRPr="00ED1DE0">
        <w:rPr>
          <w:lang w:val="fr-CH"/>
        </w:rPr>
        <w:t>INF.41 (États-Unis d’Amérique)</w:t>
      </w:r>
      <w:r w:rsidR="00A76AA1">
        <w:rPr>
          <w:lang w:val="fr-CH"/>
        </w:rPr>
        <w:t>.</w:t>
      </w:r>
    </w:p>
    <w:p w:rsidR="00ED1DE0" w:rsidRDefault="00ED1DE0" w:rsidP="00633201">
      <w:pPr>
        <w:pStyle w:val="SingleTxt"/>
        <w:numPr>
          <w:ilvl w:val="0"/>
          <w:numId w:val="8"/>
        </w:numPr>
        <w:ind w:left="1267" w:firstLine="0"/>
        <w:rPr>
          <w:lang w:val="fr-CH"/>
        </w:rPr>
      </w:pPr>
      <w:r w:rsidRPr="00ED1DE0">
        <w:rPr>
          <w:lang w:val="fr-CH"/>
        </w:rPr>
        <w:t>Le Sous-Comité a noté que le Groupe de travail n’avait pas pu trouver de raison logique au fait que le numéro ONU 0501 soit interdit de transport aérien contrairement aux autres rubriques de la division 1.4C. Le Sous-Comité a invité l’OACI à se pencher sur cette question et à faire une pro</w:t>
      </w:r>
      <w:r w:rsidR="00A76AA1">
        <w:rPr>
          <w:lang w:val="fr-CH"/>
        </w:rPr>
        <w:t>position appropriée à ce sujet.</w:t>
      </w:r>
    </w:p>
    <w:p w:rsidR="00A76AA1" w:rsidRPr="00A76AA1" w:rsidRDefault="00A76AA1" w:rsidP="00A76AA1">
      <w:pPr>
        <w:pStyle w:val="SingleTxt"/>
        <w:spacing w:after="0" w:line="120" w:lineRule="exact"/>
        <w:rPr>
          <w:sz w:val="10"/>
          <w:lang w:val="fr-CH"/>
        </w:rPr>
      </w:pPr>
    </w:p>
    <w:p w:rsidR="00ED1DE0" w:rsidRDefault="00ED1DE0" w:rsidP="00A76A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6.</w:t>
      </w:r>
      <w:r w:rsidRPr="00ED1DE0">
        <w:rPr>
          <w:lang w:val="fr-CH"/>
        </w:rPr>
        <w:tab/>
      </w:r>
      <w:r w:rsidRPr="00A76AA1">
        <w:rPr>
          <w:spacing w:val="0"/>
          <w:lang w:val="fr-CH"/>
        </w:rPr>
        <w:t>Procédures de classification des liquides et solides explosibles désensibilisées des numéros ONU 3379 et ONU 3380, et critères d’excl</w:t>
      </w:r>
      <w:r w:rsidR="00A76AA1" w:rsidRPr="00A76AA1">
        <w:rPr>
          <w:spacing w:val="0"/>
          <w:lang w:val="fr-CH"/>
        </w:rPr>
        <w:t>usion des matières énergétiques</w:t>
      </w:r>
    </w:p>
    <w:p w:rsidR="00A76AA1" w:rsidRPr="00A76AA1" w:rsidRDefault="00A76AA1" w:rsidP="00A76AA1">
      <w:pPr>
        <w:pStyle w:val="SingleTxt"/>
        <w:spacing w:after="0" w:line="120" w:lineRule="exact"/>
        <w:rPr>
          <w:sz w:val="10"/>
          <w:lang w:val="fr-CH"/>
        </w:rPr>
      </w:pPr>
    </w:p>
    <w:p w:rsidR="00ED1DE0" w:rsidRPr="00ED1DE0" w:rsidRDefault="00ED1DE0" w:rsidP="00ED1DE0">
      <w:pPr>
        <w:pStyle w:val="SingleTxt"/>
        <w:rPr>
          <w:lang w:val="fr-CH"/>
        </w:rPr>
      </w:pPr>
      <w:r w:rsidRPr="00ED1DE0">
        <w:rPr>
          <w:i/>
          <w:lang w:val="fr-CH"/>
        </w:rPr>
        <w:t>Document informel</w:t>
      </w:r>
      <w:r w:rsidR="00A76AA1" w:rsidRPr="00A76AA1">
        <w:rPr>
          <w:lang w:val="fr-CH"/>
        </w:rPr>
        <w:t> </w:t>
      </w:r>
      <w:r w:rsidRPr="00A76AA1">
        <w:rPr>
          <w:lang w:val="fr-CH"/>
        </w:rPr>
        <w:t>:</w:t>
      </w:r>
      <w:r w:rsidRPr="00ED1DE0">
        <w:rPr>
          <w:i/>
          <w:lang w:val="fr-CH"/>
        </w:rPr>
        <w:tab/>
      </w:r>
      <w:r w:rsidRPr="00ED1DE0">
        <w:rPr>
          <w:i/>
          <w:lang w:val="fr-CH"/>
        </w:rPr>
        <w:tab/>
      </w:r>
      <w:r w:rsidRPr="00ED1DE0">
        <w:rPr>
          <w:lang w:val="fr-CH"/>
        </w:rPr>
        <w:t>INF.50 (États-Unis d’Amérique)</w:t>
      </w:r>
      <w:r w:rsidR="00A76AA1">
        <w:rPr>
          <w:lang w:val="fr-CH"/>
        </w:rPr>
        <w:t>.</w:t>
      </w:r>
    </w:p>
    <w:p w:rsidR="00ED1DE0" w:rsidRDefault="00ED1DE0" w:rsidP="00633201">
      <w:pPr>
        <w:pStyle w:val="SingleTxt"/>
        <w:numPr>
          <w:ilvl w:val="0"/>
          <w:numId w:val="8"/>
        </w:numPr>
        <w:ind w:left="1267" w:firstLine="0"/>
        <w:rPr>
          <w:lang w:val="fr-CH"/>
        </w:rPr>
      </w:pPr>
      <w:r w:rsidRPr="00ED1DE0">
        <w:rPr>
          <w:lang w:val="fr-CH"/>
        </w:rPr>
        <w:t xml:space="preserve">Le Sous-Comité a noté que le </w:t>
      </w:r>
      <w:r w:rsidR="005A1D1A">
        <w:rPr>
          <w:lang w:val="fr-CH"/>
        </w:rPr>
        <w:t>G</w:t>
      </w:r>
      <w:r w:rsidRPr="00ED1DE0">
        <w:rPr>
          <w:lang w:val="fr-CH"/>
        </w:rPr>
        <w:t>roupe de travail était largement en faveur d’une clarification des questions abordées et il a convenu qu’un groupe dirigé par les États-Unis d’Amérique les reverrait et élaborerait des propositions pour</w:t>
      </w:r>
      <w:r w:rsidR="00A76AA1">
        <w:rPr>
          <w:lang w:val="fr-CH"/>
        </w:rPr>
        <w:t xml:space="preserve"> examen à une future session.</w:t>
      </w:r>
    </w:p>
    <w:p w:rsidR="00A76AA1" w:rsidRPr="00A76AA1" w:rsidRDefault="00A76AA1" w:rsidP="00A76AA1">
      <w:pPr>
        <w:pStyle w:val="SingleTxt"/>
        <w:spacing w:after="0" w:line="120" w:lineRule="exact"/>
        <w:rPr>
          <w:sz w:val="10"/>
          <w:lang w:val="fr-CH"/>
        </w:rPr>
      </w:pPr>
    </w:p>
    <w:p w:rsidR="00A76AA1" w:rsidRPr="00A76AA1" w:rsidRDefault="00A76AA1" w:rsidP="00A76AA1">
      <w:pPr>
        <w:pStyle w:val="SingleTxt"/>
        <w:spacing w:after="0" w:line="120" w:lineRule="exact"/>
        <w:rPr>
          <w:sz w:val="10"/>
          <w:lang w:val="fr-CH"/>
        </w:rPr>
      </w:pPr>
    </w:p>
    <w:p w:rsidR="00ED1DE0" w:rsidRDefault="00ED1DE0" w:rsidP="00A76AA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IV.</w:t>
      </w:r>
      <w:r w:rsidRPr="00ED1DE0">
        <w:rPr>
          <w:lang w:val="fr-CH"/>
        </w:rPr>
        <w:tab/>
        <w:t xml:space="preserve">Inscription, classement et emballage </w:t>
      </w:r>
      <w:r w:rsidR="00A76AA1">
        <w:rPr>
          <w:lang w:val="fr-CH"/>
        </w:rPr>
        <w:br/>
        <w:t>(point 3 de l’ordre du jour)</w:t>
      </w:r>
    </w:p>
    <w:p w:rsidR="00A76AA1" w:rsidRPr="00A76AA1" w:rsidRDefault="00A76AA1" w:rsidP="00A76AA1">
      <w:pPr>
        <w:pStyle w:val="SingleTxt"/>
        <w:spacing w:after="0" w:line="120" w:lineRule="exact"/>
        <w:rPr>
          <w:sz w:val="10"/>
          <w:lang w:val="fr-CH"/>
        </w:rPr>
      </w:pPr>
    </w:p>
    <w:p w:rsidR="00A76AA1" w:rsidRPr="00A76AA1" w:rsidRDefault="00A76AA1" w:rsidP="00A76AA1">
      <w:pPr>
        <w:pStyle w:val="SingleTxt"/>
        <w:spacing w:after="0" w:line="120" w:lineRule="exact"/>
        <w:rPr>
          <w:sz w:val="10"/>
          <w:lang w:val="fr-CH"/>
        </w:rPr>
      </w:pPr>
    </w:p>
    <w:p w:rsidR="00ED1DE0" w:rsidRDefault="00A76AA1" w:rsidP="00FD3E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A.</w:t>
      </w:r>
      <w:r>
        <w:rPr>
          <w:lang w:val="fr-CH"/>
        </w:rPr>
        <w:tab/>
        <w:t>Dithionite de sodium</w:t>
      </w:r>
      <w:r w:rsidR="00ED1DE0" w:rsidRPr="00ED1DE0">
        <w:rPr>
          <w:lang w:val="fr-CH"/>
        </w:rPr>
        <w:t xml:space="preserve"> (n</w:t>
      </w:r>
      <w:r w:rsidR="00FD3E1D">
        <w:rPr>
          <w:lang w:val="fr-CH"/>
        </w:rPr>
        <w:t xml:space="preserve">uméro </w:t>
      </w:r>
      <w:r w:rsidR="00ED1DE0" w:rsidRPr="00ED1DE0">
        <w:rPr>
          <w:lang w:val="fr-CH"/>
        </w:rPr>
        <w:t>ONU 1384)</w:t>
      </w:r>
    </w:p>
    <w:p w:rsidR="00A76AA1" w:rsidRPr="00A76AA1" w:rsidRDefault="00A76AA1" w:rsidP="00A76AA1">
      <w:pPr>
        <w:pStyle w:val="SingleTxt"/>
        <w:spacing w:after="0" w:line="120" w:lineRule="exact"/>
        <w:rPr>
          <w:sz w:val="10"/>
          <w:lang w:val="fr-CH"/>
        </w:rPr>
      </w:pPr>
    </w:p>
    <w:p w:rsidR="00A76AA1" w:rsidRPr="00A76AA1" w:rsidRDefault="00A76AA1" w:rsidP="00A76AA1">
      <w:pPr>
        <w:pStyle w:val="SingleTxt"/>
        <w:spacing w:after="0" w:line="120" w:lineRule="exact"/>
        <w:rPr>
          <w:sz w:val="10"/>
          <w:lang w:val="fr-CH"/>
        </w:rPr>
      </w:pPr>
    </w:p>
    <w:p w:rsidR="00ED1DE0" w:rsidRPr="00ED1DE0" w:rsidRDefault="00ED1DE0" w:rsidP="00ED1DE0">
      <w:pPr>
        <w:pStyle w:val="SingleTxt"/>
        <w:rPr>
          <w:lang w:val="fr-CH"/>
        </w:rPr>
      </w:pPr>
      <w:r w:rsidRPr="00ED1DE0">
        <w:rPr>
          <w:i/>
          <w:lang w:val="fr-CH"/>
        </w:rPr>
        <w:t>Document</w:t>
      </w:r>
      <w:r w:rsidR="00A76AA1">
        <w:rPr>
          <w:i/>
          <w:lang w:val="fr-CH"/>
        </w:rPr>
        <w:t> </w:t>
      </w:r>
      <w:r w:rsidRPr="00ED1DE0">
        <w:rPr>
          <w:lang w:val="fr-CH"/>
        </w:rPr>
        <w:t>:</w:t>
      </w:r>
      <w:r w:rsidRPr="00ED1DE0">
        <w:rPr>
          <w:lang w:val="fr-CH"/>
        </w:rPr>
        <w:tab/>
      </w:r>
      <w:r w:rsidRPr="00ED1DE0">
        <w:rPr>
          <w:lang w:val="fr-CH"/>
        </w:rPr>
        <w:tab/>
      </w:r>
      <w:r w:rsidRPr="00ED1DE0">
        <w:rPr>
          <w:lang w:val="fr-CH"/>
        </w:rPr>
        <w:tab/>
        <w:t>ST/SG/AC.10/C.3/2015/3 (Canada)</w:t>
      </w:r>
      <w:r w:rsidR="00A76AA1">
        <w:rPr>
          <w:lang w:val="fr-CH"/>
        </w:rPr>
        <w:t>.</w:t>
      </w:r>
    </w:p>
    <w:p w:rsidR="00ED1DE0" w:rsidRDefault="00ED1DE0" w:rsidP="00633201">
      <w:pPr>
        <w:pStyle w:val="SingleTxt"/>
        <w:numPr>
          <w:ilvl w:val="0"/>
          <w:numId w:val="8"/>
        </w:numPr>
        <w:ind w:left="1267" w:firstLine="0"/>
        <w:rPr>
          <w:lang w:val="fr-CH"/>
        </w:rPr>
      </w:pPr>
      <w:r w:rsidRPr="00ED1DE0">
        <w:rPr>
          <w:lang w:val="fr-CH"/>
        </w:rPr>
        <w:t xml:space="preserve">Plusieurs experts n’étaient pas favorables à la proposition d’ajouter le qualificatif </w:t>
      </w:r>
      <w:r w:rsidR="00A76AA1">
        <w:rPr>
          <w:lang w:val="fr-CH"/>
        </w:rPr>
        <w:t>« </w:t>
      </w:r>
      <w:r w:rsidRPr="00ED1DE0">
        <w:rPr>
          <w:lang w:val="fr-CH"/>
        </w:rPr>
        <w:t>SOLIDE » à la désignation officielle de transport, notamment car l’état physique n’est généralement pas mentionné dans le cas des matières pures à moins que la désignation couvre plusieurs isomères de propriétés différentes. Par ailleurs, selon le paragraphe 2.0.2.5, le numéro ONU 1384 ne doit pas être utilisé pour les solutions de matières solides. À la suite de cette discussion, l’expert du Canada a retiré sa proposition.</w:t>
      </w:r>
    </w:p>
    <w:p w:rsidR="00A76AA1" w:rsidRPr="00A76AA1" w:rsidRDefault="00A76AA1" w:rsidP="00A76AA1">
      <w:pPr>
        <w:pStyle w:val="SingleTxt"/>
        <w:spacing w:after="0" w:line="120" w:lineRule="exact"/>
        <w:rPr>
          <w:sz w:val="10"/>
          <w:lang w:val="fr-CH"/>
        </w:rPr>
      </w:pPr>
    </w:p>
    <w:p w:rsidR="00A76AA1" w:rsidRPr="00A76AA1" w:rsidRDefault="00A76AA1" w:rsidP="00A76AA1">
      <w:pPr>
        <w:pStyle w:val="SingleTxt"/>
        <w:spacing w:after="0" w:line="120" w:lineRule="exact"/>
        <w:rPr>
          <w:sz w:val="10"/>
          <w:lang w:val="fr-CH"/>
        </w:rPr>
      </w:pPr>
    </w:p>
    <w:p w:rsidR="00ED1DE0" w:rsidRDefault="00ED1DE0" w:rsidP="00A76A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B.</w:t>
      </w:r>
      <w:r w:rsidRPr="00ED1DE0">
        <w:rPr>
          <w:lang w:val="fr-CH"/>
        </w:rPr>
        <w:tab/>
        <w:t>Classement des tourteaux (n</w:t>
      </w:r>
      <w:r w:rsidR="00D94473">
        <w:rPr>
          <w:lang w:val="fr-CH"/>
        </w:rPr>
        <w:t xml:space="preserve">uméro </w:t>
      </w:r>
      <w:r w:rsidRPr="00ED1DE0">
        <w:rPr>
          <w:lang w:val="fr-CH"/>
        </w:rPr>
        <w:t>ONU 1386 et 2217)</w:t>
      </w:r>
    </w:p>
    <w:p w:rsidR="00A76AA1" w:rsidRPr="00A76AA1" w:rsidRDefault="00A76AA1" w:rsidP="00A76AA1">
      <w:pPr>
        <w:pStyle w:val="SingleTxt"/>
        <w:spacing w:after="0" w:line="120" w:lineRule="exact"/>
        <w:rPr>
          <w:sz w:val="10"/>
          <w:lang w:val="fr-CH"/>
        </w:rPr>
      </w:pPr>
    </w:p>
    <w:p w:rsidR="00A76AA1" w:rsidRPr="00A76AA1" w:rsidRDefault="00A76AA1" w:rsidP="00A76AA1">
      <w:pPr>
        <w:pStyle w:val="SingleTxt"/>
        <w:spacing w:after="0" w:line="120" w:lineRule="exact"/>
        <w:rPr>
          <w:sz w:val="10"/>
          <w:lang w:val="fr-CH"/>
        </w:rPr>
      </w:pPr>
    </w:p>
    <w:p w:rsidR="00ED1DE0" w:rsidRPr="00ED1DE0" w:rsidRDefault="00ED1DE0" w:rsidP="00A76AA1">
      <w:pPr>
        <w:pStyle w:val="SingleTxt"/>
        <w:rPr>
          <w:lang w:val="fr-CH"/>
        </w:rPr>
      </w:pPr>
      <w:r w:rsidRPr="00ED1DE0">
        <w:rPr>
          <w:i/>
          <w:lang w:val="fr-CH"/>
        </w:rPr>
        <w:t>Document</w:t>
      </w:r>
      <w:r w:rsidR="00A76AA1">
        <w:rPr>
          <w:i/>
          <w:lang w:val="fr-CH"/>
        </w:rPr>
        <w:t> </w:t>
      </w:r>
      <w:r w:rsidRPr="00ED1DE0">
        <w:rPr>
          <w:lang w:val="fr-CH"/>
        </w:rPr>
        <w:t>:</w:t>
      </w:r>
      <w:r w:rsidRPr="00ED1DE0">
        <w:rPr>
          <w:lang w:val="fr-CH"/>
        </w:rPr>
        <w:tab/>
      </w:r>
      <w:r w:rsidRPr="00ED1DE0">
        <w:rPr>
          <w:lang w:val="fr-CH"/>
        </w:rPr>
        <w:tab/>
      </w:r>
      <w:r w:rsidR="00A76AA1">
        <w:rPr>
          <w:lang w:val="fr-CH"/>
        </w:rPr>
        <w:tab/>
      </w:r>
      <w:r w:rsidRPr="00ED1DE0">
        <w:rPr>
          <w:lang w:val="fr-CH"/>
        </w:rPr>
        <w:t>ST/SG/AC.10/C.3/2015/7 (Allemagne)</w:t>
      </w:r>
      <w:r w:rsidR="00A76AA1">
        <w:rPr>
          <w:lang w:val="fr-CH"/>
        </w:rPr>
        <w:t>.</w:t>
      </w:r>
    </w:p>
    <w:p w:rsidR="00ED1DE0" w:rsidRPr="00ED1DE0" w:rsidRDefault="00ED1DE0" w:rsidP="00633201">
      <w:pPr>
        <w:pStyle w:val="SingleTxt"/>
        <w:numPr>
          <w:ilvl w:val="0"/>
          <w:numId w:val="8"/>
        </w:numPr>
        <w:ind w:left="1267" w:firstLine="0"/>
        <w:rPr>
          <w:lang w:val="fr-CH"/>
        </w:rPr>
      </w:pPr>
      <w:r w:rsidRPr="00ED1DE0">
        <w:rPr>
          <w:lang w:val="fr-CH"/>
        </w:rPr>
        <w:t>Plusieurs délégations ont estimé que la proposition de l’Allemagne avait une portée trop large, dans le sens où la disposition spéciale proposée revenait à considérer par défaut que des produits qui ne sont pas oléagineux, comme la pulpe de betterave ou le riz cassé, relevaient de la division 4.2, à moins que des essais démontrent le contraire. D’autres délégations ont estimé que les matières organiques présentant un risque d’auto-échauffement seraient déjà couvertes par le numéro ONU 3088 et qu’il convenait de conserver une rubrique plus spécifiquement consacrée aux tourteaux. Elles estimaient que la proposition n’était pas justifiée sur la base des données actuelles d’accidentologie.</w:t>
      </w:r>
    </w:p>
    <w:p w:rsidR="00ED1DE0" w:rsidRDefault="00ED1DE0" w:rsidP="00633201">
      <w:pPr>
        <w:pStyle w:val="SingleTxt"/>
        <w:numPr>
          <w:ilvl w:val="0"/>
          <w:numId w:val="8"/>
        </w:numPr>
        <w:ind w:left="1267" w:firstLine="0"/>
        <w:rPr>
          <w:lang w:val="fr-CH"/>
        </w:rPr>
      </w:pPr>
      <w:r w:rsidRPr="00ED1DE0">
        <w:rPr>
          <w:lang w:val="fr-CH"/>
        </w:rPr>
        <w:t>L’experte de l’Allemagne a retiré sa proposition tout en indiquant qu’elle pourrait revenir sur cette qu</w:t>
      </w:r>
      <w:r w:rsidR="00A76AA1">
        <w:rPr>
          <w:lang w:val="fr-CH"/>
        </w:rPr>
        <w:t>estion à une prochaine session.</w:t>
      </w:r>
    </w:p>
    <w:p w:rsidR="00A76AA1" w:rsidRPr="00A76AA1" w:rsidRDefault="00A76AA1" w:rsidP="00A76AA1">
      <w:pPr>
        <w:pStyle w:val="SingleTxt"/>
        <w:spacing w:after="0" w:line="120" w:lineRule="exact"/>
        <w:rPr>
          <w:sz w:val="10"/>
          <w:lang w:val="fr-CH"/>
        </w:rPr>
      </w:pPr>
    </w:p>
    <w:p w:rsidR="00A76AA1" w:rsidRPr="00A76AA1" w:rsidRDefault="00A76AA1" w:rsidP="00A76AA1">
      <w:pPr>
        <w:pStyle w:val="SingleTxt"/>
        <w:spacing w:after="0" w:line="120" w:lineRule="exact"/>
        <w:rPr>
          <w:sz w:val="10"/>
          <w:lang w:val="fr-CH"/>
        </w:rPr>
      </w:pPr>
    </w:p>
    <w:p w:rsidR="00ED1DE0" w:rsidRDefault="00ED1DE0" w:rsidP="00A76A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C.</w:t>
      </w:r>
      <w:r w:rsidRPr="00ED1DE0">
        <w:rPr>
          <w:lang w:val="fr-CH"/>
        </w:rPr>
        <w:tab/>
        <w:t xml:space="preserve">Utilisation d’éthoxyquine pour la stabilisation de farines </w:t>
      </w:r>
      <w:r w:rsidR="00A76AA1">
        <w:rPr>
          <w:lang w:val="fr-CH"/>
        </w:rPr>
        <w:br/>
      </w:r>
      <w:r w:rsidRPr="00ED1DE0">
        <w:rPr>
          <w:lang w:val="fr-CH"/>
        </w:rPr>
        <w:t>de poisson (numéro ONU 2216)</w:t>
      </w:r>
    </w:p>
    <w:p w:rsidR="00A76AA1" w:rsidRPr="00A76AA1" w:rsidRDefault="00A76AA1" w:rsidP="00A76AA1">
      <w:pPr>
        <w:pStyle w:val="SingleTxt"/>
        <w:spacing w:after="0" w:line="120" w:lineRule="exact"/>
        <w:rPr>
          <w:sz w:val="10"/>
          <w:lang w:val="fr-CH"/>
        </w:rPr>
      </w:pPr>
    </w:p>
    <w:p w:rsidR="00A76AA1" w:rsidRPr="00A76AA1" w:rsidRDefault="00A76AA1" w:rsidP="00A76AA1">
      <w:pPr>
        <w:pStyle w:val="SingleTxt"/>
        <w:spacing w:after="0" w:line="120" w:lineRule="exact"/>
        <w:rPr>
          <w:sz w:val="10"/>
          <w:lang w:val="fr-CH"/>
        </w:rPr>
      </w:pPr>
    </w:p>
    <w:p w:rsidR="00ED1DE0" w:rsidRPr="00ED1DE0" w:rsidRDefault="00ED1DE0" w:rsidP="00A76AA1">
      <w:pPr>
        <w:pStyle w:val="SingleTxt"/>
        <w:rPr>
          <w:lang w:val="fr-CH"/>
        </w:rPr>
      </w:pPr>
      <w:r w:rsidRPr="00ED1DE0">
        <w:rPr>
          <w:i/>
          <w:iCs/>
          <w:lang w:val="fr-CH"/>
        </w:rPr>
        <w:t>Document</w:t>
      </w:r>
      <w:r w:rsidR="00A76AA1">
        <w:rPr>
          <w:i/>
          <w:iCs/>
          <w:lang w:val="fr-CH"/>
        </w:rPr>
        <w:t> </w:t>
      </w:r>
      <w:r w:rsidRPr="00ED1DE0">
        <w:rPr>
          <w:lang w:val="fr-CH"/>
        </w:rPr>
        <w:t>:</w:t>
      </w:r>
      <w:r w:rsidRPr="00ED1DE0">
        <w:rPr>
          <w:lang w:val="fr-CH"/>
        </w:rPr>
        <w:tab/>
      </w:r>
      <w:r w:rsidRPr="00ED1DE0">
        <w:rPr>
          <w:lang w:val="fr-CH"/>
        </w:rPr>
        <w:tab/>
      </w:r>
      <w:r w:rsidRPr="00ED1DE0">
        <w:rPr>
          <w:lang w:val="fr-CH"/>
        </w:rPr>
        <w:tab/>
        <w:t>ST/SG/AC.10/C.3/2015/14 (IFFO)</w:t>
      </w:r>
      <w:r w:rsidR="00A76AA1">
        <w:rPr>
          <w:lang w:val="fr-CH"/>
        </w:rPr>
        <w:t>.</w:t>
      </w:r>
    </w:p>
    <w:p w:rsidR="00ED1DE0" w:rsidRPr="00ED1DE0" w:rsidRDefault="00ED1DE0" w:rsidP="00633201">
      <w:pPr>
        <w:pStyle w:val="SingleTxt"/>
        <w:numPr>
          <w:ilvl w:val="0"/>
          <w:numId w:val="8"/>
        </w:numPr>
        <w:ind w:left="1267" w:firstLine="0"/>
        <w:rPr>
          <w:lang w:val="fr-CH"/>
        </w:rPr>
      </w:pPr>
      <w:r w:rsidRPr="00ED1DE0">
        <w:rPr>
          <w:lang w:val="fr-CH"/>
        </w:rPr>
        <w:t>Le Sous-Comité a noté que l’éthoxyquine, utilisée efficacement depuis de nombreuses années pour prévenir l’auto</w:t>
      </w:r>
      <w:r w:rsidR="003A4A66">
        <w:rPr>
          <w:lang w:val="fr-CH"/>
        </w:rPr>
        <w:t>-</w:t>
      </w:r>
      <w:r w:rsidRPr="00ED1DE0">
        <w:rPr>
          <w:lang w:val="fr-CH"/>
        </w:rPr>
        <w:t>échauffement de la farine de poisson en cours de transport, pouvait se retrouver comme résidu dans la viande d’animaux nourris avec des farines, à des niveaux susceptibles d’être trop élevés par rapport à la législation relative aux additifs alimentaires en vigueur ou en préparation dans certains pays, notamment dans ceux de l’Union européenne.</w:t>
      </w:r>
    </w:p>
    <w:p w:rsidR="00ED1DE0" w:rsidRDefault="00ED1DE0" w:rsidP="00633201">
      <w:pPr>
        <w:pStyle w:val="SingleTxt"/>
        <w:numPr>
          <w:ilvl w:val="0"/>
          <w:numId w:val="8"/>
        </w:numPr>
        <w:ind w:left="1267" w:firstLine="0"/>
        <w:rPr>
          <w:lang w:val="fr-CH"/>
        </w:rPr>
      </w:pPr>
      <w:r w:rsidRPr="00ED1DE0">
        <w:rPr>
          <w:lang w:val="fr-CH"/>
        </w:rPr>
        <w:t>Le Sous-Comité a donc unanimement encouragé l’IFFO à continuer à cher</w:t>
      </w:r>
      <w:r w:rsidR="00FC6BB3">
        <w:rPr>
          <w:lang w:val="fr-CH"/>
        </w:rPr>
        <w:t>cher des solutions pour réduire</w:t>
      </w:r>
      <w:r w:rsidRPr="00ED1DE0">
        <w:rPr>
          <w:lang w:val="fr-CH"/>
        </w:rPr>
        <w:t xml:space="preserve"> les concentrations actuellement utilisées ou à faire usage d’autres antioxydants. </w:t>
      </w:r>
      <w:r w:rsidR="003A4A66">
        <w:rPr>
          <w:lang w:val="fr-CH"/>
        </w:rPr>
        <w:t xml:space="preserve">Le Sous-Comité a recommandé également d’introduire des essais visant à déterminer les propriétés d’auto-échauffement. </w:t>
      </w:r>
      <w:r w:rsidRPr="00ED1DE0">
        <w:rPr>
          <w:lang w:val="fr-CH"/>
        </w:rPr>
        <w:t>Les délégations intéressées pouvaient transmettre leurs commentaires à la représentante de l’IFFO qui les tiendrait au courant des résultats des essais et travaux en cours, et présenterait un nouveau document à la prochaine session suivant l’état d’avancement des travaux.</w:t>
      </w:r>
    </w:p>
    <w:p w:rsidR="00A76AA1" w:rsidRPr="00A76AA1" w:rsidRDefault="00A76AA1" w:rsidP="00A76AA1">
      <w:pPr>
        <w:pStyle w:val="SingleTxt"/>
        <w:spacing w:after="0" w:line="120" w:lineRule="exact"/>
        <w:rPr>
          <w:sz w:val="10"/>
          <w:lang w:val="fr-CH"/>
        </w:rPr>
      </w:pPr>
    </w:p>
    <w:p w:rsidR="00A76AA1" w:rsidRPr="00A76AA1" w:rsidRDefault="00A76AA1" w:rsidP="00A76AA1">
      <w:pPr>
        <w:pStyle w:val="SingleTxt"/>
        <w:spacing w:after="0" w:line="120" w:lineRule="exact"/>
        <w:rPr>
          <w:sz w:val="10"/>
          <w:lang w:val="fr-CH"/>
        </w:rPr>
      </w:pPr>
    </w:p>
    <w:p w:rsidR="00ED1DE0" w:rsidRDefault="00ED1DE0" w:rsidP="00AD385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D.</w:t>
      </w:r>
      <w:r w:rsidRPr="00ED1DE0">
        <w:rPr>
          <w:lang w:val="fr-CH"/>
        </w:rPr>
        <w:tab/>
        <w:t xml:space="preserve">Application des critères relatifs aux matières dangereuses </w:t>
      </w:r>
      <w:r w:rsidR="00A76AA1">
        <w:rPr>
          <w:lang w:val="fr-CH"/>
        </w:rPr>
        <w:br/>
      </w:r>
      <w:r w:rsidRPr="00ED1DE0">
        <w:rPr>
          <w:lang w:val="fr-CH"/>
        </w:rPr>
        <w:t>pour l’environnement aux objets qu</w:t>
      </w:r>
      <w:r w:rsidR="00A76AA1">
        <w:rPr>
          <w:lang w:val="fr-CH"/>
        </w:rPr>
        <w:t>i en contiennent</w:t>
      </w:r>
    </w:p>
    <w:p w:rsidR="00A76AA1" w:rsidRPr="00A76AA1" w:rsidRDefault="00A76AA1" w:rsidP="00AD3852">
      <w:pPr>
        <w:pStyle w:val="SingleTxt"/>
        <w:keepNext/>
        <w:keepLines/>
        <w:spacing w:after="0" w:line="120" w:lineRule="exact"/>
        <w:rPr>
          <w:sz w:val="10"/>
          <w:lang w:val="fr-CH"/>
        </w:rPr>
      </w:pPr>
    </w:p>
    <w:p w:rsidR="00A76AA1" w:rsidRPr="00A76AA1" w:rsidRDefault="00A76AA1" w:rsidP="00AD3852">
      <w:pPr>
        <w:pStyle w:val="SingleTxt"/>
        <w:keepNext/>
        <w:keepLines/>
        <w:spacing w:after="0" w:line="120" w:lineRule="exact"/>
        <w:rPr>
          <w:sz w:val="10"/>
          <w:lang w:val="fr-CH"/>
        </w:rPr>
      </w:pPr>
    </w:p>
    <w:p w:rsidR="00ED1DE0" w:rsidRPr="00ED1DE0" w:rsidRDefault="00ED1DE0" w:rsidP="00ED1DE0">
      <w:pPr>
        <w:pStyle w:val="SingleTxt"/>
        <w:rPr>
          <w:i/>
          <w:iCs/>
          <w:lang w:val="fr-CH"/>
        </w:rPr>
      </w:pPr>
      <w:r w:rsidRPr="00ED1DE0">
        <w:rPr>
          <w:i/>
          <w:iCs/>
          <w:lang w:val="fr-CH"/>
        </w:rPr>
        <w:t>Document</w:t>
      </w:r>
      <w:r w:rsidR="00A76AA1">
        <w:rPr>
          <w:i/>
          <w:iCs/>
          <w:lang w:val="fr-CH"/>
        </w:rPr>
        <w:t> </w:t>
      </w:r>
      <w:r w:rsidRPr="00ED1DE0">
        <w:rPr>
          <w:lang w:val="fr-CH"/>
        </w:rPr>
        <w:t>:</w:t>
      </w:r>
      <w:r w:rsidRPr="00ED1DE0">
        <w:rPr>
          <w:lang w:val="fr-CH"/>
        </w:rPr>
        <w:tab/>
      </w:r>
      <w:r w:rsidRPr="00ED1DE0">
        <w:rPr>
          <w:lang w:val="fr-CH"/>
        </w:rPr>
        <w:tab/>
      </w:r>
      <w:r w:rsidRPr="00ED1DE0">
        <w:rPr>
          <w:lang w:val="fr-CH"/>
        </w:rPr>
        <w:tab/>
        <w:t>ST/SG/AC.10/C.3/2015/8 (Allemagne)</w:t>
      </w:r>
      <w:r w:rsidR="00A76AA1">
        <w:rPr>
          <w:lang w:val="fr-CH"/>
        </w:rPr>
        <w:t>.</w:t>
      </w:r>
    </w:p>
    <w:p w:rsidR="00ED1DE0" w:rsidRDefault="00ED1DE0" w:rsidP="00633201">
      <w:pPr>
        <w:pStyle w:val="SingleTxt"/>
        <w:numPr>
          <w:ilvl w:val="0"/>
          <w:numId w:val="8"/>
        </w:numPr>
        <w:ind w:left="1267" w:firstLine="0"/>
        <w:rPr>
          <w:lang w:val="fr-CH"/>
        </w:rPr>
      </w:pPr>
      <w:r w:rsidRPr="00ED1DE0">
        <w:rPr>
          <w:lang w:val="fr-CH"/>
        </w:rPr>
        <w:t>Les avis étaient partagés sur la question car les critères de classification dans la plupart des classes de marchandises dangereuses s’appliquent aux matières et non pas aux objets qui contiennent ces matières. Par ailleurs, comme la question des véhicules, moteurs ou machines contenant des marchandises danger</w:t>
      </w:r>
      <w:r w:rsidR="00FC6BB3">
        <w:rPr>
          <w:lang w:val="fr-CH"/>
        </w:rPr>
        <w:t xml:space="preserve">euses faisait également débat, </w:t>
      </w:r>
      <w:r w:rsidRPr="00ED1DE0">
        <w:rPr>
          <w:lang w:val="fr-CH"/>
        </w:rPr>
        <w:t>il a été suggéré que la question soit abordée au titre du point 6</w:t>
      </w:r>
      <w:r w:rsidR="00AD3852">
        <w:rPr>
          <w:lang w:val="fr-CH"/>
        </w:rPr>
        <w:t> </w:t>
      </w:r>
      <w:r w:rsidRPr="00ED1DE0">
        <w:rPr>
          <w:lang w:val="fr-CH"/>
        </w:rPr>
        <w:t>a) lors de la discussion du document informel INF.7 présenté par le Royaume-Uni.</w:t>
      </w:r>
    </w:p>
    <w:p w:rsidR="00A76AA1" w:rsidRPr="00A76AA1" w:rsidRDefault="00A76AA1" w:rsidP="00A76AA1">
      <w:pPr>
        <w:pStyle w:val="SingleTxt"/>
        <w:spacing w:after="0" w:line="120" w:lineRule="exact"/>
        <w:rPr>
          <w:sz w:val="10"/>
          <w:lang w:val="fr-CH"/>
        </w:rPr>
      </w:pPr>
    </w:p>
    <w:p w:rsidR="00A76AA1" w:rsidRPr="00A76AA1" w:rsidRDefault="00A76AA1" w:rsidP="00A76AA1">
      <w:pPr>
        <w:pStyle w:val="SingleTxt"/>
        <w:spacing w:after="0" w:line="120" w:lineRule="exact"/>
        <w:rPr>
          <w:sz w:val="10"/>
          <w:lang w:val="fr-CH"/>
        </w:rPr>
      </w:pPr>
    </w:p>
    <w:p w:rsidR="00ED1DE0" w:rsidRDefault="00ED1DE0" w:rsidP="00A76A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E.</w:t>
      </w:r>
      <w:r w:rsidRPr="00ED1DE0">
        <w:rPr>
          <w:lang w:val="fr-CH"/>
        </w:rPr>
        <w:tab/>
        <w:t>Matières susceptibles d’être identifiées comme toxiques et corrosives</w:t>
      </w:r>
    </w:p>
    <w:p w:rsidR="00A76AA1" w:rsidRPr="00A76AA1" w:rsidRDefault="00A76AA1" w:rsidP="00A76AA1">
      <w:pPr>
        <w:pStyle w:val="SingleTxt"/>
        <w:spacing w:after="0" w:line="120" w:lineRule="exact"/>
        <w:rPr>
          <w:sz w:val="10"/>
          <w:lang w:val="fr-CH"/>
        </w:rPr>
      </w:pPr>
    </w:p>
    <w:p w:rsidR="00A76AA1" w:rsidRPr="00A76AA1" w:rsidRDefault="00A76AA1" w:rsidP="00A76AA1">
      <w:pPr>
        <w:pStyle w:val="SingleTxt"/>
        <w:spacing w:after="0" w:line="120" w:lineRule="exact"/>
        <w:rPr>
          <w:sz w:val="10"/>
          <w:lang w:val="fr-CH"/>
        </w:rPr>
      </w:pPr>
    </w:p>
    <w:p w:rsidR="00ED1DE0" w:rsidRPr="00ED1DE0" w:rsidRDefault="00ED1DE0" w:rsidP="00ED1DE0">
      <w:pPr>
        <w:pStyle w:val="SingleTxt"/>
        <w:rPr>
          <w:i/>
          <w:iCs/>
          <w:lang w:val="fr-CH"/>
        </w:rPr>
      </w:pPr>
      <w:r w:rsidRPr="00ED1DE0">
        <w:rPr>
          <w:i/>
          <w:iCs/>
          <w:lang w:val="fr-CH"/>
        </w:rPr>
        <w:t>Document</w:t>
      </w:r>
      <w:r w:rsidR="00A76AA1">
        <w:rPr>
          <w:i/>
          <w:iCs/>
          <w:lang w:val="fr-CH"/>
        </w:rPr>
        <w:t> </w:t>
      </w:r>
      <w:r w:rsidRPr="00ED1DE0">
        <w:rPr>
          <w:lang w:val="fr-CH"/>
        </w:rPr>
        <w:t>:</w:t>
      </w:r>
      <w:r w:rsidRPr="00ED1DE0">
        <w:rPr>
          <w:lang w:val="fr-CH"/>
        </w:rPr>
        <w:tab/>
      </w:r>
      <w:r w:rsidRPr="00ED1DE0">
        <w:rPr>
          <w:lang w:val="fr-CH"/>
        </w:rPr>
        <w:tab/>
      </w:r>
      <w:r w:rsidR="00A76AA1">
        <w:rPr>
          <w:lang w:val="fr-CH"/>
        </w:rPr>
        <w:tab/>
      </w:r>
      <w:r w:rsidRPr="00ED1DE0">
        <w:rPr>
          <w:lang w:val="fr-CH"/>
        </w:rPr>
        <w:t>ST/SG/AC.10/C.3/2015/11 (République de Corée)</w:t>
      </w:r>
      <w:r w:rsidR="00A76AA1">
        <w:rPr>
          <w:lang w:val="fr-CH"/>
        </w:rPr>
        <w:t>.</w:t>
      </w:r>
    </w:p>
    <w:p w:rsidR="00ED1DE0" w:rsidRPr="00ED1DE0" w:rsidRDefault="00ED1DE0" w:rsidP="00633201">
      <w:pPr>
        <w:pStyle w:val="SingleTxt"/>
        <w:numPr>
          <w:ilvl w:val="0"/>
          <w:numId w:val="8"/>
        </w:numPr>
        <w:ind w:left="1267" w:firstLine="0"/>
        <w:rPr>
          <w:lang w:val="fr-CH"/>
        </w:rPr>
      </w:pPr>
      <w:r w:rsidRPr="00ED1DE0">
        <w:rPr>
          <w:lang w:val="fr-CH"/>
        </w:rPr>
        <w:t>Le Sous-Comité a pris note de l’avis de l’experte de la République de Corée selon lequel, à la lumière des informations figurant dans les profils de risque établis par le GESAMP (Groupe mixte d’experts chargé d’étudier les aspects scientifiques de la protection de l’environnement marin, circulaire PPR.1/Circ.1 de l’Organisation maritime internationale (OMI)</w:t>
      </w:r>
      <w:r w:rsidR="002422D4">
        <w:rPr>
          <w:lang w:val="fr-CH"/>
        </w:rPr>
        <w:t>)</w:t>
      </w:r>
      <w:r w:rsidRPr="00ED1DE0">
        <w:rPr>
          <w:lang w:val="fr-CH"/>
        </w:rPr>
        <w:t>, certaines matières de la liste du Règlement type devraient pouvoir se faire affecter des risques supplémentaires de la division</w:t>
      </w:r>
      <w:r w:rsidR="00AD3852">
        <w:rPr>
          <w:lang w:val="fr-CH"/>
        </w:rPr>
        <w:t> </w:t>
      </w:r>
      <w:r w:rsidRPr="00ED1DE0">
        <w:rPr>
          <w:lang w:val="fr-CH"/>
        </w:rPr>
        <w:t>6.1 ou de la classe</w:t>
      </w:r>
      <w:r w:rsidR="00AD3852">
        <w:rPr>
          <w:lang w:val="fr-CH"/>
        </w:rPr>
        <w:t> </w:t>
      </w:r>
      <w:r w:rsidRPr="00ED1DE0">
        <w:rPr>
          <w:lang w:val="fr-CH"/>
        </w:rPr>
        <w:t>8.</w:t>
      </w:r>
    </w:p>
    <w:p w:rsidR="00ED1DE0" w:rsidRPr="00ED1DE0" w:rsidRDefault="00ED1DE0" w:rsidP="00633201">
      <w:pPr>
        <w:pStyle w:val="SingleTxt"/>
        <w:numPr>
          <w:ilvl w:val="0"/>
          <w:numId w:val="8"/>
        </w:numPr>
        <w:ind w:left="1267" w:firstLine="0"/>
        <w:rPr>
          <w:lang w:val="fr-CH"/>
        </w:rPr>
      </w:pPr>
      <w:r w:rsidRPr="00ED1DE0">
        <w:rPr>
          <w:lang w:val="fr-CH"/>
        </w:rPr>
        <w:t>Plusieurs délégations ont toutefois souligné que les reclassifications suggérées auraient des conséquences économiques très importantes et qu’il est d’usage de les justifier en fournissant des données détaillées.</w:t>
      </w:r>
    </w:p>
    <w:p w:rsidR="00ED1DE0" w:rsidRDefault="00ED1DE0" w:rsidP="00633201">
      <w:pPr>
        <w:pStyle w:val="SingleTxt"/>
        <w:numPr>
          <w:ilvl w:val="0"/>
          <w:numId w:val="8"/>
        </w:numPr>
        <w:ind w:left="1267" w:firstLine="0"/>
        <w:rPr>
          <w:lang w:val="fr-CH"/>
        </w:rPr>
      </w:pPr>
      <w:r w:rsidRPr="00ED1DE0">
        <w:rPr>
          <w:lang w:val="fr-CH"/>
        </w:rPr>
        <w:t xml:space="preserve">L’experte de la République de Corée a dont été invitée à fournir, pour chaque matière concernée, les renseignements requis dans le formulaire de la </w:t>
      </w:r>
      <w:r w:rsidR="002422D4">
        <w:rPr>
          <w:lang w:val="fr-CH"/>
        </w:rPr>
        <w:t>f</w:t>
      </w:r>
      <w:r w:rsidRPr="00ED1DE0">
        <w:rPr>
          <w:lang w:val="fr-CH"/>
        </w:rPr>
        <w:t>igure</w:t>
      </w:r>
      <w:r w:rsidR="002422D4">
        <w:rPr>
          <w:lang w:val="fr-CH"/>
        </w:rPr>
        <w:t> </w:t>
      </w:r>
      <w:r w:rsidRPr="00ED1DE0">
        <w:rPr>
          <w:lang w:val="fr-CH"/>
        </w:rPr>
        <w:t>1 des Recommandations si elle souhaite donner suite à ces suggestions.</w:t>
      </w:r>
    </w:p>
    <w:p w:rsidR="00A76AA1" w:rsidRPr="00A76AA1" w:rsidRDefault="00A76AA1" w:rsidP="00A76AA1">
      <w:pPr>
        <w:pStyle w:val="SingleTxt"/>
        <w:spacing w:after="0" w:line="120" w:lineRule="exact"/>
        <w:rPr>
          <w:sz w:val="10"/>
          <w:lang w:val="fr-CH"/>
        </w:rPr>
      </w:pPr>
    </w:p>
    <w:p w:rsidR="00A76AA1" w:rsidRPr="00A76AA1" w:rsidRDefault="00A76AA1" w:rsidP="00A76AA1">
      <w:pPr>
        <w:pStyle w:val="SingleTxt"/>
        <w:spacing w:after="0" w:line="120" w:lineRule="exact"/>
        <w:rPr>
          <w:sz w:val="10"/>
          <w:lang w:val="fr-CH"/>
        </w:rPr>
      </w:pPr>
    </w:p>
    <w:p w:rsidR="00ED1DE0" w:rsidRDefault="00ED1DE0" w:rsidP="00A76A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F.</w:t>
      </w:r>
      <w:r w:rsidRPr="00ED1DE0">
        <w:rPr>
          <w:lang w:val="fr-CH"/>
        </w:rPr>
        <w:tab/>
        <w:t>Disposition spéciale 335</w:t>
      </w:r>
    </w:p>
    <w:p w:rsidR="00A76AA1" w:rsidRPr="00A76AA1" w:rsidRDefault="00A76AA1" w:rsidP="00A76AA1">
      <w:pPr>
        <w:pStyle w:val="SingleTxt"/>
        <w:spacing w:after="0" w:line="120" w:lineRule="exact"/>
        <w:rPr>
          <w:sz w:val="10"/>
          <w:lang w:val="fr-CH"/>
        </w:rPr>
      </w:pPr>
    </w:p>
    <w:p w:rsidR="00A76AA1" w:rsidRPr="00A76AA1" w:rsidRDefault="00A76AA1" w:rsidP="00A76AA1">
      <w:pPr>
        <w:pStyle w:val="SingleTxt"/>
        <w:spacing w:after="0" w:line="120" w:lineRule="exact"/>
        <w:rPr>
          <w:sz w:val="10"/>
          <w:lang w:val="fr-CH"/>
        </w:rPr>
      </w:pPr>
    </w:p>
    <w:p w:rsidR="00ED1DE0" w:rsidRPr="00ED1DE0" w:rsidRDefault="00ED1DE0" w:rsidP="00A76AA1">
      <w:pPr>
        <w:pStyle w:val="SingleTxt"/>
        <w:rPr>
          <w:i/>
          <w:iCs/>
          <w:lang w:val="fr-CH"/>
        </w:rPr>
      </w:pPr>
      <w:r w:rsidRPr="00ED1DE0">
        <w:rPr>
          <w:i/>
          <w:iCs/>
          <w:lang w:val="fr-CH"/>
        </w:rPr>
        <w:t>Document</w:t>
      </w:r>
      <w:r w:rsidR="00A76AA1">
        <w:rPr>
          <w:i/>
          <w:iCs/>
          <w:lang w:val="fr-CH"/>
        </w:rPr>
        <w:t> </w:t>
      </w:r>
      <w:r w:rsidRPr="00ED1DE0">
        <w:rPr>
          <w:lang w:val="fr-CH"/>
        </w:rPr>
        <w:t>:</w:t>
      </w:r>
      <w:r w:rsidRPr="00ED1DE0">
        <w:rPr>
          <w:lang w:val="fr-CH"/>
        </w:rPr>
        <w:tab/>
      </w:r>
      <w:r w:rsidRPr="00ED1DE0">
        <w:rPr>
          <w:lang w:val="fr-CH"/>
        </w:rPr>
        <w:tab/>
      </w:r>
      <w:r w:rsidR="00A76AA1">
        <w:rPr>
          <w:lang w:val="fr-CH"/>
        </w:rPr>
        <w:tab/>
      </w:r>
      <w:r w:rsidRPr="00ED1DE0">
        <w:rPr>
          <w:lang w:val="fr-CH"/>
        </w:rPr>
        <w:t>ST/SG/AC.10/C.3/2015/17/Rev.1 (Norvège)</w:t>
      </w:r>
      <w:r w:rsidR="00A76AA1">
        <w:rPr>
          <w:lang w:val="fr-CH"/>
        </w:rPr>
        <w:t>.</w:t>
      </w:r>
    </w:p>
    <w:p w:rsidR="00ED1DE0" w:rsidRDefault="00ED1DE0" w:rsidP="00633201">
      <w:pPr>
        <w:pStyle w:val="SingleTxt"/>
        <w:numPr>
          <w:ilvl w:val="0"/>
          <w:numId w:val="8"/>
        </w:numPr>
        <w:ind w:left="1267" w:firstLine="0"/>
        <w:rPr>
          <w:lang w:val="fr-CH"/>
        </w:rPr>
      </w:pPr>
      <w:r w:rsidRPr="00ED1DE0">
        <w:rPr>
          <w:lang w:val="fr-CH"/>
        </w:rPr>
        <w:t>Plusieurs délégations ont estimé que les modifications proposées auraient des répercussions importantes et se sont montrées réticentes à l’idée de modifier un texte dont la rédaction avait été soigneusement élaborée. L’expert de la Norvège a précisé que son intention était de clarifier le texte et pas d’en modifier l’esprit et, tenant compte des commentaires, a retiré sa proposition.</w:t>
      </w:r>
    </w:p>
    <w:p w:rsidR="00A76AA1" w:rsidRPr="00A76AA1" w:rsidRDefault="00A76AA1" w:rsidP="00A76AA1">
      <w:pPr>
        <w:pStyle w:val="SingleTxt"/>
        <w:spacing w:after="0" w:line="120" w:lineRule="exact"/>
        <w:rPr>
          <w:sz w:val="10"/>
          <w:lang w:val="fr-CH"/>
        </w:rPr>
      </w:pPr>
    </w:p>
    <w:p w:rsidR="00A76AA1" w:rsidRPr="00A76AA1" w:rsidRDefault="00A76AA1" w:rsidP="00A76AA1">
      <w:pPr>
        <w:pStyle w:val="SingleTxt"/>
        <w:spacing w:after="0" w:line="120" w:lineRule="exact"/>
        <w:rPr>
          <w:sz w:val="10"/>
          <w:lang w:val="fr-CH"/>
        </w:rPr>
      </w:pPr>
    </w:p>
    <w:p w:rsidR="00ED1DE0" w:rsidRDefault="00ED1DE0" w:rsidP="00A76A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G.</w:t>
      </w:r>
      <w:r w:rsidRPr="00ED1DE0">
        <w:rPr>
          <w:lang w:val="fr-CH"/>
        </w:rPr>
        <w:tab/>
        <w:t xml:space="preserve">Emballages pour matières </w:t>
      </w:r>
      <w:r w:rsidR="00A76AA1">
        <w:rPr>
          <w:lang w:val="fr-CH"/>
        </w:rPr>
        <w:t>infectieuses du numéro ONU 3291</w:t>
      </w:r>
    </w:p>
    <w:p w:rsidR="00A76AA1" w:rsidRPr="00A76AA1" w:rsidRDefault="00A76AA1" w:rsidP="00A76AA1">
      <w:pPr>
        <w:pStyle w:val="SingleTxt"/>
        <w:spacing w:after="0" w:line="120" w:lineRule="exact"/>
        <w:rPr>
          <w:sz w:val="10"/>
          <w:lang w:val="fr-CH"/>
        </w:rPr>
      </w:pPr>
    </w:p>
    <w:p w:rsidR="00A76AA1" w:rsidRPr="00A76AA1" w:rsidRDefault="00A76AA1" w:rsidP="00A76AA1">
      <w:pPr>
        <w:pStyle w:val="SingleTxt"/>
        <w:spacing w:after="0" w:line="120" w:lineRule="exact"/>
        <w:rPr>
          <w:sz w:val="10"/>
          <w:lang w:val="fr-CH"/>
        </w:rPr>
      </w:pPr>
    </w:p>
    <w:p w:rsidR="00ED1DE0" w:rsidRPr="00ED1DE0" w:rsidRDefault="00ED1DE0" w:rsidP="00ED1DE0">
      <w:pPr>
        <w:pStyle w:val="SingleTxt"/>
        <w:rPr>
          <w:lang w:val="fr-CH"/>
        </w:rPr>
      </w:pPr>
      <w:r w:rsidRPr="00ED1DE0">
        <w:rPr>
          <w:i/>
          <w:iCs/>
          <w:lang w:val="fr-CH"/>
        </w:rPr>
        <w:t>Document</w:t>
      </w:r>
      <w:r w:rsidR="00A76AA1">
        <w:rPr>
          <w:i/>
          <w:iCs/>
          <w:lang w:val="fr-CH"/>
        </w:rPr>
        <w:t> </w:t>
      </w:r>
      <w:r w:rsidR="00A76AA1">
        <w:rPr>
          <w:lang w:val="fr-CH"/>
        </w:rPr>
        <w:t>:</w:t>
      </w:r>
      <w:r w:rsidR="00A76AA1">
        <w:rPr>
          <w:lang w:val="fr-CH"/>
        </w:rPr>
        <w:tab/>
      </w:r>
      <w:r w:rsidR="00A76AA1">
        <w:rPr>
          <w:lang w:val="fr-CH"/>
        </w:rPr>
        <w:tab/>
      </w:r>
      <w:r w:rsidR="00A76AA1">
        <w:rPr>
          <w:lang w:val="fr-CH"/>
        </w:rPr>
        <w:tab/>
      </w:r>
      <w:r w:rsidRPr="00ED1DE0">
        <w:rPr>
          <w:lang w:val="fr-CH"/>
        </w:rPr>
        <w:t>ST/SG/AC.10/C.3/2015/18 (Suisse)</w:t>
      </w:r>
      <w:r w:rsidR="00A76AA1">
        <w:rPr>
          <w:lang w:val="fr-CH"/>
        </w:rPr>
        <w:t>.</w:t>
      </w:r>
    </w:p>
    <w:p w:rsidR="00ED1DE0" w:rsidRPr="00ED1DE0" w:rsidRDefault="00ED1DE0" w:rsidP="00A76AA1">
      <w:pPr>
        <w:pStyle w:val="SingleTxt"/>
        <w:rPr>
          <w:iCs/>
          <w:lang w:val="fr-CH"/>
        </w:rPr>
      </w:pPr>
      <w:r w:rsidRPr="00ED1DE0">
        <w:rPr>
          <w:i/>
          <w:iCs/>
          <w:lang w:val="fr-CH"/>
        </w:rPr>
        <w:t>Document informel</w:t>
      </w:r>
      <w:r w:rsidR="00A76AA1">
        <w:rPr>
          <w:i/>
          <w:iCs/>
          <w:lang w:val="fr-CH"/>
        </w:rPr>
        <w:t> </w:t>
      </w:r>
      <w:r w:rsidRPr="00A76AA1">
        <w:rPr>
          <w:iCs/>
          <w:lang w:val="fr-CH"/>
        </w:rPr>
        <w:t>:</w:t>
      </w:r>
      <w:r w:rsidRPr="00A76AA1">
        <w:rPr>
          <w:iCs/>
          <w:lang w:val="fr-CH"/>
        </w:rPr>
        <w:tab/>
      </w:r>
      <w:r w:rsidRPr="00ED1DE0">
        <w:rPr>
          <w:iCs/>
          <w:lang w:val="fr-CH"/>
        </w:rPr>
        <w:tab/>
        <w:t>INF.51 (Suisse)</w:t>
      </w:r>
      <w:r w:rsidR="00A76AA1">
        <w:rPr>
          <w:iCs/>
          <w:lang w:val="fr-CH"/>
        </w:rPr>
        <w:t>.</w:t>
      </w:r>
    </w:p>
    <w:p w:rsidR="00ED1DE0" w:rsidRDefault="00ED1DE0" w:rsidP="00633201">
      <w:pPr>
        <w:pStyle w:val="SingleTxt"/>
        <w:numPr>
          <w:ilvl w:val="0"/>
          <w:numId w:val="8"/>
        </w:numPr>
        <w:ind w:left="1267" w:firstLine="0"/>
        <w:rPr>
          <w:lang w:val="fr-CH"/>
        </w:rPr>
      </w:pPr>
      <w:r w:rsidRPr="00ED1DE0">
        <w:rPr>
          <w:lang w:val="fr-CH"/>
        </w:rPr>
        <w:t>Le Sous-Comité a reconnu qu’il convenait de modifier certaines dispositions pour éviter les contradictions, mais a demandé à l’expert de la Suisse de soumettre une nouvelle proposition pour tenir compte des observations formulées. L’expert a soumis dans le document informel INF.51 une nouvelle proposition qui a été adoptée (voir annexe</w:t>
      </w:r>
      <w:r w:rsidR="00A76AA1">
        <w:rPr>
          <w:lang w:val="fr-CH"/>
        </w:rPr>
        <w:t> </w:t>
      </w:r>
      <w:r w:rsidRPr="00ED1DE0">
        <w:rPr>
          <w:lang w:val="fr-CH"/>
        </w:rPr>
        <w:t>2).</w:t>
      </w:r>
    </w:p>
    <w:p w:rsidR="00A76AA1" w:rsidRPr="00A76AA1" w:rsidRDefault="00A76AA1" w:rsidP="00A76AA1">
      <w:pPr>
        <w:pStyle w:val="SingleTxt"/>
        <w:spacing w:after="0" w:line="120" w:lineRule="exact"/>
        <w:rPr>
          <w:sz w:val="10"/>
          <w:lang w:val="fr-CH"/>
        </w:rPr>
      </w:pPr>
    </w:p>
    <w:p w:rsidR="00A76AA1" w:rsidRPr="00A76AA1" w:rsidRDefault="00A76AA1" w:rsidP="00A76AA1">
      <w:pPr>
        <w:pStyle w:val="SingleTxt"/>
        <w:spacing w:after="0" w:line="120" w:lineRule="exact"/>
        <w:rPr>
          <w:sz w:val="10"/>
          <w:lang w:val="fr-CH"/>
        </w:rPr>
      </w:pPr>
    </w:p>
    <w:p w:rsidR="00ED1DE0" w:rsidRDefault="00ED1DE0" w:rsidP="00A76A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H.</w:t>
      </w:r>
      <w:r w:rsidRPr="00ED1DE0">
        <w:rPr>
          <w:lang w:val="fr-CH"/>
        </w:rPr>
        <w:tab/>
        <w:t xml:space="preserve">Matières transportées en tant que solides qui sont liquides </w:t>
      </w:r>
      <w:r w:rsidR="00A76AA1">
        <w:rPr>
          <w:lang w:val="fr-CH"/>
        </w:rPr>
        <w:br/>
      </w:r>
      <w:r w:rsidRPr="00ED1DE0">
        <w:rPr>
          <w:lang w:val="fr-CH"/>
        </w:rPr>
        <w:t xml:space="preserve">au moment du remplissage et se solidifient pendant </w:t>
      </w:r>
      <w:r w:rsidR="00A76AA1">
        <w:rPr>
          <w:lang w:val="fr-CH"/>
        </w:rPr>
        <w:br/>
      </w:r>
      <w:r w:rsidRPr="00ED1DE0">
        <w:rPr>
          <w:lang w:val="fr-CH"/>
        </w:rPr>
        <w:t>ou avant le transport</w:t>
      </w:r>
    </w:p>
    <w:p w:rsidR="00A76AA1" w:rsidRPr="00A76AA1" w:rsidRDefault="00A76AA1" w:rsidP="00A76AA1">
      <w:pPr>
        <w:pStyle w:val="SingleTxt"/>
        <w:spacing w:after="0" w:line="120" w:lineRule="exact"/>
        <w:rPr>
          <w:sz w:val="10"/>
          <w:lang w:val="fr-CH"/>
        </w:rPr>
      </w:pPr>
    </w:p>
    <w:p w:rsidR="00A76AA1" w:rsidRPr="00A76AA1" w:rsidRDefault="00A76AA1" w:rsidP="00A76AA1">
      <w:pPr>
        <w:pStyle w:val="SingleTxt"/>
        <w:spacing w:after="0" w:line="120" w:lineRule="exact"/>
        <w:rPr>
          <w:sz w:val="10"/>
          <w:lang w:val="fr-CH"/>
        </w:rPr>
      </w:pPr>
    </w:p>
    <w:p w:rsidR="00ED1DE0" w:rsidRPr="00ED1DE0" w:rsidRDefault="00ED1DE0" w:rsidP="00ED1DE0">
      <w:pPr>
        <w:pStyle w:val="SingleTxt"/>
        <w:rPr>
          <w:lang w:val="fr-CH"/>
        </w:rPr>
      </w:pPr>
      <w:r w:rsidRPr="00ED1DE0">
        <w:rPr>
          <w:i/>
          <w:iCs/>
          <w:lang w:val="fr-CH"/>
        </w:rPr>
        <w:t>Document</w:t>
      </w:r>
      <w:r w:rsidR="00A76AA1">
        <w:rPr>
          <w:i/>
          <w:iCs/>
          <w:lang w:val="fr-CH"/>
        </w:rPr>
        <w:t> </w:t>
      </w:r>
      <w:r w:rsidRPr="00ED1DE0">
        <w:rPr>
          <w:lang w:val="fr-CH"/>
        </w:rPr>
        <w:t>:</w:t>
      </w:r>
      <w:r w:rsidRPr="00ED1DE0">
        <w:rPr>
          <w:lang w:val="fr-CH"/>
        </w:rPr>
        <w:tab/>
      </w:r>
      <w:r w:rsidRPr="00ED1DE0">
        <w:rPr>
          <w:lang w:val="fr-CH"/>
        </w:rPr>
        <w:tab/>
      </w:r>
      <w:r w:rsidRPr="00ED1DE0">
        <w:rPr>
          <w:lang w:val="fr-CH"/>
        </w:rPr>
        <w:tab/>
        <w:t>ST/SG/AC.10/C.3/2015/24 (DGAC)</w:t>
      </w:r>
      <w:r w:rsidR="00A76AA1">
        <w:rPr>
          <w:lang w:val="fr-CH"/>
        </w:rPr>
        <w:t>.</w:t>
      </w:r>
    </w:p>
    <w:p w:rsidR="00ED1DE0" w:rsidRDefault="00ED1DE0" w:rsidP="00633201">
      <w:pPr>
        <w:pStyle w:val="SingleTxt"/>
        <w:numPr>
          <w:ilvl w:val="0"/>
          <w:numId w:val="8"/>
        </w:numPr>
        <w:ind w:left="1267" w:firstLine="0"/>
        <w:rPr>
          <w:lang w:val="fr-CH"/>
        </w:rPr>
      </w:pPr>
      <w:r w:rsidRPr="00ED1DE0">
        <w:rPr>
          <w:lang w:val="fr-CH"/>
        </w:rPr>
        <w:t>Certaines délégations ont appuyé le principe de discuter de cette question mais les modifications proposées n’ont pas reçu de soutien. Le représentant de la DGAC a dit qu’il reviendrait éventuellement sur la question à une prochaine session.</w:t>
      </w:r>
    </w:p>
    <w:p w:rsidR="00A76AA1" w:rsidRPr="00A76AA1" w:rsidRDefault="00A76AA1" w:rsidP="00A76AA1">
      <w:pPr>
        <w:pStyle w:val="SingleTxt"/>
        <w:spacing w:after="0" w:line="120" w:lineRule="exact"/>
        <w:rPr>
          <w:sz w:val="10"/>
          <w:lang w:val="fr-CH"/>
        </w:rPr>
      </w:pPr>
    </w:p>
    <w:p w:rsidR="00A76AA1" w:rsidRPr="00A76AA1" w:rsidRDefault="00A76AA1" w:rsidP="00A76AA1">
      <w:pPr>
        <w:pStyle w:val="SingleTxt"/>
        <w:spacing w:after="0" w:line="120" w:lineRule="exact"/>
        <w:rPr>
          <w:sz w:val="10"/>
          <w:lang w:val="fr-CH"/>
        </w:rPr>
      </w:pPr>
    </w:p>
    <w:p w:rsidR="00ED1DE0" w:rsidRDefault="00ED1DE0" w:rsidP="00A76A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I.</w:t>
      </w:r>
      <w:r w:rsidRPr="00ED1DE0">
        <w:rPr>
          <w:lang w:val="fr-CH"/>
        </w:rPr>
        <w:tab/>
        <w:t xml:space="preserve">Dispositions spéciales pour le transport de produits </w:t>
      </w:r>
      <w:r w:rsidR="00A76AA1">
        <w:rPr>
          <w:lang w:val="fr-CH"/>
        </w:rPr>
        <w:br/>
      </w:r>
      <w:r w:rsidRPr="00ED1DE0">
        <w:rPr>
          <w:lang w:val="fr-CH"/>
        </w:rPr>
        <w:t xml:space="preserve">de consommation et de produits pharmaceutiques </w:t>
      </w:r>
      <w:r w:rsidR="00A76AA1">
        <w:rPr>
          <w:lang w:val="fr-CH"/>
        </w:rPr>
        <w:br/>
      </w:r>
      <w:r w:rsidRPr="00ED1DE0">
        <w:rPr>
          <w:lang w:val="fr-CH"/>
        </w:rPr>
        <w:t>contenant de l’alcool éthylique</w:t>
      </w:r>
    </w:p>
    <w:p w:rsidR="00A76AA1" w:rsidRPr="00A76AA1" w:rsidRDefault="00A76AA1" w:rsidP="00A76AA1">
      <w:pPr>
        <w:pStyle w:val="SingleTxt"/>
        <w:spacing w:after="0" w:line="120" w:lineRule="exact"/>
        <w:rPr>
          <w:sz w:val="10"/>
          <w:lang w:val="fr-CH"/>
        </w:rPr>
      </w:pPr>
    </w:p>
    <w:p w:rsidR="00A76AA1" w:rsidRPr="00A76AA1" w:rsidRDefault="00A76AA1" w:rsidP="00A76AA1">
      <w:pPr>
        <w:pStyle w:val="SingleTxt"/>
        <w:spacing w:after="0" w:line="120" w:lineRule="exact"/>
        <w:rPr>
          <w:sz w:val="10"/>
          <w:lang w:val="fr-CH"/>
        </w:rPr>
      </w:pPr>
    </w:p>
    <w:p w:rsidR="00ED1DE0" w:rsidRPr="00ED1DE0" w:rsidRDefault="00ED1DE0" w:rsidP="00ED1DE0">
      <w:pPr>
        <w:pStyle w:val="SingleTxt"/>
        <w:rPr>
          <w:lang w:val="en-GB"/>
        </w:rPr>
      </w:pPr>
      <w:r w:rsidRPr="00ED1DE0">
        <w:rPr>
          <w:i/>
          <w:iCs/>
          <w:lang w:val="en-GB"/>
        </w:rPr>
        <w:t>Document</w:t>
      </w:r>
      <w:r w:rsidR="00A76AA1">
        <w:rPr>
          <w:i/>
          <w:iCs/>
          <w:lang w:val="en-GB"/>
        </w:rPr>
        <w:t> </w:t>
      </w:r>
      <w:r w:rsidR="00AD3852">
        <w:rPr>
          <w:lang w:val="en-GB"/>
        </w:rPr>
        <w:t>:</w:t>
      </w:r>
      <w:r w:rsidR="00AD3852">
        <w:rPr>
          <w:lang w:val="en-GB"/>
        </w:rPr>
        <w:tab/>
      </w:r>
      <w:r w:rsidR="00AD3852">
        <w:rPr>
          <w:lang w:val="en-GB"/>
        </w:rPr>
        <w:tab/>
      </w:r>
      <w:r w:rsidR="00AD3852">
        <w:rPr>
          <w:lang w:val="en-GB"/>
        </w:rPr>
        <w:tab/>
      </w:r>
      <w:r w:rsidRPr="00ED1DE0">
        <w:rPr>
          <w:lang w:val="en-GB"/>
        </w:rPr>
        <w:t>ST/SG/AC.10/C.3/2015/25 (AHS)</w:t>
      </w:r>
      <w:r w:rsidR="00A76AA1">
        <w:rPr>
          <w:lang w:val="en-GB"/>
        </w:rPr>
        <w:t>.</w:t>
      </w:r>
    </w:p>
    <w:p w:rsidR="00ED1DE0" w:rsidRPr="00ED1DE0" w:rsidRDefault="00ED1DE0" w:rsidP="00AD3852">
      <w:pPr>
        <w:pStyle w:val="SingleTxt"/>
        <w:rPr>
          <w:lang w:val="fr-CH"/>
        </w:rPr>
      </w:pPr>
      <w:r w:rsidRPr="00ED1DE0">
        <w:rPr>
          <w:i/>
          <w:lang w:val="fr-CH"/>
        </w:rPr>
        <w:t>Document informel</w:t>
      </w:r>
      <w:r w:rsidR="00A76AA1">
        <w:rPr>
          <w:i/>
          <w:lang w:val="fr-CH"/>
        </w:rPr>
        <w:t> </w:t>
      </w:r>
      <w:r w:rsidRPr="00ED1DE0">
        <w:rPr>
          <w:lang w:val="fr-CH"/>
        </w:rPr>
        <w:t>:</w:t>
      </w:r>
      <w:r w:rsidRPr="00ED1DE0">
        <w:rPr>
          <w:lang w:val="fr-CH"/>
        </w:rPr>
        <w:tab/>
      </w:r>
      <w:r w:rsidRPr="00ED1DE0">
        <w:rPr>
          <w:lang w:val="fr-CH"/>
        </w:rPr>
        <w:tab/>
        <w:t>INF.14 (AHS)</w:t>
      </w:r>
      <w:r w:rsidR="00A76AA1">
        <w:rPr>
          <w:lang w:val="fr-CH"/>
        </w:rPr>
        <w:t>.</w:t>
      </w:r>
    </w:p>
    <w:p w:rsidR="00ED1DE0" w:rsidRPr="00ED1DE0" w:rsidRDefault="00ED1DE0" w:rsidP="00633201">
      <w:pPr>
        <w:pStyle w:val="SingleTxt"/>
        <w:numPr>
          <w:ilvl w:val="0"/>
          <w:numId w:val="8"/>
        </w:numPr>
        <w:ind w:left="1267" w:firstLine="0"/>
        <w:rPr>
          <w:lang w:val="fr-CH"/>
        </w:rPr>
      </w:pPr>
      <w:r w:rsidRPr="00ED1DE0">
        <w:rPr>
          <w:lang w:val="fr-CH"/>
        </w:rPr>
        <w:t>Le Sous-Comité a noté que ces produits bénéficiaient d’exemption sous couvert de permis spéciaux aux États-Unis d’Amérique. Selon l’AHS et l’experte des États-Unis, l’expérience avait montré que, tout comme les boissons alcoolisées, ces produits pouvaient être transportés en toute sécurité en vertu d’autres dispositions portant sur</w:t>
      </w:r>
      <w:r w:rsidR="00FC6BB3">
        <w:rPr>
          <w:lang w:val="fr-CH"/>
        </w:rPr>
        <w:t xml:space="preserve"> l’emballage, la quantité et la</w:t>
      </w:r>
      <w:r w:rsidRPr="00ED1DE0">
        <w:rPr>
          <w:lang w:val="fr-CH"/>
        </w:rPr>
        <w:t xml:space="preserve"> communication des dangers. Toutefois, la grande majorité des experts du Sous-Comité s’est opposée par principe à ce que soient étendues à ce genre de produits les exemptions dont bénéficient actuellement les boissons alcoolisées, l’industrie pouvant déjà avoir recours aux exemptions partielles des quantités limitées et quantités exceptées.</w:t>
      </w:r>
    </w:p>
    <w:p w:rsidR="00ED1DE0" w:rsidRDefault="00ED1DE0" w:rsidP="00633201">
      <w:pPr>
        <w:pStyle w:val="SingleTxt"/>
        <w:numPr>
          <w:ilvl w:val="0"/>
          <w:numId w:val="8"/>
        </w:numPr>
        <w:ind w:left="1267" w:firstLine="0"/>
        <w:rPr>
          <w:lang w:val="fr-CH"/>
        </w:rPr>
      </w:pPr>
      <w:r w:rsidRPr="00ED1DE0">
        <w:rPr>
          <w:lang w:val="fr-CH"/>
        </w:rPr>
        <w:t>Le représentant de l’AHS a retiré sa proposition et indiqué qu’il comptait en soumettre une nouvelle en tenant compte des diverses observations formulées.</w:t>
      </w:r>
    </w:p>
    <w:p w:rsidR="004902AA" w:rsidRPr="004902AA" w:rsidRDefault="004902AA" w:rsidP="004902AA">
      <w:pPr>
        <w:pStyle w:val="SingleTxt"/>
        <w:spacing w:after="0" w:line="120" w:lineRule="exact"/>
        <w:rPr>
          <w:sz w:val="10"/>
          <w:lang w:val="fr-CH"/>
        </w:rPr>
      </w:pPr>
    </w:p>
    <w:p w:rsidR="004902AA" w:rsidRPr="004902AA" w:rsidRDefault="004902AA" w:rsidP="004902AA">
      <w:pPr>
        <w:pStyle w:val="SingleTxt"/>
        <w:spacing w:after="0" w:line="120" w:lineRule="exact"/>
        <w:rPr>
          <w:sz w:val="10"/>
          <w:lang w:val="fr-CH"/>
        </w:rPr>
      </w:pPr>
    </w:p>
    <w:p w:rsidR="00ED1DE0" w:rsidRDefault="004902AA" w:rsidP="004902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J.</w:t>
      </w:r>
      <w:r>
        <w:rPr>
          <w:lang w:val="fr-CH"/>
        </w:rPr>
        <w:tab/>
      </w:r>
      <w:r w:rsidR="00ED1DE0" w:rsidRPr="00ED1DE0">
        <w:rPr>
          <w:lang w:val="fr-CH"/>
        </w:rPr>
        <w:t xml:space="preserve">Acceptation des marchandises dangereuses en quantités </w:t>
      </w:r>
      <w:r>
        <w:rPr>
          <w:lang w:val="fr-CH"/>
        </w:rPr>
        <w:br/>
      </w:r>
      <w:r w:rsidR="00ED1DE0" w:rsidRPr="004902AA">
        <w:rPr>
          <w:spacing w:val="-2"/>
          <w:lang w:val="fr-CH"/>
        </w:rPr>
        <w:t>exceptées dans les trousses chimiques et trousses de premier secours</w:t>
      </w:r>
    </w:p>
    <w:p w:rsidR="004902AA" w:rsidRPr="004902AA" w:rsidRDefault="004902AA" w:rsidP="004902AA">
      <w:pPr>
        <w:pStyle w:val="SingleTxt"/>
        <w:spacing w:after="0" w:line="120" w:lineRule="exact"/>
        <w:rPr>
          <w:sz w:val="10"/>
          <w:lang w:val="fr-CH"/>
        </w:rPr>
      </w:pPr>
    </w:p>
    <w:p w:rsidR="004902AA" w:rsidRPr="004902AA" w:rsidRDefault="004902AA" w:rsidP="004902AA">
      <w:pPr>
        <w:pStyle w:val="SingleTxt"/>
        <w:spacing w:after="0" w:line="120" w:lineRule="exact"/>
        <w:rPr>
          <w:sz w:val="10"/>
          <w:lang w:val="fr-CH"/>
        </w:rPr>
      </w:pPr>
    </w:p>
    <w:p w:rsidR="00ED1DE0" w:rsidRPr="00ED1DE0" w:rsidRDefault="00ED1DE0" w:rsidP="004902AA">
      <w:pPr>
        <w:pStyle w:val="SingleTxt"/>
        <w:rPr>
          <w:lang w:val="fr-CH"/>
        </w:rPr>
      </w:pPr>
      <w:r w:rsidRPr="00ED1DE0">
        <w:rPr>
          <w:i/>
          <w:lang w:val="fr-CH"/>
        </w:rPr>
        <w:t>Document informel</w:t>
      </w:r>
      <w:r w:rsidR="004902AA">
        <w:rPr>
          <w:i/>
          <w:lang w:val="fr-CH"/>
        </w:rPr>
        <w:t> </w:t>
      </w:r>
      <w:r w:rsidRPr="00ED1DE0">
        <w:rPr>
          <w:lang w:val="fr-CH"/>
        </w:rPr>
        <w:t>:</w:t>
      </w:r>
      <w:r w:rsidRPr="00ED1DE0">
        <w:rPr>
          <w:lang w:val="fr-CH"/>
        </w:rPr>
        <w:tab/>
      </w:r>
      <w:r w:rsidRPr="00ED1DE0">
        <w:rPr>
          <w:lang w:val="fr-CH"/>
        </w:rPr>
        <w:tab/>
        <w:t>INF.11 (IATA)</w:t>
      </w:r>
      <w:r w:rsidR="004902AA">
        <w:rPr>
          <w:lang w:val="fr-CH"/>
        </w:rPr>
        <w:t>.</w:t>
      </w:r>
    </w:p>
    <w:p w:rsidR="00ED1DE0" w:rsidRDefault="00ED1DE0" w:rsidP="00633201">
      <w:pPr>
        <w:pStyle w:val="SingleTxt"/>
        <w:numPr>
          <w:ilvl w:val="0"/>
          <w:numId w:val="8"/>
        </w:numPr>
        <w:ind w:left="1267" w:firstLine="0"/>
        <w:rPr>
          <w:lang w:val="fr-CH"/>
        </w:rPr>
      </w:pPr>
      <w:r w:rsidRPr="00ED1DE0">
        <w:rPr>
          <w:lang w:val="fr-CH"/>
        </w:rPr>
        <w:t xml:space="preserve">La plupart des experts étaient favorables à la proposition permettant d’accepter à bord des aéronefs à passager les trousses chimiques et les trousses de premier secours contenant des marchandises dangereuses en quantités acceptées sous couvert de dispositions relatives aux quantités exceptées à bord des aéronefs à passager. Le Sous-Comité a invité le représentant de l’IATA à soumettre une proposition officielle à la prochaine session tout en clarifiant les critères d’acceptation. Il a été rappelé à cet égard que le Sous-Comité attendait depuis trois ans un document de l’OACI sur les principes directeurs pour l’affectation des codes </w:t>
      </w:r>
      <w:r w:rsidR="004902AA">
        <w:rPr>
          <w:lang w:val="fr-CH"/>
        </w:rPr>
        <w:t>« </w:t>
      </w:r>
      <w:r w:rsidRPr="00ED1DE0">
        <w:rPr>
          <w:lang w:val="fr-CH"/>
        </w:rPr>
        <w:t>E</w:t>
      </w:r>
      <w:r w:rsidR="004902AA">
        <w:rPr>
          <w:lang w:val="fr-CH"/>
        </w:rPr>
        <w:t> »</w:t>
      </w:r>
      <w:r w:rsidRPr="00ED1DE0">
        <w:rPr>
          <w:lang w:val="fr-CH"/>
        </w:rPr>
        <w:t xml:space="preserve"> (point 9 a) de l’ordre du jour).</w:t>
      </w:r>
    </w:p>
    <w:p w:rsidR="004902AA" w:rsidRPr="004902AA" w:rsidRDefault="004902AA" w:rsidP="004902AA">
      <w:pPr>
        <w:pStyle w:val="SingleTxt"/>
        <w:spacing w:after="0" w:line="120" w:lineRule="exact"/>
        <w:rPr>
          <w:sz w:val="10"/>
          <w:lang w:val="fr-CH"/>
        </w:rPr>
      </w:pPr>
    </w:p>
    <w:p w:rsidR="004902AA" w:rsidRPr="004902AA" w:rsidRDefault="004902AA" w:rsidP="004902AA">
      <w:pPr>
        <w:pStyle w:val="SingleTxt"/>
        <w:spacing w:after="0" w:line="120" w:lineRule="exact"/>
        <w:rPr>
          <w:sz w:val="10"/>
          <w:lang w:val="fr-CH"/>
        </w:rPr>
      </w:pPr>
    </w:p>
    <w:p w:rsidR="00ED1DE0" w:rsidRDefault="00ED1DE0" w:rsidP="004902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K.</w:t>
      </w:r>
      <w:r w:rsidRPr="00ED1DE0">
        <w:rPr>
          <w:lang w:val="fr-CH"/>
        </w:rPr>
        <w:tab/>
        <w:t>Liste des matières autoréactives</w:t>
      </w:r>
    </w:p>
    <w:p w:rsidR="004902AA" w:rsidRPr="004902AA" w:rsidRDefault="004902AA" w:rsidP="004902AA">
      <w:pPr>
        <w:pStyle w:val="SingleTxt"/>
        <w:spacing w:after="0" w:line="120" w:lineRule="exact"/>
        <w:rPr>
          <w:sz w:val="10"/>
          <w:lang w:val="fr-CH"/>
        </w:rPr>
      </w:pPr>
    </w:p>
    <w:p w:rsidR="004902AA" w:rsidRPr="004902AA" w:rsidRDefault="004902AA" w:rsidP="004902AA">
      <w:pPr>
        <w:pStyle w:val="SingleTxt"/>
        <w:spacing w:after="0" w:line="120" w:lineRule="exact"/>
        <w:rPr>
          <w:sz w:val="10"/>
          <w:lang w:val="fr-CH"/>
        </w:rPr>
      </w:pPr>
    </w:p>
    <w:p w:rsidR="00ED1DE0" w:rsidRPr="00ED1DE0" w:rsidRDefault="00ED1DE0" w:rsidP="004902AA">
      <w:pPr>
        <w:pStyle w:val="SingleTxt"/>
        <w:rPr>
          <w:lang w:val="fr-CH"/>
        </w:rPr>
      </w:pPr>
      <w:r w:rsidRPr="00ED1DE0">
        <w:rPr>
          <w:i/>
          <w:lang w:val="fr-CH"/>
        </w:rPr>
        <w:t>Document informel</w:t>
      </w:r>
      <w:r w:rsidR="004902AA">
        <w:rPr>
          <w:i/>
          <w:lang w:val="fr-CH"/>
        </w:rPr>
        <w:t> </w:t>
      </w:r>
      <w:r w:rsidRPr="00ED1DE0">
        <w:rPr>
          <w:lang w:val="fr-CH"/>
        </w:rPr>
        <w:t>:</w:t>
      </w:r>
      <w:r w:rsidRPr="00ED1DE0">
        <w:rPr>
          <w:lang w:val="fr-CH"/>
        </w:rPr>
        <w:tab/>
      </w:r>
      <w:r w:rsidRPr="00ED1DE0">
        <w:rPr>
          <w:lang w:val="fr-CH"/>
        </w:rPr>
        <w:tab/>
        <w:t>INF.26 (CEFIC)</w:t>
      </w:r>
      <w:r w:rsidR="004902AA">
        <w:rPr>
          <w:lang w:val="fr-CH"/>
        </w:rPr>
        <w:t>.</w:t>
      </w:r>
    </w:p>
    <w:p w:rsidR="00ED1DE0" w:rsidRDefault="00ED1DE0" w:rsidP="00633201">
      <w:pPr>
        <w:pStyle w:val="SingleTxt"/>
        <w:numPr>
          <w:ilvl w:val="0"/>
          <w:numId w:val="8"/>
        </w:numPr>
        <w:ind w:left="1267" w:firstLine="0"/>
        <w:rPr>
          <w:lang w:val="fr-CH"/>
        </w:rPr>
      </w:pPr>
      <w:r w:rsidRPr="00ED1DE0">
        <w:rPr>
          <w:lang w:val="fr-CH"/>
        </w:rPr>
        <w:t>Le représentant du CEFIC a été prié de soumettre sous forme de document officiel sa proposition d’inclusion d’une nouvelle mati</w:t>
      </w:r>
      <w:r w:rsidR="004902AA">
        <w:rPr>
          <w:lang w:val="fr-CH"/>
        </w:rPr>
        <w:t>ère dans la liste du paragraphe </w:t>
      </w:r>
      <w:r w:rsidRPr="00ED1DE0">
        <w:rPr>
          <w:lang w:val="fr-CH"/>
        </w:rPr>
        <w:t>2.4.2.3.2.3, avec les données justificatives.</w:t>
      </w:r>
    </w:p>
    <w:p w:rsidR="004902AA" w:rsidRPr="004902AA" w:rsidRDefault="004902AA" w:rsidP="004902AA">
      <w:pPr>
        <w:pStyle w:val="SingleTxt"/>
        <w:spacing w:after="0" w:line="120" w:lineRule="exact"/>
        <w:rPr>
          <w:sz w:val="10"/>
          <w:lang w:val="fr-CH"/>
        </w:rPr>
      </w:pPr>
    </w:p>
    <w:p w:rsidR="004902AA" w:rsidRPr="004902AA" w:rsidRDefault="004902AA" w:rsidP="004902AA">
      <w:pPr>
        <w:pStyle w:val="SingleTxt"/>
        <w:spacing w:after="0" w:line="120" w:lineRule="exact"/>
        <w:rPr>
          <w:sz w:val="10"/>
          <w:lang w:val="fr-CH"/>
        </w:rPr>
      </w:pPr>
    </w:p>
    <w:p w:rsidR="00ED1DE0" w:rsidRDefault="00ED1DE0" w:rsidP="00AD385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L.</w:t>
      </w:r>
      <w:r w:rsidRPr="00ED1DE0">
        <w:rPr>
          <w:lang w:val="fr-CH"/>
        </w:rPr>
        <w:tab/>
        <w:t>Critères additionnels pour les matières qui polymérisent</w:t>
      </w:r>
    </w:p>
    <w:p w:rsidR="004902AA" w:rsidRPr="004902AA" w:rsidRDefault="004902AA" w:rsidP="00AD3852">
      <w:pPr>
        <w:pStyle w:val="SingleTxt"/>
        <w:keepNext/>
        <w:keepLines/>
        <w:spacing w:after="0" w:line="120" w:lineRule="exact"/>
        <w:rPr>
          <w:sz w:val="10"/>
          <w:lang w:val="fr-CH"/>
        </w:rPr>
      </w:pPr>
    </w:p>
    <w:p w:rsidR="004902AA" w:rsidRPr="004902AA" w:rsidRDefault="004902AA" w:rsidP="004902AA">
      <w:pPr>
        <w:pStyle w:val="SingleTxt"/>
        <w:spacing w:after="0" w:line="120" w:lineRule="exact"/>
        <w:rPr>
          <w:sz w:val="10"/>
          <w:lang w:val="fr-CH"/>
        </w:rPr>
      </w:pPr>
    </w:p>
    <w:p w:rsidR="00ED1DE0" w:rsidRPr="00ED1DE0" w:rsidRDefault="00ED1DE0" w:rsidP="00ED1DE0">
      <w:pPr>
        <w:pStyle w:val="SingleTxt"/>
        <w:rPr>
          <w:lang w:val="fr-CH"/>
        </w:rPr>
      </w:pPr>
      <w:r w:rsidRPr="00ED1DE0">
        <w:rPr>
          <w:i/>
          <w:lang w:val="fr-CH"/>
        </w:rPr>
        <w:t>Document informel</w:t>
      </w:r>
      <w:r w:rsidR="004902AA">
        <w:rPr>
          <w:i/>
          <w:lang w:val="fr-CH"/>
        </w:rPr>
        <w:t> </w:t>
      </w:r>
      <w:r w:rsidRPr="00ED1DE0">
        <w:rPr>
          <w:lang w:val="fr-CH"/>
        </w:rPr>
        <w:t>:</w:t>
      </w:r>
      <w:r w:rsidRPr="00ED1DE0">
        <w:rPr>
          <w:lang w:val="fr-CH"/>
        </w:rPr>
        <w:tab/>
      </w:r>
      <w:r w:rsidRPr="00ED1DE0">
        <w:rPr>
          <w:lang w:val="fr-CH"/>
        </w:rPr>
        <w:tab/>
        <w:t>INF.27 (CEFIC)</w:t>
      </w:r>
      <w:r w:rsidR="004902AA">
        <w:rPr>
          <w:lang w:val="fr-CH"/>
        </w:rPr>
        <w:t>.</w:t>
      </w:r>
    </w:p>
    <w:p w:rsidR="00ED1DE0" w:rsidRDefault="00ED1DE0" w:rsidP="00633201">
      <w:pPr>
        <w:pStyle w:val="SingleTxt"/>
        <w:numPr>
          <w:ilvl w:val="0"/>
          <w:numId w:val="8"/>
        </w:numPr>
        <w:ind w:left="1267" w:firstLine="0"/>
        <w:rPr>
          <w:lang w:val="fr-CH"/>
        </w:rPr>
      </w:pPr>
      <w:r w:rsidRPr="00ED1DE0">
        <w:rPr>
          <w:lang w:val="fr-CH"/>
        </w:rPr>
        <w:t xml:space="preserve">Plusieurs experts se sont déclarés </w:t>
      </w:r>
      <w:r w:rsidRPr="002422D4">
        <w:rPr>
          <w:lang w:val="fr-CH"/>
        </w:rPr>
        <w:t>favorables a priori</w:t>
      </w:r>
      <w:r w:rsidRPr="00ED1DE0">
        <w:rPr>
          <w:lang w:val="fr-CH"/>
        </w:rPr>
        <w:t xml:space="preserve"> à l’élaboration de procédures de présélection pour le classement des matières qui polymérisent, pour autant que ces procédures soient fiables. Le représentant du CEFIC a donc été invité à préparer une proposition officielle pour la prochaine session.</w:t>
      </w:r>
    </w:p>
    <w:p w:rsidR="004902AA" w:rsidRPr="004902AA" w:rsidRDefault="004902AA" w:rsidP="004902AA">
      <w:pPr>
        <w:pStyle w:val="SingleTxt"/>
        <w:spacing w:after="0" w:line="120" w:lineRule="exact"/>
        <w:rPr>
          <w:sz w:val="10"/>
          <w:lang w:val="fr-CH"/>
        </w:rPr>
      </w:pPr>
    </w:p>
    <w:p w:rsidR="004902AA" w:rsidRPr="004902AA" w:rsidRDefault="004902AA" w:rsidP="004902AA">
      <w:pPr>
        <w:pStyle w:val="SingleTxt"/>
        <w:spacing w:after="0" w:line="120" w:lineRule="exact"/>
        <w:rPr>
          <w:sz w:val="10"/>
          <w:lang w:val="fr-CH"/>
        </w:rPr>
      </w:pPr>
    </w:p>
    <w:p w:rsidR="00ED1DE0" w:rsidRDefault="00ED1DE0" w:rsidP="004902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V.</w:t>
      </w:r>
      <w:r w:rsidRPr="00ED1DE0">
        <w:rPr>
          <w:lang w:val="fr-CH"/>
        </w:rPr>
        <w:tab/>
        <w:t xml:space="preserve">Systèmes de stockage de l’électricité </w:t>
      </w:r>
      <w:r w:rsidR="002422D4">
        <w:rPr>
          <w:lang w:val="fr-CH"/>
        </w:rPr>
        <w:br/>
      </w:r>
      <w:r w:rsidRPr="00ED1DE0">
        <w:rPr>
          <w:lang w:val="fr-CH"/>
        </w:rPr>
        <w:t>(point 4 de l’ordre du jour)</w:t>
      </w:r>
    </w:p>
    <w:p w:rsidR="004902AA" w:rsidRPr="004902AA" w:rsidRDefault="004902AA" w:rsidP="004902AA">
      <w:pPr>
        <w:pStyle w:val="SingleTxt"/>
        <w:spacing w:after="0" w:line="120" w:lineRule="exact"/>
        <w:rPr>
          <w:sz w:val="10"/>
          <w:lang w:val="fr-CH"/>
        </w:rPr>
      </w:pPr>
    </w:p>
    <w:p w:rsidR="004902AA" w:rsidRPr="004902AA" w:rsidRDefault="004902AA" w:rsidP="004902AA">
      <w:pPr>
        <w:pStyle w:val="SingleTxt"/>
        <w:spacing w:after="0" w:line="120" w:lineRule="exact"/>
        <w:rPr>
          <w:sz w:val="10"/>
          <w:lang w:val="fr-CH"/>
        </w:rPr>
      </w:pPr>
    </w:p>
    <w:p w:rsidR="00ED1DE0" w:rsidRDefault="00ED1DE0" w:rsidP="004902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A.</w:t>
      </w:r>
      <w:r w:rsidRPr="00ED1DE0">
        <w:rPr>
          <w:lang w:val="fr-CH"/>
        </w:rPr>
        <w:tab/>
        <w:t>Épreuves des batteries au lithium</w:t>
      </w:r>
    </w:p>
    <w:p w:rsidR="004902AA" w:rsidRPr="004902AA" w:rsidRDefault="004902AA" w:rsidP="004902AA">
      <w:pPr>
        <w:pStyle w:val="SingleTxt"/>
        <w:spacing w:after="0" w:line="120" w:lineRule="exact"/>
        <w:rPr>
          <w:sz w:val="10"/>
          <w:lang w:val="fr-CH"/>
        </w:rPr>
      </w:pPr>
    </w:p>
    <w:p w:rsidR="004902AA" w:rsidRPr="004902AA" w:rsidRDefault="004902AA" w:rsidP="004902AA">
      <w:pPr>
        <w:pStyle w:val="SingleTxt"/>
        <w:spacing w:after="0" w:line="120" w:lineRule="exact"/>
        <w:rPr>
          <w:sz w:val="10"/>
          <w:lang w:val="fr-CH"/>
        </w:rPr>
      </w:pPr>
    </w:p>
    <w:p w:rsidR="00ED1DE0" w:rsidRDefault="00ED1DE0" w:rsidP="004902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r>
      <w:r w:rsidRPr="00ED1DE0">
        <w:rPr>
          <w:lang w:val="fr-CH"/>
        </w:rPr>
        <w:tab/>
        <w:t xml:space="preserve">Rapport du Groupe de travail informel sur les épreuves de l’ONU </w:t>
      </w:r>
      <w:r w:rsidR="004902AA">
        <w:rPr>
          <w:lang w:val="fr-CH"/>
        </w:rPr>
        <w:br/>
      </w:r>
      <w:r w:rsidRPr="00ED1DE0">
        <w:rPr>
          <w:lang w:val="fr-CH"/>
        </w:rPr>
        <w:t>conc</w:t>
      </w:r>
      <w:r w:rsidR="004902AA">
        <w:rPr>
          <w:lang w:val="fr-CH"/>
        </w:rPr>
        <w:t>ernant les batteries au lithium</w:t>
      </w:r>
    </w:p>
    <w:p w:rsidR="004902AA" w:rsidRPr="004902AA" w:rsidRDefault="004902AA" w:rsidP="004902AA">
      <w:pPr>
        <w:pStyle w:val="SingleTxt"/>
        <w:spacing w:after="0" w:line="120" w:lineRule="exact"/>
        <w:rPr>
          <w:sz w:val="10"/>
          <w:lang w:val="fr-CH"/>
        </w:rPr>
      </w:pPr>
    </w:p>
    <w:p w:rsidR="00ED1DE0" w:rsidRPr="00ED1DE0" w:rsidRDefault="00ED1DE0" w:rsidP="00ED1DE0">
      <w:pPr>
        <w:pStyle w:val="SingleTxt"/>
        <w:rPr>
          <w:lang w:val="fr-CH"/>
        </w:rPr>
      </w:pPr>
      <w:r w:rsidRPr="00ED1DE0">
        <w:rPr>
          <w:i/>
          <w:lang w:val="fr-CH"/>
        </w:rPr>
        <w:t>Document informel</w:t>
      </w:r>
      <w:r w:rsidR="004902AA">
        <w:rPr>
          <w:i/>
          <w:lang w:val="fr-CH"/>
        </w:rPr>
        <w:t> </w:t>
      </w:r>
      <w:r w:rsidRPr="00ED1DE0">
        <w:rPr>
          <w:lang w:val="fr-CH"/>
        </w:rPr>
        <w:t>:</w:t>
      </w:r>
      <w:r w:rsidRPr="00ED1DE0">
        <w:rPr>
          <w:lang w:val="fr-CH"/>
        </w:rPr>
        <w:tab/>
      </w:r>
      <w:r w:rsidR="004902AA">
        <w:rPr>
          <w:lang w:val="fr-CH"/>
        </w:rPr>
        <w:tab/>
      </w:r>
      <w:r w:rsidRPr="00ED1DE0">
        <w:rPr>
          <w:lang w:val="fr-CH"/>
        </w:rPr>
        <w:t>INF</w:t>
      </w:r>
      <w:r w:rsidR="004902AA">
        <w:rPr>
          <w:lang w:val="fr-CH"/>
        </w:rPr>
        <w:t xml:space="preserve">.16 (France, RECHARGE, PRBA et </w:t>
      </w:r>
      <w:r w:rsidRPr="00ED1DE0">
        <w:rPr>
          <w:lang w:val="fr-CH"/>
        </w:rPr>
        <w:t>COSTHA)</w:t>
      </w:r>
      <w:r w:rsidR="004902AA">
        <w:rPr>
          <w:lang w:val="fr-CH"/>
        </w:rPr>
        <w:t>.</w:t>
      </w:r>
    </w:p>
    <w:p w:rsidR="00ED1DE0" w:rsidRPr="00ED1DE0" w:rsidRDefault="00ED1DE0" w:rsidP="00633201">
      <w:pPr>
        <w:pStyle w:val="SingleTxt"/>
        <w:numPr>
          <w:ilvl w:val="0"/>
          <w:numId w:val="8"/>
        </w:numPr>
        <w:ind w:left="1267" w:firstLine="0"/>
        <w:rPr>
          <w:lang w:val="fr-CH"/>
        </w:rPr>
      </w:pPr>
      <w:r w:rsidRPr="00ED1DE0">
        <w:rPr>
          <w:lang w:val="fr-CH"/>
        </w:rPr>
        <w:t>Le Sous-Comité a examiné les huit demandes d’orientation du groupe contenues dans ce document informel.</w:t>
      </w:r>
    </w:p>
    <w:p w:rsidR="00ED1DE0" w:rsidRPr="00AD3852" w:rsidRDefault="00ED1DE0" w:rsidP="00633201">
      <w:pPr>
        <w:pStyle w:val="SingleTxt"/>
        <w:numPr>
          <w:ilvl w:val="0"/>
          <w:numId w:val="8"/>
        </w:numPr>
        <w:ind w:left="1267" w:firstLine="0"/>
        <w:rPr>
          <w:lang w:val="fr-CH"/>
        </w:rPr>
      </w:pPr>
      <w:r w:rsidRPr="00AD3852">
        <w:rPr>
          <w:lang w:val="fr-CH"/>
        </w:rPr>
        <w:t>S’agissant du point 1, certains délégués ont fait va</w:t>
      </w:r>
      <w:r w:rsidR="009A6F07" w:rsidRPr="00AD3852">
        <w:rPr>
          <w:lang w:val="fr-CH"/>
        </w:rPr>
        <w:t>loir qu’à l’origine les alinéas </w:t>
      </w:r>
      <w:r w:rsidRPr="00AD3852">
        <w:rPr>
          <w:lang w:val="fr-CH"/>
        </w:rPr>
        <w:t>a) et b) de la disposition spéciale 188 avaient été prévus pour être indépendants, ce qui fait que la limite prévue à l’alinéa</w:t>
      </w:r>
      <w:r w:rsidR="000B0341" w:rsidRPr="00AD3852">
        <w:rPr>
          <w:lang w:val="fr-CH"/>
        </w:rPr>
        <w:t> </w:t>
      </w:r>
      <w:r w:rsidRPr="00AD3852">
        <w:rPr>
          <w:lang w:val="fr-CH"/>
        </w:rPr>
        <w:t>a) pour chaque pile individuellement ne s’appliquait pas aux piles contenues dans une batterie. Cette interprétation permettait d’ailleurs de résoudre le problème de vérification, en cours de transport, de la conformité de ces piles, contenues dans une batterie, avec les limitations. Toutefois, les avis étaient partagés sur la question et le Sous-Comité a prié les représentants de l’industrie de fournir au groupe de travail informel davantage de précisions sur la pratique actuelle ainsi que des informations sur les dangers encourus si la limite prévue à l’alinéa</w:t>
      </w:r>
      <w:r w:rsidR="000B0341" w:rsidRPr="00AD3852">
        <w:rPr>
          <w:lang w:val="fr-CH"/>
        </w:rPr>
        <w:t> </w:t>
      </w:r>
      <w:r w:rsidRPr="00AD3852">
        <w:rPr>
          <w:lang w:val="fr-CH"/>
        </w:rPr>
        <w:t>a) est dépassée sans que soit dépassé</w:t>
      </w:r>
      <w:r w:rsidR="000B0341" w:rsidRPr="00AD3852">
        <w:rPr>
          <w:lang w:val="fr-CH"/>
        </w:rPr>
        <w:t>e la limite de l’alinéa </w:t>
      </w:r>
      <w:r w:rsidRPr="00AD3852">
        <w:rPr>
          <w:lang w:val="fr-CH"/>
        </w:rPr>
        <w:t>b) pour l’ensemble de la batterie.</w:t>
      </w:r>
    </w:p>
    <w:p w:rsidR="00ED1DE0" w:rsidRPr="00ED1DE0" w:rsidRDefault="00ED1DE0" w:rsidP="00633201">
      <w:pPr>
        <w:pStyle w:val="SingleTxt"/>
        <w:numPr>
          <w:ilvl w:val="0"/>
          <w:numId w:val="8"/>
        </w:numPr>
        <w:ind w:left="1267" w:firstLine="0"/>
        <w:rPr>
          <w:lang w:val="fr-CH"/>
        </w:rPr>
      </w:pPr>
      <w:r w:rsidRPr="00ED1DE0">
        <w:rPr>
          <w:lang w:val="fr-CH"/>
        </w:rPr>
        <w:t>En ce qui concerne les points 2 et 3, plusieurs experts ont estimé qu’il n’y avait pas lieu d’attribuer de nouveaux numéros ONU mais que la description pourrait être complétée pour mieux définir les piles et batteries visées. Toutefois, compte tenu de l’évolution rapide de la technologie, il conviendrait peut-être d’inclure dans une disposition spéciale une description plus générique qui pourrait couvrir différents cas possibles. Le document informel INF.13/Rev.1 de la République de Corée pourrait être également examiné sous cet angle.</w:t>
      </w:r>
    </w:p>
    <w:p w:rsidR="00ED1DE0" w:rsidRPr="00ED1DE0" w:rsidRDefault="00ED1DE0" w:rsidP="00633201">
      <w:pPr>
        <w:pStyle w:val="SingleTxt"/>
        <w:numPr>
          <w:ilvl w:val="0"/>
          <w:numId w:val="8"/>
        </w:numPr>
        <w:ind w:left="1267" w:firstLine="0"/>
        <w:rPr>
          <w:lang w:val="fr-CH"/>
        </w:rPr>
      </w:pPr>
      <w:r w:rsidRPr="00ED1DE0">
        <w:rPr>
          <w:lang w:val="fr-CH"/>
        </w:rPr>
        <w:t>S’agissant du point 4, plusieurs experts ont estimé qu’il serait utile d’examiner en premier lieu si le régime d’épreuve actuel convient aux batteries hybrides, ou s’il conviendrait de mettre au point des épreuves différentes à leur intention. Selon le régime d’</w:t>
      </w:r>
      <w:r w:rsidR="000B0341">
        <w:rPr>
          <w:lang w:val="fr-CH"/>
        </w:rPr>
        <w:t xml:space="preserve">épreuve approprié, il faudrait </w:t>
      </w:r>
      <w:r w:rsidRPr="00ED1DE0">
        <w:rPr>
          <w:lang w:val="fr-CH"/>
        </w:rPr>
        <w:t>soit affecter ces batteries à des numéros existants, soit créer des rubriques spécifiques.</w:t>
      </w:r>
    </w:p>
    <w:p w:rsidR="00ED1DE0" w:rsidRPr="00ED1DE0" w:rsidRDefault="00ED1DE0" w:rsidP="00633201">
      <w:pPr>
        <w:pStyle w:val="SingleTxt"/>
        <w:numPr>
          <w:ilvl w:val="0"/>
          <w:numId w:val="8"/>
        </w:numPr>
        <w:ind w:left="1267" w:firstLine="0"/>
        <w:rPr>
          <w:lang w:val="fr-CH"/>
        </w:rPr>
      </w:pPr>
      <w:r w:rsidRPr="00ED1DE0">
        <w:rPr>
          <w:lang w:val="fr-CH"/>
        </w:rPr>
        <w:t>Pour ce qui est du point 5, la plupart des experts n’étaient pas favorables pour l’instant au fait d’exiger des certificats de conformité délivrés par l’autorité compétente ou par des organismes conformément à la norme ISO</w:t>
      </w:r>
      <w:r w:rsidR="000B0341">
        <w:rPr>
          <w:lang w:val="fr-CH"/>
        </w:rPr>
        <w:t> </w:t>
      </w:r>
      <w:r w:rsidRPr="00ED1DE0">
        <w:rPr>
          <w:lang w:val="fr-CH"/>
        </w:rPr>
        <w:t>17020, mais le Sous-Comité s’est montré favorable en général à la formalisation des rapports d’épreuve qui pourraient être mis à la disposition des intervenants concernés ou d’autorités compétentes à des fins de contrôle ou d’investigation.</w:t>
      </w:r>
    </w:p>
    <w:p w:rsidR="00ED1DE0" w:rsidRPr="00AD3852" w:rsidRDefault="00ED1DE0" w:rsidP="00AD3852">
      <w:pPr>
        <w:pStyle w:val="SingleTxt"/>
        <w:numPr>
          <w:ilvl w:val="0"/>
          <w:numId w:val="8"/>
        </w:numPr>
        <w:ind w:left="1267" w:firstLine="0"/>
        <w:rPr>
          <w:lang w:val="fr-CH"/>
        </w:rPr>
      </w:pPr>
      <w:r w:rsidRPr="00AD3852">
        <w:rPr>
          <w:lang w:val="fr-CH"/>
        </w:rPr>
        <w:t>En ce qui concerne le point 6 (épreuve de court-circuit interne), le Sous-Comité a pris note de ce que les travaux continueraient. Pour le point 8, le Sous-Comité a accepté que le groupe de travail informel se penche sur la question de ré-actionnement du dispositif coupe circuit en cours d’épreuve.</w:t>
      </w:r>
    </w:p>
    <w:p w:rsidR="00ED1DE0" w:rsidRPr="00ED1DE0" w:rsidRDefault="00ED1DE0" w:rsidP="00633201">
      <w:pPr>
        <w:pStyle w:val="SingleTxt"/>
        <w:numPr>
          <w:ilvl w:val="0"/>
          <w:numId w:val="8"/>
        </w:numPr>
        <w:ind w:left="1267" w:firstLine="0"/>
        <w:rPr>
          <w:lang w:val="fr-CH"/>
        </w:rPr>
      </w:pPr>
      <w:r w:rsidRPr="00ED1DE0">
        <w:rPr>
          <w:lang w:val="fr-CH"/>
        </w:rPr>
        <w:t>Le point 7 a été examiné au titre du point 4 d) de l’ordre du jour en même temps que le document ST/SG/AC.10/C.3/2015/20.</w:t>
      </w:r>
    </w:p>
    <w:p w:rsidR="00ED1DE0" w:rsidRDefault="00ED1DE0" w:rsidP="00633201">
      <w:pPr>
        <w:pStyle w:val="SingleTxt"/>
        <w:numPr>
          <w:ilvl w:val="0"/>
          <w:numId w:val="8"/>
        </w:numPr>
        <w:ind w:left="1267" w:firstLine="0"/>
        <w:rPr>
          <w:lang w:val="fr-CH"/>
        </w:rPr>
      </w:pPr>
      <w:r w:rsidRPr="00ED1DE0">
        <w:rPr>
          <w:lang w:val="fr-CH"/>
        </w:rPr>
        <w:t>Le Sous-Comité a noté que la prochaine session du groupe de travail informel serait accueillie par la PRBA du 26 au 28</w:t>
      </w:r>
      <w:r w:rsidR="000B0341">
        <w:rPr>
          <w:lang w:val="fr-CH"/>
        </w:rPr>
        <w:t> </w:t>
      </w:r>
      <w:r w:rsidRPr="00ED1DE0">
        <w:rPr>
          <w:lang w:val="fr-CH"/>
        </w:rPr>
        <w:t>août 2015 à Washington. Les délégués intéressés à y participer devaient prendre contact avec le représentant de la PRBA.</w:t>
      </w:r>
    </w:p>
    <w:p w:rsidR="000B0341" w:rsidRPr="000B0341" w:rsidRDefault="000B0341" w:rsidP="000B0341">
      <w:pPr>
        <w:pStyle w:val="SingleTxt"/>
        <w:spacing w:after="0" w:line="120" w:lineRule="exact"/>
        <w:rPr>
          <w:sz w:val="10"/>
          <w:lang w:val="fr-CH"/>
        </w:rPr>
      </w:pPr>
    </w:p>
    <w:p w:rsidR="000B0341" w:rsidRPr="000B0341" w:rsidRDefault="000B0341" w:rsidP="000B0341">
      <w:pPr>
        <w:pStyle w:val="SingleTxt"/>
        <w:spacing w:after="0" w:line="120" w:lineRule="exact"/>
        <w:rPr>
          <w:sz w:val="10"/>
          <w:lang w:val="fr-CH"/>
        </w:rPr>
      </w:pPr>
    </w:p>
    <w:p w:rsidR="00ED1DE0" w:rsidRDefault="00ED1DE0" w:rsidP="000B03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B.</w:t>
      </w:r>
      <w:r w:rsidRPr="00ED1DE0">
        <w:rPr>
          <w:lang w:val="fr-CH"/>
        </w:rPr>
        <w:tab/>
        <w:t>Grandes batteries</w:t>
      </w:r>
    </w:p>
    <w:p w:rsidR="000B0341" w:rsidRPr="000B0341" w:rsidRDefault="000B0341" w:rsidP="000B0341">
      <w:pPr>
        <w:pStyle w:val="SingleTxt"/>
        <w:spacing w:after="0" w:line="120" w:lineRule="exact"/>
        <w:rPr>
          <w:sz w:val="10"/>
          <w:lang w:val="fr-CH"/>
        </w:rPr>
      </w:pPr>
    </w:p>
    <w:p w:rsidR="000B0341" w:rsidRPr="000B0341" w:rsidRDefault="000B0341" w:rsidP="000B0341">
      <w:pPr>
        <w:pStyle w:val="SingleTxt"/>
        <w:spacing w:after="0" w:line="120" w:lineRule="exact"/>
        <w:rPr>
          <w:sz w:val="10"/>
          <w:lang w:val="fr-CH"/>
        </w:rPr>
      </w:pPr>
    </w:p>
    <w:p w:rsidR="00ED1DE0" w:rsidRDefault="00ED1DE0" w:rsidP="00633201">
      <w:pPr>
        <w:pStyle w:val="SingleTxt"/>
        <w:numPr>
          <w:ilvl w:val="0"/>
          <w:numId w:val="8"/>
        </w:numPr>
        <w:ind w:left="1267" w:firstLine="0"/>
        <w:rPr>
          <w:lang w:val="fr-CH"/>
        </w:rPr>
      </w:pPr>
      <w:r w:rsidRPr="00ED1DE0">
        <w:rPr>
          <w:lang w:val="fr-CH"/>
        </w:rPr>
        <w:t>Aucun document n’ayant été soumis au titre de ce point de l’ordre du jour, la question n’a pas été débattue.</w:t>
      </w:r>
    </w:p>
    <w:p w:rsidR="000B0341" w:rsidRPr="000B0341" w:rsidRDefault="000B0341" w:rsidP="000B0341">
      <w:pPr>
        <w:pStyle w:val="SingleTxt"/>
        <w:spacing w:after="0" w:line="120" w:lineRule="exact"/>
        <w:rPr>
          <w:sz w:val="10"/>
          <w:lang w:val="fr-CH"/>
        </w:rPr>
      </w:pPr>
    </w:p>
    <w:p w:rsidR="000B0341" w:rsidRPr="000B0341" w:rsidRDefault="000B0341" w:rsidP="000B0341">
      <w:pPr>
        <w:pStyle w:val="SingleTxt"/>
        <w:spacing w:after="0" w:line="120" w:lineRule="exact"/>
        <w:rPr>
          <w:sz w:val="10"/>
          <w:lang w:val="fr-CH"/>
        </w:rPr>
      </w:pPr>
    </w:p>
    <w:p w:rsidR="00ED1DE0" w:rsidRDefault="000B0341" w:rsidP="000B03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C.</w:t>
      </w:r>
      <w:r w:rsidR="00ED1DE0" w:rsidRPr="00ED1DE0">
        <w:rPr>
          <w:lang w:val="fr-CH"/>
        </w:rPr>
        <w:tab/>
        <w:t>Batteries thermiques</w:t>
      </w:r>
    </w:p>
    <w:p w:rsidR="000B0341" w:rsidRPr="000B0341" w:rsidRDefault="000B0341" w:rsidP="000B0341">
      <w:pPr>
        <w:pStyle w:val="SingleTxt"/>
        <w:spacing w:after="0" w:line="120" w:lineRule="exact"/>
        <w:rPr>
          <w:sz w:val="10"/>
          <w:lang w:val="fr-CH"/>
        </w:rPr>
      </w:pPr>
    </w:p>
    <w:p w:rsidR="000B0341" w:rsidRPr="000B0341" w:rsidRDefault="000B0341" w:rsidP="000B0341">
      <w:pPr>
        <w:pStyle w:val="SingleTxt"/>
        <w:spacing w:after="0" w:line="120" w:lineRule="exact"/>
        <w:rPr>
          <w:sz w:val="10"/>
          <w:lang w:val="fr-CH"/>
        </w:rPr>
      </w:pPr>
    </w:p>
    <w:p w:rsidR="00ED1DE0" w:rsidRDefault="00ED1DE0" w:rsidP="00633201">
      <w:pPr>
        <w:pStyle w:val="SingleTxt"/>
        <w:numPr>
          <w:ilvl w:val="0"/>
          <w:numId w:val="8"/>
        </w:numPr>
        <w:ind w:left="1267" w:firstLine="0"/>
        <w:rPr>
          <w:lang w:val="fr-CH"/>
        </w:rPr>
      </w:pPr>
      <w:r w:rsidRPr="00ED1DE0">
        <w:rPr>
          <w:lang w:val="fr-CH"/>
        </w:rPr>
        <w:t>Aucun document n’ayant été soumis au titre de ce point de l’ordre du jour, la question n’a pas été débattue.</w:t>
      </w:r>
    </w:p>
    <w:p w:rsidR="000B0341" w:rsidRPr="000B0341" w:rsidRDefault="000B0341" w:rsidP="000B0341">
      <w:pPr>
        <w:pStyle w:val="SingleTxt"/>
        <w:spacing w:after="0" w:line="120" w:lineRule="exact"/>
        <w:rPr>
          <w:sz w:val="10"/>
          <w:lang w:val="fr-CH"/>
        </w:rPr>
      </w:pPr>
    </w:p>
    <w:p w:rsidR="000B0341" w:rsidRPr="000B0341" w:rsidRDefault="000B0341" w:rsidP="000B0341">
      <w:pPr>
        <w:pStyle w:val="SingleTxt"/>
        <w:spacing w:after="0" w:line="120" w:lineRule="exact"/>
        <w:rPr>
          <w:sz w:val="10"/>
          <w:lang w:val="fr-CH"/>
        </w:rPr>
      </w:pPr>
    </w:p>
    <w:p w:rsidR="00ED1DE0" w:rsidRDefault="00ED1DE0" w:rsidP="000B03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D.</w:t>
      </w:r>
      <w:r w:rsidRPr="00ED1DE0">
        <w:rPr>
          <w:lang w:val="fr-CH"/>
        </w:rPr>
        <w:tab/>
        <w:t>Divers</w:t>
      </w:r>
    </w:p>
    <w:p w:rsidR="000B0341" w:rsidRPr="000B0341" w:rsidRDefault="000B0341" w:rsidP="000B0341">
      <w:pPr>
        <w:pStyle w:val="SingleTxt"/>
        <w:spacing w:after="0" w:line="120" w:lineRule="exact"/>
        <w:rPr>
          <w:sz w:val="10"/>
          <w:lang w:val="fr-CH"/>
        </w:rPr>
      </w:pPr>
    </w:p>
    <w:p w:rsidR="000B0341" w:rsidRPr="000B0341" w:rsidRDefault="000B0341" w:rsidP="000B0341">
      <w:pPr>
        <w:pStyle w:val="SingleTxt"/>
        <w:spacing w:after="0" w:line="120" w:lineRule="exact"/>
        <w:rPr>
          <w:sz w:val="10"/>
          <w:lang w:val="fr-CH"/>
        </w:rPr>
      </w:pPr>
    </w:p>
    <w:p w:rsidR="00ED1DE0" w:rsidRDefault="00ED1DE0" w:rsidP="000B03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1.</w:t>
      </w:r>
      <w:r w:rsidRPr="00ED1DE0">
        <w:rPr>
          <w:lang w:val="fr-CH"/>
        </w:rPr>
        <w:tab/>
        <w:t>Amendements à la disposition spéciale 376 relative aux piles et batteries endommagées ou défectueuses</w:t>
      </w:r>
    </w:p>
    <w:p w:rsidR="000B0341" w:rsidRPr="000B0341" w:rsidRDefault="000B0341" w:rsidP="000B0341">
      <w:pPr>
        <w:pStyle w:val="SingleTxt"/>
        <w:spacing w:after="0" w:line="120" w:lineRule="exact"/>
        <w:rPr>
          <w:sz w:val="10"/>
          <w:lang w:val="fr-CH"/>
        </w:rPr>
      </w:pPr>
    </w:p>
    <w:p w:rsidR="00ED1DE0" w:rsidRPr="00ED1DE0" w:rsidRDefault="00ED1DE0" w:rsidP="000B0341">
      <w:pPr>
        <w:pStyle w:val="SingleTxt"/>
        <w:rPr>
          <w:lang w:val="fr-CH"/>
        </w:rPr>
      </w:pPr>
      <w:r w:rsidRPr="00ED1DE0">
        <w:rPr>
          <w:i/>
          <w:lang w:val="fr-CH"/>
        </w:rPr>
        <w:t>Document</w:t>
      </w:r>
      <w:r w:rsidR="000B0341">
        <w:rPr>
          <w:i/>
          <w:lang w:val="fr-CH"/>
        </w:rPr>
        <w:t> </w:t>
      </w:r>
      <w:r w:rsidRPr="00ED1DE0">
        <w:rPr>
          <w:lang w:val="fr-CH"/>
        </w:rPr>
        <w:t>:</w:t>
      </w:r>
      <w:r w:rsidRPr="00ED1DE0">
        <w:rPr>
          <w:lang w:val="fr-CH"/>
        </w:rPr>
        <w:tab/>
      </w:r>
      <w:r w:rsidRPr="00ED1DE0">
        <w:rPr>
          <w:lang w:val="fr-CH"/>
        </w:rPr>
        <w:tab/>
      </w:r>
      <w:r w:rsidR="000B0341">
        <w:rPr>
          <w:lang w:val="fr-CH"/>
        </w:rPr>
        <w:tab/>
      </w:r>
      <w:r w:rsidRPr="00ED1DE0">
        <w:rPr>
          <w:lang w:val="fr-CH"/>
        </w:rPr>
        <w:t>ST/SG/AC.10/C.3/2015/20 (PRBA)</w:t>
      </w:r>
      <w:r w:rsidR="000B0341">
        <w:rPr>
          <w:lang w:val="fr-CH"/>
        </w:rPr>
        <w:t>.</w:t>
      </w:r>
    </w:p>
    <w:p w:rsidR="00ED1DE0" w:rsidRPr="00AD3852" w:rsidRDefault="00ED1DE0" w:rsidP="00633201">
      <w:pPr>
        <w:pStyle w:val="SingleTxt"/>
        <w:numPr>
          <w:ilvl w:val="0"/>
          <w:numId w:val="8"/>
        </w:numPr>
        <w:ind w:left="1267" w:firstLine="0"/>
        <w:rPr>
          <w:spacing w:val="2"/>
          <w:lang w:val="fr-CH"/>
        </w:rPr>
      </w:pPr>
      <w:r w:rsidRPr="00AD3852">
        <w:rPr>
          <w:spacing w:val="2"/>
          <w:lang w:val="fr-CH"/>
        </w:rPr>
        <w:t xml:space="preserve">La plupart des experts n’étaient pas favorables à la nouvelle formulation proposée, tout en reconnaissant qu’il serait utile de mieux définir ce que l’on entend par batterie défectueuse ou endommagée. Il serait toutefois difficile de couvrir tous les cas possibles dans une disposition spéciale, compte tenu de la variété des piles et batteries et de leur taille. Certains experts étaient favorables à ce que le groupe de travail informel élabore des directives destinées à faciliter l’interprétation des dispositions actuelles, notamment en ce qui concerne les niveaux d’endommagement intermédiaires. Il a été relevé </w:t>
      </w:r>
      <w:r w:rsidRPr="00AD3852">
        <w:rPr>
          <w:lang w:val="fr-CH"/>
        </w:rPr>
        <w:t>également qu’une batterie défectueuse du point de vue de son fonctionnement n’est pas nécessairement défectueuse du point de vue de sa sécurité.</w:t>
      </w:r>
    </w:p>
    <w:p w:rsidR="00ED1DE0" w:rsidRPr="00AD3852" w:rsidRDefault="00ED1DE0" w:rsidP="00633201">
      <w:pPr>
        <w:pStyle w:val="SingleTxt"/>
        <w:numPr>
          <w:ilvl w:val="0"/>
          <w:numId w:val="8"/>
        </w:numPr>
        <w:ind w:left="1267" w:firstLine="0"/>
        <w:rPr>
          <w:spacing w:val="2"/>
          <w:lang w:val="fr-CH"/>
        </w:rPr>
      </w:pPr>
      <w:r w:rsidRPr="00AD3852">
        <w:rPr>
          <w:spacing w:val="2"/>
          <w:lang w:val="fr-CH"/>
        </w:rPr>
        <w:t>Le Sous-Comité a accepté que le groupe de travail informel se penche sur la question, mais a rappelé qu’il devrait s’en tenir, au moins dans l’esprit, à son mandat, qui est notamment de donner son avis sur des questions de sécurité, mais qu’il devrai</w:t>
      </w:r>
      <w:r w:rsidR="000B0341" w:rsidRPr="00AD3852">
        <w:rPr>
          <w:spacing w:val="2"/>
          <w:lang w:val="fr-CH"/>
        </w:rPr>
        <w:t xml:space="preserve">t s’abstenir de se consacrer à </w:t>
      </w:r>
      <w:r w:rsidRPr="00AD3852">
        <w:rPr>
          <w:spacing w:val="2"/>
          <w:lang w:val="fr-CH"/>
        </w:rPr>
        <w:t>proposer des amendements des prescriptions réglementaires.</w:t>
      </w:r>
    </w:p>
    <w:p w:rsidR="000B0341" w:rsidRPr="000B0341" w:rsidRDefault="000B0341" w:rsidP="000B0341">
      <w:pPr>
        <w:pStyle w:val="SingleTxt"/>
        <w:spacing w:after="0" w:line="120" w:lineRule="exact"/>
        <w:rPr>
          <w:sz w:val="10"/>
          <w:lang w:val="fr-CH"/>
        </w:rPr>
      </w:pPr>
    </w:p>
    <w:p w:rsidR="00ED1DE0" w:rsidRDefault="00ED1DE0" w:rsidP="000B03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2.</w:t>
      </w:r>
      <w:r w:rsidRPr="00ED1DE0">
        <w:rPr>
          <w:lang w:val="fr-CH"/>
        </w:rPr>
        <w:tab/>
        <w:t>Disposition spéciale 310</w:t>
      </w:r>
    </w:p>
    <w:p w:rsidR="000B0341" w:rsidRPr="000B0341" w:rsidRDefault="000B0341" w:rsidP="000B0341">
      <w:pPr>
        <w:pStyle w:val="SingleTxt"/>
        <w:spacing w:after="0" w:line="120" w:lineRule="exact"/>
        <w:rPr>
          <w:sz w:val="10"/>
          <w:lang w:val="fr-CH"/>
        </w:rPr>
      </w:pPr>
    </w:p>
    <w:p w:rsidR="00ED1DE0" w:rsidRPr="00ED1DE0" w:rsidRDefault="00ED1DE0" w:rsidP="000B0341">
      <w:pPr>
        <w:pStyle w:val="SingleTxt"/>
        <w:rPr>
          <w:lang w:val="fr-CH"/>
        </w:rPr>
      </w:pPr>
      <w:r w:rsidRPr="00ED1DE0">
        <w:rPr>
          <w:i/>
          <w:lang w:val="fr-CH"/>
        </w:rPr>
        <w:t>Document</w:t>
      </w:r>
      <w:r w:rsidR="000B0341">
        <w:rPr>
          <w:i/>
          <w:lang w:val="fr-CH"/>
        </w:rPr>
        <w:t> </w:t>
      </w:r>
      <w:r w:rsidRPr="00ED1DE0">
        <w:rPr>
          <w:lang w:val="fr-CH"/>
        </w:rPr>
        <w:t>:</w:t>
      </w:r>
      <w:r w:rsidR="000B0341">
        <w:rPr>
          <w:lang w:val="fr-CH"/>
        </w:rPr>
        <w:tab/>
      </w:r>
      <w:r w:rsidR="000B0341">
        <w:rPr>
          <w:lang w:val="fr-CH"/>
        </w:rPr>
        <w:tab/>
      </w:r>
      <w:r w:rsidRPr="00ED1DE0">
        <w:rPr>
          <w:lang w:val="fr-CH"/>
        </w:rPr>
        <w:tab/>
        <w:t>ST/SG/AC.10/C.3/2015/28 (Autriche)</w:t>
      </w:r>
      <w:r w:rsidR="000B0341">
        <w:rPr>
          <w:lang w:val="fr-CH"/>
        </w:rPr>
        <w:t>.</w:t>
      </w:r>
    </w:p>
    <w:p w:rsidR="00ED1DE0" w:rsidRDefault="00ED1DE0" w:rsidP="00633201">
      <w:pPr>
        <w:pStyle w:val="SingleTxt"/>
        <w:numPr>
          <w:ilvl w:val="0"/>
          <w:numId w:val="8"/>
        </w:numPr>
        <w:ind w:left="1267" w:firstLine="0"/>
        <w:rPr>
          <w:lang w:val="fr-CH"/>
        </w:rPr>
      </w:pPr>
      <w:r w:rsidRPr="00ED1DE0">
        <w:rPr>
          <w:lang w:val="fr-CH"/>
        </w:rPr>
        <w:t>La proposition d’amendement a été adoptée et étendue à la deuxième partie de la phrase (voir annexe 2).</w:t>
      </w:r>
    </w:p>
    <w:p w:rsidR="000B0341" w:rsidRPr="000B0341" w:rsidRDefault="000B0341" w:rsidP="000B0341">
      <w:pPr>
        <w:pStyle w:val="SingleTxt"/>
        <w:spacing w:after="0" w:line="120" w:lineRule="exact"/>
        <w:rPr>
          <w:sz w:val="10"/>
          <w:lang w:val="fr-CH"/>
        </w:rPr>
      </w:pPr>
    </w:p>
    <w:p w:rsidR="00ED1DE0" w:rsidRDefault="00ED1DE0" w:rsidP="000B03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3.</w:t>
      </w:r>
      <w:r w:rsidRPr="00ED1DE0">
        <w:rPr>
          <w:lang w:val="fr-CH"/>
        </w:rPr>
        <w:tab/>
        <w:t xml:space="preserve">Nouvelles désignations officielles de transport pour des batteries </w:t>
      </w:r>
      <w:r w:rsidR="000B0341">
        <w:rPr>
          <w:lang w:val="fr-CH"/>
        </w:rPr>
        <w:br/>
      </w:r>
      <w:r w:rsidRPr="00ED1DE0">
        <w:rPr>
          <w:lang w:val="fr-CH"/>
        </w:rPr>
        <w:t>au lithium métal rechargeables</w:t>
      </w:r>
    </w:p>
    <w:p w:rsidR="000B0341" w:rsidRPr="000B0341" w:rsidRDefault="000B0341" w:rsidP="000B0341">
      <w:pPr>
        <w:pStyle w:val="SingleTxt"/>
        <w:spacing w:after="0" w:line="120" w:lineRule="exact"/>
        <w:rPr>
          <w:sz w:val="10"/>
          <w:lang w:val="fr-CH"/>
        </w:rPr>
      </w:pPr>
    </w:p>
    <w:p w:rsidR="00ED1DE0" w:rsidRPr="00ED1DE0" w:rsidRDefault="00ED1DE0" w:rsidP="00ED1DE0">
      <w:pPr>
        <w:pStyle w:val="SingleTxt"/>
        <w:rPr>
          <w:lang w:val="fr-CH"/>
        </w:rPr>
      </w:pPr>
      <w:r w:rsidRPr="00ED1DE0">
        <w:rPr>
          <w:i/>
          <w:iCs/>
          <w:lang w:val="fr-CH"/>
        </w:rPr>
        <w:t>Document informel</w:t>
      </w:r>
      <w:r w:rsidR="00B73A1C">
        <w:rPr>
          <w:i/>
          <w:iCs/>
          <w:lang w:val="fr-CH"/>
        </w:rPr>
        <w:t> </w:t>
      </w:r>
      <w:r w:rsidRPr="00ED1DE0">
        <w:rPr>
          <w:lang w:val="fr-CH"/>
        </w:rPr>
        <w:t>:</w:t>
      </w:r>
      <w:r w:rsidRPr="00ED1DE0">
        <w:rPr>
          <w:lang w:val="fr-CH"/>
        </w:rPr>
        <w:tab/>
      </w:r>
      <w:r w:rsidR="00B73A1C">
        <w:rPr>
          <w:lang w:val="fr-CH"/>
        </w:rPr>
        <w:tab/>
      </w:r>
      <w:r w:rsidRPr="00ED1DE0">
        <w:rPr>
          <w:lang w:val="fr-CH"/>
        </w:rPr>
        <w:t>INF.13/Rev.1 (République de Corée)</w:t>
      </w:r>
      <w:r w:rsidR="00B73A1C">
        <w:rPr>
          <w:lang w:val="fr-CH"/>
        </w:rPr>
        <w:t>.</w:t>
      </w:r>
    </w:p>
    <w:p w:rsidR="00ED1DE0" w:rsidRDefault="00ED1DE0" w:rsidP="00633201">
      <w:pPr>
        <w:pStyle w:val="SingleTxt"/>
        <w:numPr>
          <w:ilvl w:val="0"/>
          <w:numId w:val="8"/>
        </w:numPr>
        <w:ind w:left="1267" w:firstLine="0"/>
        <w:rPr>
          <w:lang w:val="fr-CH"/>
        </w:rPr>
      </w:pPr>
      <w:r w:rsidRPr="00ED1DE0">
        <w:rPr>
          <w:lang w:val="fr-CH"/>
        </w:rPr>
        <w:t>Le Sous-Comité a noté que de nouveaux types de piles au lithium métal rechargeables ont été conçus et que les volumes transportés vont augmenter de manière significative. Toutefois, la plupart des experts estimaient que les régimes d’épreuve actuels peuvent être appliqués à ces nouvelles piles et batteries et que les numéros ONU et désignations officielles de transport actuels peuvent également être utilisés sous réserve peut</w:t>
      </w:r>
      <w:r w:rsidR="001A1ED6">
        <w:rPr>
          <w:lang w:val="fr-CH"/>
        </w:rPr>
        <w:t>-</w:t>
      </w:r>
      <w:r w:rsidRPr="00ED1DE0">
        <w:rPr>
          <w:lang w:val="fr-CH"/>
        </w:rPr>
        <w:t>être de modifications aux descriptions des rubriques comme envisagé lors de la discussion du rapport du groupe de travail informel sur les épreuves ONU des batteries au lithium (voir par.</w:t>
      </w:r>
      <w:r w:rsidR="00B73A1C">
        <w:rPr>
          <w:lang w:val="fr-CH"/>
        </w:rPr>
        <w:t> </w:t>
      </w:r>
      <w:r w:rsidRPr="00ED1DE0">
        <w:rPr>
          <w:lang w:val="fr-CH"/>
        </w:rPr>
        <w:t>48). Il a donc été suggéré que la question soit examinée par le groupe de travail informel.</w:t>
      </w:r>
    </w:p>
    <w:p w:rsidR="00B73A1C" w:rsidRPr="00B73A1C" w:rsidRDefault="00B73A1C" w:rsidP="00B73A1C">
      <w:pPr>
        <w:pStyle w:val="SingleTxt"/>
        <w:spacing w:after="0" w:line="120" w:lineRule="exact"/>
        <w:rPr>
          <w:sz w:val="10"/>
          <w:lang w:val="fr-CH"/>
        </w:rPr>
      </w:pPr>
    </w:p>
    <w:p w:rsidR="00ED1DE0" w:rsidRDefault="00ED1DE0" w:rsidP="00B73A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4.</w:t>
      </w:r>
      <w:r w:rsidRPr="00ED1DE0">
        <w:rPr>
          <w:lang w:val="fr-CH"/>
        </w:rPr>
        <w:tab/>
        <w:t xml:space="preserve">Signification du mot </w:t>
      </w:r>
      <w:r w:rsidR="00B73A1C">
        <w:rPr>
          <w:lang w:val="fr-CH"/>
        </w:rPr>
        <w:t>« </w:t>
      </w:r>
      <w:r w:rsidRPr="00ED1DE0">
        <w:rPr>
          <w:lang w:val="fr-CH"/>
        </w:rPr>
        <w:t xml:space="preserve">équipement » aux fins de la disposition spéciale 188 </w:t>
      </w:r>
      <w:r w:rsidR="00B73A1C">
        <w:rPr>
          <w:lang w:val="fr-CH"/>
        </w:rPr>
        <w:br/>
      </w:r>
      <w:r w:rsidRPr="00ED1DE0">
        <w:rPr>
          <w:lang w:val="fr-CH"/>
        </w:rPr>
        <w:t>et de l’instruction d’emballage P903</w:t>
      </w:r>
    </w:p>
    <w:p w:rsidR="00B73A1C" w:rsidRPr="00B73A1C" w:rsidRDefault="00B73A1C" w:rsidP="00B73A1C">
      <w:pPr>
        <w:pStyle w:val="SingleTxt"/>
        <w:spacing w:after="0" w:line="120" w:lineRule="exact"/>
        <w:rPr>
          <w:sz w:val="10"/>
          <w:lang w:val="fr-CH"/>
        </w:rPr>
      </w:pPr>
    </w:p>
    <w:p w:rsidR="00ED1DE0" w:rsidRPr="00ED1DE0" w:rsidRDefault="00ED1DE0" w:rsidP="00B73A1C">
      <w:pPr>
        <w:pStyle w:val="SingleTxt"/>
        <w:rPr>
          <w:lang w:val="fr-CH"/>
        </w:rPr>
      </w:pPr>
      <w:r w:rsidRPr="00ED1DE0">
        <w:rPr>
          <w:i/>
          <w:lang w:val="fr-CH"/>
        </w:rPr>
        <w:t>Document informel</w:t>
      </w:r>
      <w:r w:rsidR="00B73A1C">
        <w:rPr>
          <w:i/>
          <w:lang w:val="fr-CH"/>
        </w:rPr>
        <w:t> </w:t>
      </w:r>
      <w:r w:rsidR="00B73A1C">
        <w:rPr>
          <w:lang w:val="fr-CH"/>
        </w:rPr>
        <w:t>:</w:t>
      </w:r>
      <w:r w:rsidR="00B73A1C">
        <w:rPr>
          <w:lang w:val="fr-CH"/>
        </w:rPr>
        <w:tab/>
      </w:r>
      <w:r w:rsidR="00B73A1C">
        <w:rPr>
          <w:lang w:val="fr-CH"/>
        </w:rPr>
        <w:tab/>
      </w:r>
      <w:r w:rsidRPr="00ED1DE0">
        <w:rPr>
          <w:lang w:val="fr-CH"/>
        </w:rPr>
        <w:t>INF.35 (IATA)</w:t>
      </w:r>
      <w:r w:rsidR="00B73A1C">
        <w:rPr>
          <w:lang w:val="fr-CH"/>
        </w:rPr>
        <w:t>.</w:t>
      </w:r>
    </w:p>
    <w:p w:rsidR="00ED1DE0" w:rsidRDefault="00ED1DE0" w:rsidP="00633201">
      <w:pPr>
        <w:pStyle w:val="SingleTxt"/>
        <w:numPr>
          <w:ilvl w:val="0"/>
          <w:numId w:val="8"/>
        </w:numPr>
        <w:ind w:left="1267" w:firstLine="0"/>
        <w:rPr>
          <w:lang w:val="fr-CH"/>
        </w:rPr>
      </w:pPr>
      <w:r w:rsidRPr="00ED1DE0">
        <w:rPr>
          <w:lang w:val="fr-CH"/>
        </w:rPr>
        <w:t xml:space="preserve">La plupart des délégations étaient favorables aux clarifications proposées, en soulignant qu’il serait aussi utile de clarifier ce que l’on entend par </w:t>
      </w:r>
      <w:r w:rsidR="00B73A1C">
        <w:rPr>
          <w:lang w:val="fr-CH"/>
        </w:rPr>
        <w:t>« </w:t>
      </w:r>
      <w:r w:rsidRPr="00ED1DE0">
        <w:rPr>
          <w:lang w:val="fr-CH"/>
        </w:rPr>
        <w:t>piles contenues dans un équipement ». Le représentant de l’IATA a été prié de présenter une proposition officielle à la prochaine session.</w:t>
      </w:r>
    </w:p>
    <w:p w:rsidR="00B73A1C" w:rsidRPr="00B73A1C" w:rsidRDefault="00B73A1C" w:rsidP="00B73A1C">
      <w:pPr>
        <w:pStyle w:val="SingleTxt"/>
        <w:spacing w:after="0" w:line="120" w:lineRule="exact"/>
        <w:rPr>
          <w:sz w:val="10"/>
          <w:lang w:val="fr-CH"/>
        </w:rPr>
      </w:pPr>
    </w:p>
    <w:p w:rsidR="00B73A1C" w:rsidRPr="00B73A1C" w:rsidRDefault="00B73A1C" w:rsidP="00B73A1C">
      <w:pPr>
        <w:pStyle w:val="SingleTxt"/>
        <w:spacing w:after="0" w:line="120" w:lineRule="exact"/>
        <w:rPr>
          <w:sz w:val="10"/>
          <w:lang w:val="fr-CH"/>
        </w:rPr>
      </w:pPr>
    </w:p>
    <w:p w:rsidR="00ED1DE0" w:rsidRDefault="00ED1DE0" w:rsidP="00B73A1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VI.</w:t>
      </w:r>
      <w:r w:rsidRPr="00ED1DE0">
        <w:rPr>
          <w:lang w:val="fr-CH"/>
        </w:rPr>
        <w:tab/>
        <w:t>Transport de g</w:t>
      </w:r>
      <w:r w:rsidR="00B73A1C">
        <w:rPr>
          <w:lang w:val="fr-CH"/>
        </w:rPr>
        <w:t xml:space="preserve">az </w:t>
      </w:r>
      <w:r w:rsidR="00B73A1C">
        <w:rPr>
          <w:lang w:val="fr-CH"/>
        </w:rPr>
        <w:br/>
        <w:t>(point 5 de l’ordre du jour)</w:t>
      </w:r>
    </w:p>
    <w:p w:rsidR="00B73A1C" w:rsidRPr="00B73A1C" w:rsidRDefault="00B73A1C" w:rsidP="00B73A1C">
      <w:pPr>
        <w:pStyle w:val="SingleTxt"/>
        <w:spacing w:after="0" w:line="120" w:lineRule="exact"/>
        <w:rPr>
          <w:sz w:val="10"/>
          <w:lang w:val="fr-CH"/>
        </w:rPr>
      </w:pPr>
    </w:p>
    <w:p w:rsidR="00B73A1C" w:rsidRPr="00B73A1C" w:rsidRDefault="00B73A1C" w:rsidP="00B73A1C">
      <w:pPr>
        <w:pStyle w:val="SingleTxt"/>
        <w:spacing w:after="0" w:line="120" w:lineRule="exact"/>
        <w:rPr>
          <w:sz w:val="10"/>
          <w:lang w:val="fr-CH"/>
        </w:rPr>
      </w:pPr>
    </w:p>
    <w:p w:rsidR="00ED1DE0" w:rsidRDefault="00ED1DE0" w:rsidP="00B73A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A.</w:t>
      </w:r>
      <w:r w:rsidRPr="00ED1DE0">
        <w:rPr>
          <w:lang w:val="fr-CH"/>
        </w:rPr>
        <w:tab/>
        <w:t xml:space="preserve">Reconnaissance universelle des récipients à pression ONU </w:t>
      </w:r>
      <w:r w:rsidR="00B73A1C">
        <w:rPr>
          <w:lang w:val="fr-CH"/>
        </w:rPr>
        <w:br/>
      </w:r>
      <w:r w:rsidRPr="00ED1DE0">
        <w:rPr>
          <w:lang w:val="fr-CH"/>
        </w:rPr>
        <w:t>et non-ONU</w:t>
      </w:r>
    </w:p>
    <w:p w:rsidR="00B73A1C" w:rsidRPr="00B73A1C" w:rsidRDefault="00B73A1C" w:rsidP="00B73A1C">
      <w:pPr>
        <w:pStyle w:val="SingleTxt"/>
        <w:spacing w:after="0" w:line="120" w:lineRule="exact"/>
        <w:rPr>
          <w:sz w:val="10"/>
          <w:lang w:val="fr-CH"/>
        </w:rPr>
      </w:pPr>
    </w:p>
    <w:p w:rsidR="00B73A1C" w:rsidRPr="00B73A1C" w:rsidRDefault="00B73A1C" w:rsidP="00B73A1C">
      <w:pPr>
        <w:pStyle w:val="SingleTxt"/>
        <w:spacing w:after="0" w:line="120" w:lineRule="exact"/>
        <w:rPr>
          <w:sz w:val="10"/>
          <w:lang w:val="fr-CH"/>
        </w:rPr>
      </w:pPr>
    </w:p>
    <w:p w:rsidR="00ED1DE0" w:rsidRPr="00ED1DE0" w:rsidRDefault="00ED1DE0" w:rsidP="00B73A1C">
      <w:pPr>
        <w:pStyle w:val="SingleTxt"/>
        <w:rPr>
          <w:lang w:val="fr-CH"/>
        </w:rPr>
      </w:pPr>
      <w:r w:rsidRPr="00ED1DE0">
        <w:rPr>
          <w:i/>
          <w:lang w:val="fr-CH"/>
        </w:rPr>
        <w:t>Document informel</w:t>
      </w:r>
      <w:r w:rsidR="00B73A1C">
        <w:rPr>
          <w:i/>
          <w:lang w:val="fr-CH"/>
        </w:rPr>
        <w:t> </w:t>
      </w:r>
      <w:r w:rsidRPr="00ED1DE0">
        <w:rPr>
          <w:lang w:val="fr-CH"/>
        </w:rPr>
        <w:t>:</w:t>
      </w:r>
      <w:r w:rsidRPr="00ED1DE0">
        <w:rPr>
          <w:lang w:val="fr-CH"/>
        </w:rPr>
        <w:tab/>
      </w:r>
      <w:r w:rsidRPr="00ED1DE0">
        <w:rPr>
          <w:lang w:val="fr-CH"/>
        </w:rPr>
        <w:tab/>
        <w:t>INF.22 (CGA)</w:t>
      </w:r>
      <w:r w:rsidR="00B73A1C">
        <w:rPr>
          <w:lang w:val="fr-CH"/>
        </w:rPr>
        <w:t>.</w:t>
      </w:r>
    </w:p>
    <w:p w:rsidR="00ED1DE0" w:rsidRDefault="00ED1DE0" w:rsidP="00633201">
      <w:pPr>
        <w:pStyle w:val="SingleTxt"/>
        <w:numPr>
          <w:ilvl w:val="0"/>
          <w:numId w:val="8"/>
        </w:numPr>
        <w:ind w:left="1267" w:firstLine="0"/>
        <w:rPr>
          <w:lang w:val="fr-CH"/>
        </w:rPr>
      </w:pPr>
      <w:r w:rsidRPr="00ED1DE0">
        <w:rPr>
          <w:lang w:val="fr-CH"/>
        </w:rPr>
        <w:t xml:space="preserve">Une réunion du </w:t>
      </w:r>
      <w:r w:rsidR="001A1ED6">
        <w:rPr>
          <w:lang w:val="fr-CH"/>
        </w:rPr>
        <w:t>G</w:t>
      </w:r>
      <w:r w:rsidRPr="00ED1DE0">
        <w:rPr>
          <w:lang w:val="fr-CH"/>
        </w:rPr>
        <w:t xml:space="preserve">roupe de travail s’est tenue à l’heure du déjeuner pour examiner le suivi des activités mentionnées au paragraphe 4 a) à d). Le </w:t>
      </w:r>
      <w:r w:rsidR="001A1ED6">
        <w:rPr>
          <w:lang w:val="fr-CH"/>
        </w:rPr>
        <w:t>G</w:t>
      </w:r>
      <w:r w:rsidRPr="00ED1DE0">
        <w:rPr>
          <w:lang w:val="fr-CH"/>
        </w:rPr>
        <w:t>roupe de travail continuera à échanger des informations par correspondance. Les membres du Sous-Comité désireux de participer à ces discussions peuvent prendre contact avec le représentant de la CGA. Un rapport plus détaillé pourrait être soumis à la prochaine session.</w:t>
      </w:r>
    </w:p>
    <w:p w:rsidR="00BD3247" w:rsidRPr="00BD3247" w:rsidRDefault="00BD3247" w:rsidP="00BD3247">
      <w:pPr>
        <w:pStyle w:val="SingleTxt"/>
        <w:spacing w:after="0" w:line="120" w:lineRule="exact"/>
        <w:rPr>
          <w:sz w:val="10"/>
          <w:lang w:val="fr-CH"/>
        </w:rPr>
      </w:pPr>
    </w:p>
    <w:p w:rsidR="00BD3247" w:rsidRPr="00BD3247" w:rsidRDefault="00BD3247" w:rsidP="00BD3247">
      <w:pPr>
        <w:pStyle w:val="SingleTxt"/>
        <w:spacing w:after="0" w:line="120" w:lineRule="exact"/>
        <w:rPr>
          <w:sz w:val="10"/>
          <w:lang w:val="fr-CH"/>
        </w:rPr>
      </w:pPr>
    </w:p>
    <w:p w:rsidR="00ED1DE0" w:rsidRDefault="00ED1DE0" w:rsidP="00BD32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B.</w:t>
      </w:r>
      <w:r w:rsidRPr="00ED1DE0">
        <w:rPr>
          <w:lang w:val="fr-CH"/>
        </w:rPr>
        <w:tab/>
        <w:t>Divers</w:t>
      </w:r>
    </w:p>
    <w:p w:rsidR="00BD3247" w:rsidRPr="00BD3247" w:rsidRDefault="00BD3247" w:rsidP="00BD3247">
      <w:pPr>
        <w:pStyle w:val="SingleTxt"/>
        <w:spacing w:after="0" w:line="120" w:lineRule="exact"/>
        <w:rPr>
          <w:sz w:val="10"/>
          <w:lang w:val="fr-CH"/>
        </w:rPr>
      </w:pPr>
    </w:p>
    <w:p w:rsidR="00BD3247" w:rsidRPr="00BD3247" w:rsidRDefault="00BD3247" w:rsidP="00BD3247">
      <w:pPr>
        <w:pStyle w:val="SingleTxt"/>
        <w:spacing w:after="0" w:line="120" w:lineRule="exact"/>
        <w:rPr>
          <w:sz w:val="10"/>
          <w:lang w:val="fr-CH"/>
        </w:rPr>
      </w:pPr>
    </w:p>
    <w:p w:rsidR="00ED1DE0" w:rsidRDefault="00ED1DE0" w:rsidP="00BD32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1.</w:t>
      </w:r>
      <w:r w:rsidRPr="00ED1DE0">
        <w:rPr>
          <w:lang w:val="fr-CH"/>
        </w:rPr>
        <w:tab/>
        <w:t>Insertion de références à de nouvell</w:t>
      </w:r>
      <w:r w:rsidR="00BD3247">
        <w:rPr>
          <w:lang w:val="fr-CH"/>
        </w:rPr>
        <w:t>es normes dans la section 6.2.2</w:t>
      </w:r>
    </w:p>
    <w:p w:rsidR="00BD3247" w:rsidRPr="00BD3247" w:rsidRDefault="00BD3247" w:rsidP="00BD3247">
      <w:pPr>
        <w:pStyle w:val="SingleTxt"/>
        <w:spacing w:after="0" w:line="120" w:lineRule="exact"/>
        <w:rPr>
          <w:sz w:val="10"/>
          <w:lang w:val="fr-CH"/>
        </w:rPr>
      </w:pPr>
    </w:p>
    <w:p w:rsidR="00ED1DE0" w:rsidRPr="00ED1DE0" w:rsidRDefault="00ED1DE0" w:rsidP="00BD3247">
      <w:pPr>
        <w:pStyle w:val="SingleTxt"/>
        <w:rPr>
          <w:lang w:val="fr-CH"/>
        </w:rPr>
      </w:pPr>
      <w:r w:rsidRPr="00ED1DE0">
        <w:rPr>
          <w:i/>
          <w:iCs/>
          <w:lang w:val="fr-CH"/>
        </w:rPr>
        <w:t>Document</w:t>
      </w:r>
      <w:r w:rsidR="00BD3247">
        <w:rPr>
          <w:i/>
          <w:iCs/>
          <w:lang w:val="fr-CH"/>
        </w:rPr>
        <w:t> </w:t>
      </w:r>
      <w:r w:rsidR="00BD3247">
        <w:rPr>
          <w:lang w:val="fr-CH"/>
        </w:rPr>
        <w:t>:</w:t>
      </w:r>
      <w:r w:rsidR="00BD3247">
        <w:rPr>
          <w:lang w:val="fr-CH"/>
        </w:rPr>
        <w:tab/>
      </w:r>
      <w:r w:rsidR="00BD3247">
        <w:rPr>
          <w:lang w:val="fr-CH"/>
        </w:rPr>
        <w:tab/>
      </w:r>
      <w:r w:rsidR="00BD3247">
        <w:rPr>
          <w:lang w:val="fr-CH"/>
        </w:rPr>
        <w:tab/>
      </w:r>
      <w:r w:rsidRPr="00ED1DE0">
        <w:rPr>
          <w:lang w:val="fr-CH"/>
        </w:rPr>
        <w:t>ST/SG/AC.10/C.3/2015/9 (ISO)</w:t>
      </w:r>
      <w:r w:rsidR="00BD3247">
        <w:rPr>
          <w:lang w:val="fr-CH"/>
        </w:rPr>
        <w:t>.</w:t>
      </w:r>
    </w:p>
    <w:p w:rsidR="00ED1DE0" w:rsidRPr="00ED1DE0" w:rsidRDefault="00ED1DE0" w:rsidP="00BD3247">
      <w:pPr>
        <w:pStyle w:val="SingleTxt"/>
        <w:jc w:val="left"/>
        <w:rPr>
          <w:lang w:val="fr-CH"/>
        </w:rPr>
      </w:pPr>
      <w:r w:rsidRPr="00ED1DE0">
        <w:rPr>
          <w:i/>
          <w:iCs/>
          <w:lang w:val="fr-CH"/>
        </w:rPr>
        <w:t>Document informel</w:t>
      </w:r>
      <w:r w:rsidR="00BD3247">
        <w:rPr>
          <w:i/>
          <w:iCs/>
          <w:lang w:val="fr-CH"/>
        </w:rPr>
        <w:t> </w:t>
      </w:r>
      <w:r w:rsidRPr="00ED1DE0">
        <w:rPr>
          <w:lang w:val="fr-CH"/>
        </w:rPr>
        <w:t>:</w:t>
      </w:r>
      <w:r w:rsidRPr="00ED1DE0">
        <w:rPr>
          <w:lang w:val="fr-CH"/>
        </w:rPr>
        <w:tab/>
      </w:r>
      <w:r w:rsidRPr="00ED1DE0">
        <w:rPr>
          <w:lang w:val="fr-CH"/>
        </w:rPr>
        <w:tab/>
        <w:t>INF.32 (CGA)</w:t>
      </w:r>
      <w:r w:rsidR="00BD3247">
        <w:rPr>
          <w:lang w:val="fr-CH"/>
        </w:rPr>
        <w:t xml:space="preserve">, </w:t>
      </w:r>
      <w:r w:rsidRPr="00ED1DE0">
        <w:rPr>
          <w:lang w:val="fr-CH"/>
        </w:rPr>
        <w:br/>
      </w:r>
      <w:r w:rsidRPr="00ED1DE0">
        <w:rPr>
          <w:lang w:val="fr-CH"/>
        </w:rPr>
        <w:tab/>
      </w:r>
      <w:r w:rsidRPr="00ED1DE0">
        <w:rPr>
          <w:lang w:val="fr-CH"/>
        </w:rPr>
        <w:tab/>
      </w:r>
      <w:r w:rsidRPr="00ED1DE0">
        <w:rPr>
          <w:lang w:val="fr-CH"/>
        </w:rPr>
        <w:tab/>
      </w:r>
      <w:r w:rsidRPr="00ED1DE0">
        <w:rPr>
          <w:lang w:val="fr-CH"/>
        </w:rPr>
        <w:tab/>
      </w:r>
      <w:r w:rsidRPr="00ED1DE0">
        <w:rPr>
          <w:lang w:val="fr-CH"/>
        </w:rPr>
        <w:tab/>
        <w:t>INF.54 (ISO, EIGA et CGA)</w:t>
      </w:r>
      <w:r w:rsidR="00BD3247">
        <w:rPr>
          <w:lang w:val="fr-CH"/>
        </w:rPr>
        <w:t>.</w:t>
      </w:r>
    </w:p>
    <w:p w:rsidR="00ED1DE0" w:rsidRDefault="00ED1DE0" w:rsidP="00633201">
      <w:pPr>
        <w:pStyle w:val="SingleTxt"/>
        <w:numPr>
          <w:ilvl w:val="0"/>
          <w:numId w:val="8"/>
        </w:numPr>
        <w:ind w:left="1267" w:firstLine="0"/>
        <w:rPr>
          <w:lang w:val="fr-CH"/>
        </w:rPr>
      </w:pPr>
      <w:r w:rsidRPr="00ED1DE0">
        <w:rPr>
          <w:lang w:val="fr-CH"/>
        </w:rPr>
        <w:t>Les propositions 1 et 3 de l’ISO ont été adoptées. Les représentants de l’ISO, de l’EIGA et de la CGA ont proposé une alternative à la proposition 2 concernant l’application de la norme ISO 22434:2006 dans le document informel</w:t>
      </w:r>
      <w:r w:rsidR="00FC6BB3">
        <w:rPr>
          <w:lang w:val="fr-CH"/>
        </w:rPr>
        <w:t xml:space="preserve"> </w:t>
      </w:r>
      <w:r w:rsidRPr="00ED1DE0">
        <w:rPr>
          <w:lang w:val="fr-CH"/>
        </w:rPr>
        <w:t>INF.54 qui a été adopté (voir annexe 2).</w:t>
      </w:r>
    </w:p>
    <w:p w:rsidR="00BD3247" w:rsidRPr="00BD3247" w:rsidRDefault="00BD3247" w:rsidP="00BD3247">
      <w:pPr>
        <w:pStyle w:val="SingleTxt"/>
        <w:spacing w:after="0" w:line="120" w:lineRule="exact"/>
        <w:rPr>
          <w:sz w:val="10"/>
          <w:lang w:val="fr-CH"/>
        </w:rPr>
      </w:pPr>
    </w:p>
    <w:p w:rsidR="00ED1DE0" w:rsidRDefault="00ED1DE0" w:rsidP="00BD32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2.</w:t>
      </w:r>
      <w:r w:rsidRPr="00ED1DE0">
        <w:rPr>
          <w:lang w:val="fr-CH"/>
        </w:rPr>
        <w:tab/>
        <w:t>Transport de réservoirs à gaz destinés aux véhicules automobiles</w:t>
      </w:r>
    </w:p>
    <w:p w:rsidR="00BD3247" w:rsidRPr="00BD3247" w:rsidRDefault="00BD3247" w:rsidP="00BD3247">
      <w:pPr>
        <w:pStyle w:val="SingleTxt"/>
        <w:spacing w:after="0" w:line="120" w:lineRule="exact"/>
        <w:rPr>
          <w:sz w:val="10"/>
          <w:lang w:val="fr-CH"/>
        </w:rPr>
      </w:pPr>
    </w:p>
    <w:p w:rsidR="00ED1DE0" w:rsidRPr="00ED1DE0" w:rsidRDefault="00ED1DE0" w:rsidP="00ED1DE0">
      <w:pPr>
        <w:pStyle w:val="SingleTxt"/>
        <w:rPr>
          <w:lang w:val="fr-CH"/>
        </w:rPr>
      </w:pPr>
      <w:r w:rsidRPr="00ED1DE0">
        <w:rPr>
          <w:i/>
          <w:iCs/>
          <w:lang w:val="fr-CH"/>
        </w:rPr>
        <w:t>Document</w:t>
      </w:r>
      <w:r w:rsidR="00FA4AB7">
        <w:rPr>
          <w:i/>
          <w:iCs/>
          <w:lang w:val="fr-CH"/>
        </w:rPr>
        <w:t> </w:t>
      </w:r>
      <w:r w:rsidRPr="00ED1DE0">
        <w:rPr>
          <w:lang w:val="fr-CH"/>
        </w:rPr>
        <w:t>:</w:t>
      </w:r>
      <w:r w:rsidRPr="00ED1DE0">
        <w:rPr>
          <w:lang w:val="fr-CH"/>
        </w:rPr>
        <w:tab/>
      </w:r>
      <w:r w:rsidRPr="00ED1DE0">
        <w:rPr>
          <w:lang w:val="fr-CH"/>
        </w:rPr>
        <w:tab/>
      </w:r>
      <w:r w:rsidRPr="00ED1DE0">
        <w:rPr>
          <w:lang w:val="fr-CH"/>
        </w:rPr>
        <w:tab/>
        <w:t>ST/SG/AC.10/C.3/2015/5 (Allemagne et France)</w:t>
      </w:r>
      <w:r w:rsidR="00FA4AB7">
        <w:rPr>
          <w:lang w:val="fr-CH"/>
        </w:rPr>
        <w:t>.</w:t>
      </w:r>
    </w:p>
    <w:p w:rsidR="00ED1DE0" w:rsidRPr="00ED1DE0" w:rsidRDefault="00ED1DE0" w:rsidP="00ED1DE0">
      <w:pPr>
        <w:pStyle w:val="SingleTxt"/>
        <w:rPr>
          <w:lang w:val="fr-CH"/>
        </w:rPr>
      </w:pPr>
      <w:r w:rsidRPr="00ED1DE0">
        <w:rPr>
          <w:i/>
          <w:iCs/>
          <w:lang w:val="fr-CH"/>
        </w:rPr>
        <w:t>Document informel</w:t>
      </w:r>
      <w:r w:rsidR="00FA4AB7">
        <w:rPr>
          <w:i/>
          <w:iCs/>
          <w:lang w:val="fr-CH"/>
        </w:rPr>
        <w:t> </w:t>
      </w:r>
      <w:r w:rsidRPr="00ED1DE0">
        <w:rPr>
          <w:lang w:val="fr-CH"/>
        </w:rPr>
        <w:t>:</w:t>
      </w:r>
      <w:r w:rsidRPr="00ED1DE0">
        <w:rPr>
          <w:lang w:val="fr-CH"/>
        </w:rPr>
        <w:tab/>
      </w:r>
      <w:r w:rsidR="00FA4AB7">
        <w:rPr>
          <w:lang w:val="fr-CH"/>
        </w:rPr>
        <w:tab/>
      </w:r>
      <w:r w:rsidRPr="00ED1DE0">
        <w:rPr>
          <w:lang w:val="fr-CH"/>
        </w:rPr>
        <w:t>INF.52 (secrétariat)</w:t>
      </w:r>
      <w:r w:rsidR="00FA4AB7">
        <w:rPr>
          <w:lang w:val="fr-CH"/>
        </w:rPr>
        <w:t>.</w:t>
      </w:r>
    </w:p>
    <w:p w:rsidR="00ED1DE0" w:rsidRPr="00ED1DE0" w:rsidRDefault="00ED1DE0" w:rsidP="00633201">
      <w:pPr>
        <w:pStyle w:val="SingleTxt"/>
        <w:numPr>
          <w:ilvl w:val="0"/>
          <w:numId w:val="8"/>
        </w:numPr>
        <w:ind w:left="1267" w:firstLine="0"/>
        <w:rPr>
          <w:lang w:val="fr-CH"/>
        </w:rPr>
      </w:pPr>
      <w:r w:rsidRPr="00ED1DE0">
        <w:rPr>
          <w:lang w:val="fr-CH"/>
        </w:rPr>
        <w:t>Le Sous-Comité s’est félicité de l’initiative de l’Allemagne et de la France étant donné que le nombre de véhicules fonctionnant au gaz va augmentant et qu’il arrive qu’il faille transporter les réservoirs séparément alors qu’ils contiennent le gaz utilisé pour la propulsion,</w:t>
      </w:r>
      <w:r w:rsidR="00FA4AB7">
        <w:rPr>
          <w:lang w:val="fr-CH"/>
        </w:rPr>
        <w:t xml:space="preserve"> et ceci pour diverses raisons.</w:t>
      </w:r>
    </w:p>
    <w:p w:rsidR="00ED1DE0" w:rsidRPr="00ED1DE0" w:rsidRDefault="00ED1DE0" w:rsidP="00AD3852">
      <w:pPr>
        <w:pStyle w:val="SingleTxt"/>
        <w:numPr>
          <w:ilvl w:val="0"/>
          <w:numId w:val="8"/>
        </w:numPr>
        <w:ind w:left="1267" w:firstLine="0"/>
        <w:rPr>
          <w:lang w:val="fr-CH"/>
        </w:rPr>
      </w:pPr>
      <w:r w:rsidRPr="00ED1DE0">
        <w:rPr>
          <w:lang w:val="fr-CH"/>
        </w:rPr>
        <w:t>Plusieurs délégations ont cependant formulé des observations concernant les détails de la proposition, par exemple la pertin</w:t>
      </w:r>
      <w:r w:rsidR="00AD3852">
        <w:rPr>
          <w:lang w:val="fr-CH"/>
        </w:rPr>
        <w:t>ence de l’utilisation du numéro </w:t>
      </w:r>
      <w:r w:rsidRPr="00ED1DE0">
        <w:rPr>
          <w:lang w:val="fr-CH"/>
        </w:rPr>
        <w:t>ONU</w:t>
      </w:r>
      <w:r w:rsidR="00FA4AB7">
        <w:rPr>
          <w:lang w:val="fr-CH"/>
        </w:rPr>
        <w:t> </w:t>
      </w:r>
      <w:r w:rsidRPr="00ED1DE0">
        <w:rPr>
          <w:lang w:val="fr-CH"/>
        </w:rPr>
        <w:t>1954, les circonstances où ces réservoirs peuvent être transporté</w:t>
      </w:r>
      <w:r w:rsidR="00AD3852">
        <w:rPr>
          <w:lang w:val="fr-CH"/>
        </w:rPr>
        <w:t>s, les normes </w:t>
      </w:r>
      <w:r w:rsidRPr="00ED1DE0">
        <w:rPr>
          <w:lang w:val="fr-CH"/>
        </w:rPr>
        <w:t>ISO référencées, le statut de l’application des règlements de la CEE et des règlements techniques mondiaux (fournis ultérieurement par le secrétariat dans le document informel</w:t>
      </w:r>
      <w:r w:rsidR="00FA4AB7">
        <w:rPr>
          <w:lang w:val="fr-CH"/>
        </w:rPr>
        <w:t> </w:t>
      </w:r>
      <w:r w:rsidRPr="00ED1DE0">
        <w:rPr>
          <w:lang w:val="fr-CH"/>
        </w:rPr>
        <w:t>INF.52), la possibilité de faire référence à d’autres normes nationales, la nécessité de tenir compte du gaz naturel liquéfié (GNL), l’utilisation de réservoirs en acier pour l’hydrogène, les taux de remplissage, l’équivalence des niveaux de sécurité entre prescriptions du Règlement type pour les récipients à pression et celles des règlements et normes de construction des véhicules</w:t>
      </w:r>
      <w:r w:rsidR="001A1ED6">
        <w:rPr>
          <w:lang w:val="fr-CH"/>
        </w:rPr>
        <w:t>,</w:t>
      </w:r>
      <w:r w:rsidRPr="00ED1DE0">
        <w:rPr>
          <w:lang w:val="fr-CH"/>
        </w:rPr>
        <w:t xml:space="preserve"> etc.</w:t>
      </w:r>
    </w:p>
    <w:p w:rsidR="00ED1DE0" w:rsidRDefault="00ED1DE0" w:rsidP="00633201">
      <w:pPr>
        <w:pStyle w:val="SingleTxt"/>
        <w:numPr>
          <w:ilvl w:val="0"/>
          <w:numId w:val="8"/>
        </w:numPr>
        <w:ind w:left="1267" w:firstLine="0"/>
        <w:rPr>
          <w:lang w:val="fr-CH"/>
        </w:rPr>
      </w:pPr>
      <w:r w:rsidRPr="00ED1DE0">
        <w:rPr>
          <w:lang w:val="fr-CH"/>
        </w:rPr>
        <w:t>Les experts de l’Allemagne et de la France soumettront une nouvelle proposition tenant compte de ces observations.</w:t>
      </w:r>
    </w:p>
    <w:p w:rsidR="00FA4AB7" w:rsidRPr="00FA4AB7" w:rsidRDefault="00FA4AB7" w:rsidP="00FA4AB7">
      <w:pPr>
        <w:pStyle w:val="SingleTxt"/>
        <w:spacing w:after="0" w:line="120" w:lineRule="exact"/>
        <w:rPr>
          <w:sz w:val="10"/>
          <w:lang w:val="fr-CH"/>
        </w:rPr>
      </w:pPr>
    </w:p>
    <w:p w:rsidR="00FA4AB7" w:rsidRPr="00FA4AB7" w:rsidRDefault="00FA4AB7" w:rsidP="00FA4AB7">
      <w:pPr>
        <w:pStyle w:val="SingleTxt"/>
        <w:spacing w:after="0" w:line="120" w:lineRule="exact"/>
        <w:rPr>
          <w:sz w:val="10"/>
          <w:lang w:val="fr-CH"/>
        </w:rPr>
      </w:pPr>
    </w:p>
    <w:p w:rsidR="00ED1DE0" w:rsidRDefault="00ED1DE0" w:rsidP="00FA4A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VII.</w:t>
      </w:r>
      <w:r w:rsidRPr="00ED1DE0">
        <w:rPr>
          <w:lang w:val="fr-CH"/>
        </w:rPr>
        <w:tab/>
        <w:t xml:space="preserve">Propositions diverses d’amendements au Règlement </w:t>
      </w:r>
      <w:r w:rsidR="00FA4AB7">
        <w:rPr>
          <w:lang w:val="fr-CH"/>
        </w:rPr>
        <w:br/>
      </w:r>
      <w:r w:rsidRPr="00ED1DE0">
        <w:rPr>
          <w:lang w:val="fr-CH"/>
        </w:rPr>
        <w:t xml:space="preserve">type pour le transport des marchandises dangereuses </w:t>
      </w:r>
      <w:r w:rsidR="00FA4AB7">
        <w:rPr>
          <w:lang w:val="fr-CH"/>
        </w:rPr>
        <w:br/>
        <w:t>(point 6 de l’ordre du jour)</w:t>
      </w:r>
    </w:p>
    <w:p w:rsidR="00FA4AB7" w:rsidRPr="00FA4AB7" w:rsidRDefault="00FA4AB7" w:rsidP="00FA4AB7">
      <w:pPr>
        <w:pStyle w:val="SingleTxt"/>
        <w:spacing w:after="0" w:line="120" w:lineRule="exact"/>
        <w:rPr>
          <w:sz w:val="10"/>
          <w:lang w:val="fr-CH"/>
        </w:rPr>
      </w:pPr>
    </w:p>
    <w:p w:rsidR="00FA4AB7" w:rsidRPr="00FA4AB7" w:rsidRDefault="00FA4AB7" w:rsidP="00FA4AB7">
      <w:pPr>
        <w:pStyle w:val="SingleTxt"/>
        <w:spacing w:after="0" w:line="120" w:lineRule="exact"/>
        <w:rPr>
          <w:sz w:val="10"/>
          <w:lang w:val="fr-CH"/>
        </w:rPr>
      </w:pPr>
    </w:p>
    <w:p w:rsidR="00ED1DE0" w:rsidRDefault="00ED1DE0" w:rsidP="00FA4A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A.</w:t>
      </w:r>
      <w:r w:rsidRPr="00ED1DE0">
        <w:rPr>
          <w:lang w:val="fr-CH"/>
        </w:rPr>
        <w:tab/>
        <w:t xml:space="preserve">Marchandises dangereuses contenues dans des machines, </w:t>
      </w:r>
      <w:r w:rsidR="00FA4AB7">
        <w:rPr>
          <w:lang w:val="fr-CH"/>
        </w:rPr>
        <w:br/>
      </w:r>
      <w:r w:rsidRPr="00ED1DE0">
        <w:rPr>
          <w:lang w:val="fr-CH"/>
        </w:rPr>
        <w:t>des appareils ou des objets, n.s.a</w:t>
      </w:r>
    </w:p>
    <w:p w:rsidR="00FA4AB7" w:rsidRPr="00FA4AB7" w:rsidRDefault="00FA4AB7" w:rsidP="00FA4AB7">
      <w:pPr>
        <w:pStyle w:val="SingleTxt"/>
        <w:spacing w:after="0" w:line="120" w:lineRule="exact"/>
        <w:rPr>
          <w:sz w:val="10"/>
          <w:lang w:val="fr-CH"/>
        </w:rPr>
      </w:pPr>
    </w:p>
    <w:p w:rsidR="00FA4AB7" w:rsidRPr="00FA4AB7" w:rsidRDefault="00FA4AB7" w:rsidP="00FA4AB7">
      <w:pPr>
        <w:pStyle w:val="SingleTxt"/>
        <w:spacing w:after="0" w:line="120" w:lineRule="exact"/>
        <w:rPr>
          <w:sz w:val="10"/>
          <w:lang w:val="fr-CH"/>
        </w:rPr>
      </w:pPr>
    </w:p>
    <w:p w:rsidR="00ED1DE0" w:rsidRPr="00ED1DE0" w:rsidRDefault="00ED1DE0" w:rsidP="00C06577">
      <w:pPr>
        <w:pStyle w:val="SingleTxt"/>
        <w:rPr>
          <w:lang w:val="fr-CH"/>
        </w:rPr>
      </w:pPr>
      <w:r w:rsidRPr="00ED1DE0">
        <w:rPr>
          <w:i/>
          <w:iCs/>
          <w:lang w:val="fr-CH"/>
        </w:rPr>
        <w:t>Document informel</w:t>
      </w:r>
      <w:r w:rsidR="00C06577">
        <w:rPr>
          <w:i/>
          <w:iCs/>
          <w:lang w:val="fr-CH"/>
        </w:rPr>
        <w:t> </w:t>
      </w:r>
      <w:r w:rsidRPr="00ED1DE0">
        <w:rPr>
          <w:lang w:val="fr-CH"/>
        </w:rPr>
        <w:t>:</w:t>
      </w:r>
      <w:r w:rsidRPr="00ED1DE0">
        <w:rPr>
          <w:lang w:val="fr-CH"/>
        </w:rPr>
        <w:tab/>
      </w:r>
      <w:r w:rsidRPr="00ED1DE0">
        <w:rPr>
          <w:lang w:val="fr-CH"/>
        </w:rPr>
        <w:tab/>
        <w:t>INF.7 (Royaume-Uni)</w:t>
      </w:r>
      <w:r w:rsidR="00C06577">
        <w:rPr>
          <w:lang w:val="fr-CH"/>
        </w:rPr>
        <w:t>.</w:t>
      </w:r>
    </w:p>
    <w:p w:rsidR="00ED1DE0" w:rsidRDefault="00ED1DE0" w:rsidP="00633201">
      <w:pPr>
        <w:pStyle w:val="SingleTxt"/>
        <w:numPr>
          <w:ilvl w:val="0"/>
          <w:numId w:val="8"/>
        </w:numPr>
        <w:ind w:left="1267" w:firstLine="0"/>
        <w:rPr>
          <w:lang w:val="fr-CH"/>
        </w:rPr>
      </w:pPr>
      <w:r w:rsidRPr="00ED1DE0">
        <w:rPr>
          <w:lang w:val="fr-CH"/>
        </w:rPr>
        <w:t>De nombreuses délégations ont formulé des observations sur ce document informel et l’expert du Royaume-Uni en tiendra compte pour préparer une proposition officielle pour la prochaine session avec l’aide des délégations intéressées à coopérer à cet effet.</w:t>
      </w:r>
    </w:p>
    <w:p w:rsidR="00C06577" w:rsidRPr="00C06577" w:rsidRDefault="00C06577" w:rsidP="00C06577">
      <w:pPr>
        <w:pStyle w:val="SingleTxt"/>
        <w:spacing w:after="0" w:line="120" w:lineRule="exact"/>
        <w:rPr>
          <w:sz w:val="10"/>
          <w:lang w:val="fr-CH"/>
        </w:rPr>
      </w:pPr>
    </w:p>
    <w:p w:rsidR="00C06577" w:rsidRPr="00C06577" w:rsidRDefault="00C06577" w:rsidP="00C06577">
      <w:pPr>
        <w:pStyle w:val="SingleTxt"/>
        <w:spacing w:after="0" w:line="120" w:lineRule="exact"/>
        <w:rPr>
          <w:sz w:val="10"/>
          <w:lang w:val="fr-CH"/>
        </w:rPr>
      </w:pPr>
    </w:p>
    <w:p w:rsidR="00ED1DE0" w:rsidRDefault="00ED1DE0" w:rsidP="00C065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B.</w:t>
      </w:r>
      <w:r w:rsidRPr="00ED1DE0">
        <w:rPr>
          <w:lang w:val="fr-CH"/>
        </w:rPr>
        <w:tab/>
      </w:r>
      <w:r w:rsidRPr="00C06577">
        <w:rPr>
          <w:spacing w:val="0"/>
          <w:lang w:val="fr-CH"/>
        </w:rPr>
        <w:t>Objets contenant de petites quantités de marchandises dangereuses</w:t>
      </w:r>
    </w:p>
    <w:p w:rsidR="00C06577" w:rsidRPr="00C06577" w:rsidRDefault="00C06577" w:rsidP="00C06577">
      <w:pPr>
        <w:pStyle w:val="SingleTxt"/>
        <w:spacing w:after="0" w:line="120" w:lineRule="exact"/>
        <w:rPr>
          <w:sz w:val="10"/>
          <w:lang w:val="fr-CH"/>
        </w:rPr>
      </w:pPr>
    </w:p>
    <w:p w:rsidR="00C06577" w:rsidRPr="00C06577" w:rsidRDefault="00C06577" w:rsidP="00C06577">
      <w:pPr>
        <w:pStyle w:val="SingleTxt"/>
        <w:spacing w:after="0" w:line="120" w:lineRule="exact"/>
        <w:rPr>
          <w:sz w:val="10"/>
          <w:lang w:val="fr-CH"/>
        </w:rPr>
      </w:pPr>
    </w:p>
    <w:p w:rsidR="00ED1DE0" w:rsidRDefault="00ED1DE0" w:rsidP="00C065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r>
      <w:r w:rsidRPr="00ED1DE0">
        <w:rPr>
          <w:lang w:val="fr-CH"/>
        </w:rPr>
        <w:tab/>
        <w:t>Proposition de correction au paragraphe 1.1.1.9</w:t>
      </w:r>
    </w:p>
    <w:p w:rsidR="00C06577" w:rsidRPr="00C06577" w:rsidRDefault="00C06577" w:rsidP="00C06577">
      <w:pPr>
        <w:pStyle w:val="SingleTxt"/>
        <w:spacing w:after="0" w:line="120" w:lineRule="exact"/>
        <w:rPr>
          <w:sz w:val="10"/>
          <w:lang w:val="fr-CH"/>
        </w:rPr>
      </w:pPr>
    </w:p>
    <w:p w:rsidR="00ED1DE0" w:rsidRPr="00ED1DE0" w:rsidRDefault="00ED1DE0" w:rsidP="00ED1DE0">
      <w:pPr>
        <w:pStyle w:val="SingleTxt"/>
        <w:rPr>
          <w:lang w:val="fr-CH"/>
        </w:rPr>
      </w:pPr>
      <w:r w:rsidRPr="00ED1DE0">
        <w:rPr>
          <w:i/>
          <w:iCs/>
          <w:lang w:val="fr-CH"/>
        </w:rPr>
        <w:t>Document informel</w:t>
      </w:r>
      <w:r w:rsidR="00C06577">
        <w:rPr>
          <w:i/>
          <w:iCs/>
          <w:lang w:val="fr-CH"/>
        </w:rPr>
        <w:t> </w:t>
      </w:r>
      <w:r w:rsidR="00C06577">
        <w:rPr>
          <w:lang w:val="fr-CH"/>
        </w:rPr>
        <w:t>:</w:t>
      </w:r>
      <w:r w:rsidR="00C06577">
        <w:rPr>
          <w:lang w:val="fr-CH"/>
        </w:rPr>
        <w:tab/>
      </w:r>
      <w:r w:rsidR="00C06577">
        <w:rPr>
          <w:lang w:val="fr-CH"/>
        </w:rPr>
        <w:tab/>
      </w:r>
      <w:r w:rsidRPr="00ED1DE0">
        <w:rPr>
          <w:lang w:val="fr-CH"/>
        </w:rPr>
        <w:t>INF.18 (Fédération de Russie)</w:t>
      </w:r>
      <w:r w:rsidR="00C06577">
        <w:rPr>
          <w:lang w:val="fr-CH"/>
        </w:rPr>
        <w:t>.</w:t>
      </w:r>
    </w:p>
    <w:p w:rsidR="00ED1DE0" w:rsidRDefault="00ED1DE0" w:rsidP="00633201">
      <w:pPr>
        <w:pStyle w:val="SingleTxt"/>
        <w:numPr>
          <w:ilvl w:val="0"/>
          <w:numId w:val="8"/>
        </w:numPr>
        <w:ind w:left="1267" w:firstLine="0"/>
        <w:rPr>
          <w:lang w:val="fr-CH"/>
        </w:rPr>
      </w:pPr>
      <w:r w:rsidRPr="00ED1DE0">
        <w:rPr>
          <w:lang w:val="fr-CH"/>
        </w:rPr>
        <w:t>La plupart des délégations ne voyaient pas de nécessité absolue de parler de lampes contenant des matières dangereuses plutôt que de lampes contenant des marchandises dangereuses et n’étaient donc pas favorables à la correction proposée. L’expert de la Fédération de Russie a pris note des observations et a indiqué qu’il réfléchirait à la suite à donner.</w:t>
      </w:r>
    </w:p>
    <w:p w:rsidR="009D0925" w:rsidRPr="009D0925" w:rsidRDefault="009D0925" w:rsidP="009D0925">
      <w:pPr>
        <w:pStyle w:val="SingleTxt"/>
        <w:spacing w:after="0" w:line="120" w:lineRule="exact"/>
        <w:rPr>
          <w:sz w:val="10"/>
          <w:lang w:val="fr-CH"/>
        </w:rPr>
      </w:pPr>
    </w:p>
    <w:p w:rsidR="009D0925" w:rsidRPr="009D0925" w:rsidRDefault="009D0925" w:rsidP="009D0925">
      <w:pPr>
        <w:pStyle w:val="SingleTxt"/>
        <w:spacing w:after="0" w:line="120" w:lineRule="exact"/>
        <w:rPr>
          <w:sz w:val="10"/>
          <w:lang w:val="fr-CH"/>
        </w:rPr>
      </w:pPr>
    </w:p>
    <w:p w:rsidR="00ED1DE0" w:rsidRDefault="00ED1DE0" w:rsidP="009D09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C.</w:t>
      </w:r>
      <w:r w:rsidRPr="00ED1DE0">
        <w:rPr>
          <w:lang w:val="fr-CH"/>
        </w:rPr>
        <w:tab/>
        <w:t>Marquage et étiquetage</w:t>
      </w:r>
    </w:p>
    <w:p w:rsidR="009D0925" w:rsidRPr="009D0925" w:rsidRDefault="009D0925" w:rsidP="009D0925">
      <w:pPr>
        <w:pStyle w:val="SingleTxt"/>
        <w:spacing w:after="0" w:line="120" w:lineRule="exact"/>
        <w:rPr>
          <w:sz w:val="10"/>
          <w:lang w:val="fr-CH"/>
        </w:rPr>
      </w:pPr>
    </w:p>
    <w:p w:rsidR="009D0925" w:rsidRPr="009D0925" w:rsidRDefault="009D0925" w:rsidP="009D0925">
      <w:pPr>
        <w:pStyle w:val="SingleTxt"/>
        <w:spacing w:after="0" w:line="120" w:lineRule="exact"/>
        <w:rPr>
          <w:sz w:val="10"/>
          <w:lang w:val="fr-CH"/>
        </w:rPr>
      </w:pPr>
    </w:p>
    <w:p w:rsidR="00ED1DE0" w:rsidRDefault="00ED1DE0" w:rsidP="009D09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1.</w:t>
      </w:r>
      <w:r w:rsidRPr="00ED1DE0">
        <w:rPr>
          <w:lang w:val="fr-CH"/>
        </w:rPr>
        <w:tab/>
        <w:t xml:space="preserve">Communication appropriée des dangers </w:t>
      </w:r>
      <w:r w:rsidR="009D0925">
        <w:rPr>
          <w:lang w:val="fr-CH"/>
        </w:rPr>
        <w:t>–</w:t>
      </w:r>
      <w:r w:rsidRPr="00ED1DE0">
        <w:rPr>
          <w:lang w:val="fr-CH"/>
        </w:rPr>
        <w:t xml:space="preserve"> matières transportées à chaud </w:t>
      </w:r>
      <w:r w:rsidR="009D0925">
        <w:rPr>
          <w:lang w:val="fr-CH"/>
        </w:rPr>
        <w:br/>
      </w:r>
      <w:r w:rsidRPr="00ED1DE0">
        <w:rPr>
          <w:lang w:val="fr-CH"/>
        </w:rPr>
        <w:t>et matières dangereuses pour l’environnement</w:t>
      </w:r>
    </w:p>
    <w:p w:rsidR="009D0925" w:rsidRPr="009D0925" w:rsidRDefault="009D0925" w:rsidP="009D0925">
      <w:pPr>
        <w:pStyle w:val="SingleTxt"/>
        <w:spacing w:after="0" w:line="120" w:lineRule="exact"/>
        <w:rPr>
          <w:sz w:val="10"/>
          <w:lang w:val="fr-CH"/>
        </w:rPr>
      </w:pPr>
    </w:p>
    <w:p w:rsidR="00ED1DE0" w:rsidRPr="00ED1DE0" w:rsidRDefault="00ED1DE0" w:rsidP="009D0925">
      <w:pPr>
        <w:pStyle w:val="SingleTxt"/>
        <w:rPr>
          <w:lang w:val="fr-CH"/>
        </w:rPr>
      </w:pPr>
      <w:r w:rsidRPr="00ED1DE0">
        <w:rPr>
          <w:i/>
          <w:iCs/>
          <w:lang w:val="fr-CH"/>
        </w:rPr>
        <w:t>Document</w:t>
      </w:r>
      <w:r w:rsidR="009D0925">
        <w:rPr>
          <w:i/>
          <w:iCs/>
          <w:lang w:val="fr-CH"/>
        </w:rPr>
        <w:t> </w:t>
      </w:r>
      <w:r w:rsidRPr="00ED1DE0">
        <w:rPr>
          <w:lang w:val="fr-CH"/>
        </w:rPr>
        <w:t>:</w:t>
      </w:r>
      <w:r w:rsidRPr="00ED1DE0">
        <w:rPr>
          <w:lang w:val="fr-CH"/>
        </w:rPr>
        <w:tab/>
      </w:r>
      <w:r w:rsidR="009D0925">
        <w:rPr>
          <w:lang w:val="fr-CH"/>
        </w:rPr>
        <w:tab/>
      </w:r>
      <w:r w:rsidR="009D0925">
        <w:rPr>
          <w:lang w:val="fr-CH"/>
        </w:rPr>
        <w:tab/>
      </w:r>
      <w:r w:rsidRPr="00ED1DE0">
        <w:rPr>
          <w:lang w:val="fr-CH"/>
        </w:rPr>
        <w:t>ST/SG/AC.10/C.3/2015/16 (Royaume-Uni)</w:t>
      </w:r>
      <w:r w:rsidR="009D0925">
        <w:rPr>
          <w:lang w:val="fr-CH"/>
        </w:rPr>
        <w:t>.</w:t>
      </w:r>
    </w:p>
    <w:p w:rsidR="00ED1DE0" w:rsidRDefault="00ED1DE0" w:rsidP="00633201">
      <w:pPr>
        <w:pStyle w:val="SingleTxt"/>
        <w:numPr>
          <w:ilvl w:val="0"/>
          <w:numId w:val="8"/>
        </w:numPr>
        <w:ind w:left="1267" w:firstLine="0"/>
        <w:rPr>
          <w:lang w:val="fr-CH"/>
        </w:rPr>
      </w:pPr>
      <w:r w:rsidRPr="00ED1DE0">
        <w:rPr>
          <w:lang w:val="fr-CH"/>
        </w:rPr>
        <w:t>La plupart des délégations ont estimé qu’il n’y a pas lieu de modifier le système actuel de marquage des emballages et des engins de transport transportant ces matières, craignant pour diverses raisons que le nouveau système d’étiquetage proposé entraîne de nombreuses confusions et difficultés d’application pratique. Il n’a donc pas été donné suite à cette proposition.</w:t>
      </w:r>
    </w:p>
    <w:p w:rsidR="009D0925" w:rsidRPr="009D0925" w:rsidRDefault="009D0925" w:rsidP="009D0925">
      <w:pPr>
        <w:pStyle w:val="SingleTxt"/>
        <w:spacing w:after="0" w:line="120" w:lineRule="exact"/>
        <w:rPr>
          <w:sz w:val="10"/>
          <w:lang w:val="fr-CH"/>
        </w:rPr>
      </w:pPr>
    </w:p>
    <w:p w:rsidR="00ED1DE0" w:rsidRDefault="00ED1DE0" w:rsidP="00AD38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2.</w:t>
      </w:r>
      <w:r w:rsidRPr="00ED1DE0">
        <w:rPr>
          <w:lang w:val="fr-CH"/>
        </w:rPr>
        <w:tab/>
        <w:t>Révision du paragraphe 5.2.2.2.2</w:t>
      </w:r>
    </w:p>
    <w:p w:rsidR="009D0925" w:rsidRPr="009D0925" w:rsidRDefault="009D0925" w:rsidP="00AD3852">
      <w:pPr>
        <w:pStyle w:val="SingleTxt"/>
        <w:keepNext/>
        <w:keepLines/>
        <w:spacing w:after="0" w:line="120" w:lineRule="exact"/>
        <w:rPr>
          <w:sz w:val="10"/>
          <w:lang w:val="fr-CH"/>
        </w:rPr>
      </w:pPr>
    </w:p>
    <w:p w:rsidR="00ED1DE0" w:rsidRPr="00ED1DE0" w:rsidRDefault="00ED1DE0" w:rsidP="00ED1DE0">
      <w:pPr>
        <w:pStyle w:val="SingleTxt"/>
        <w:rPr>
          <w:lang w:val="fr-CH"/>
        </w:rPr>
      </w:pPr>
      <w:r w:rsidRPr="00ED1DE0">
        <w:rPr>
          <w:i/>
          <w:iCs/>
          <w:lang w:val="fr-CH"/>
        </w:rPr>
        <w:t>Document informel</w:t>
      </w:r>
      <w:r w:rsidR="009D0925">
        <w:rPr>
          <w:i/>
          <w:iCs/>
          <w:lang w:val="fr-CH"/>
        </w:rPr>
        <w:t> </w:t>
      </w:r>
      <w:r w:rsidRPr="00ED1DE0">
        <w:rPr>
          <w:lang w:val="fr-CH"/>
        </w:rPr>
        <w:t>:</w:t>
      </w:r>
      <w:r w:rsidRPr="00ED1DE0">
        <w:rPr>
          <w:lang w:val="fr-CH"/>
        </w:rPr>
        <w:tab/>
      </w:r>
      <w:r w:rsidR="009D0925">
        <w:rPr>
          <w:lang w:val="fr-CH"/>
        </w:rPr>
        <w:tab/>
      </w:r>
      <w:r w:rsidRPr="00ED1DE0">
        <w:rPr>
          <w:lang w:val="fr-CH"/>
        </w:rPr>
        <w:t>INF.19 (Fédération de Russie)</w:t>
      </w:r>
      <w:r w:rsidR="009D0925">
        <w:rPr>
          <w:lang w:val="fr-CH"/>
        </w:rPr>
        <w:t>.</w:t>
      </w:r>
    </w:p>
    <w:p w:rsidR="00ED1DE0" w:rsidRDefault="00ED1DE0" w:rsidP="00633201">
      <w:pPr>
        <w:pStyle w:val="SingleTxt"/>
        <w:numPr>
          <w:ilvl w:val="0"/>
          <w:numId w:val="8"/>
        </w:numPr>
        <w:ind w:left="1267" w:firstLine="0"/>
        <w:rPr>
          <w:lang w:val="fr-CH"/>
        </w:rPr>
      </w:pPr>
      <w:r w:rsidRPr="00ED1DE0">
        <w:rPr>
          <w:lang w:val="fr-CH"/>
        </w:rPr>
        <w:t>Certains experts n’étaient pas convaincus qu’il faille modifier la présentation des étiquettes au paragraphe 5.2.2.2.2, d’autres estimaient qu’il vaudrait mieux les présenter sous forme de tableau soit dans le Règlement type, soit dans un document d’orientation. L’expert de la Fédération de Russie a été invité à préparer une proposition officielle en consultant le secrétariat pour s’assurer que la présentation proposée était possible compte tenu des exigences des imprimeurs.</w:t>
      </w:r>
    </w:p>
    <w:p w:rsidR="009D0925" w:rsidRPr="009D0925" w:rsidRDefault="009D0925" w:rsidP="009D0925">
      <w:pPr>
        <w:pStyle w:val="SingleTxt"/>
        <w:spacing w:after="0" w:line="120" w:lineRule="exact"/>
        <w:rPr>
          <w:sz w:val="10"/>
          <w:lang w:val="fr-CH"/>
        </w:rPr>
      </w:pPr>
    </w:p>
    <w:p w:rsidR="009D0925" w:rsidRPr="009D0925" w:rsidRDefault="009D0925" w:rsidP="009D0925">
      <w:pPr>
        <w:pStyle w:val="SingleTxt"/>
        <w:spacing w:after="0" w:line="120" w:lineRule="exact"/>
        <w:rPr>
          <w:sz w:val="10"/>
          <w:lang w:val="fr-CH"/>
        </w:rPr>
      </w:pPr>
    </w:p>
    <w:p w:rsidR="00ED1DE0" w:rsidRDefault="00ED1DE0" w:rsidP="009D09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D.</w:t>
      </w:r>
      <w:r w:rsidRPr="00ED1DE0">
        <w:rPr>
          <w:lang w:val="fr-CH"/>
        </w:rPr>
        <w:tab/>
        <w:t>Emballages</w:t>
      </w:r>
    </w:p>
    <w:p w:rsidR="009D0925" w:rsidRPr="009D0925" w:rsidRDefault="009D0925" w:rsidP="009D0925">
      <w:pPr>
        <w:pStyle w:val="SingleTxt"/>
        <w:spacing w:after="0" w:line="120" w:lineRule="exact"/>
        <w:rPr>
          <w:sz w:val="10"/>
          <w:lang w:val="fr-CH"/>
        </w:rPr>
      </w:pPr>
    </w:p>
    <w:p w:rsidR="009D0925" w:rsidRPr="009D0925" w:rsidRDefault="009D0925" w:rsidP="009D0925">
      <w:pPr>
        <w:pStyle w:val="SingleTxt"/>
        <w:spacing w:after="0" w:line="120" w:lineRule="exact"/>
        <w:rPr>
          <w:sz w:val="10"/>
          <w:lang w:val="fr-CH"/>
        </w:rPr>
      </w:pPr>
    </w:p>
    <w:p w:rsidR="00ED1DE0" w:rsidRDefault="00ED1DE0" w:rsidP="009D09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1.</w:t>
      </w:r>
      <w:r w:rsidRPr="00ED1DE0">
        <w:rPr>
          <w:lang w:val="fr-CH"/>
        </w:rPr>
        <w:tab/>
      </w:r>
      <w:r w:rsidRPr="009D0925">
        <w:rPr>
          <w:spacing w:val="0"/>
          <w:lang w:val="fr-CH"/>
        </w:rPr>
        <w:t>Proposition de correction à apporter à l</w:t>
      </w:r>
      <w:r w:rsidR="009D0925" w:rsidRPr="009D0925">
        <w:rPr>
          <w:spacing w:val="0"/>
          <w:lang w:val="fr-CH"/>
        </w:rPr>
        <w:t>a version française de l’alinéa </w:t>
      </w:r>
      <w:r w:rsidRPr="009D0925">
        <w:rPr>
          <w:spacing w:val="0"/>
          <w:lang w:val="fr-CH"/>
        </w:rPr>
        <w:t>6.1.3.1</w:t>
      </w:r>
      <w:r w:rsidR="009D0925" w:rsidRPr="009D0925">
        <w:rPr>
          <w:spacing w:val="0"/>
          <w:lang w:val="fr-CH"/>
        </w:rPr>
        <w:t> </w:t>
      </w:r>
      <w:r w:rsidRPr="009D0925">
        <w:rPr>
          <w:spacing w:val="0"/>
          <w:lang w:val="fr-CH"/>
        </w:rPr>
        <w:t>d)</w:t>
      </w:r>
    </w:p>
    <w:p w:rsidR="009D0925" w:rsidRPr="009D0925" w:rsidRDefault="009D0925" w:rsidP="009D0925">
      <w:pPr>
        <w:pStyle w:val="SingleTxt"/>
        <w:spacing w:after="0" w:line="120" w:lineRule="exact"/>
        <w:rPr>
          <w:sz w:val="10"/>
          <w:lang w:val="fr-CH"/>
        </w:rPr>
      </w:pPr>
    </w:p>
    <w:p w:rsidR="00ED1DE0" w:rsidRPr="00ED1DE0" w:rsidRDefault="00ED1DE0" w:rsidP="00ED1DE0">
      <w:pPr>
        <w:pStyle w:val="SingleTxt"/>
        <w:rPr>
          <w:lang w:val="en-GB"/>
        </w:rPr>
      </w:pPr>
      <w:r w:rsidRPr="00ED1DE0">
        <w:rPr>
          <w:i/>
          <w:lang w:val="en-GB"/>
        </w:rPr>
        <w:t>Document</w:t>
      </w:r>
      <w:r w:rsidR="009D0925">
        <w:rPr>
          <w:i/>
          <w:lang w:val="en-GB"/>
        </w:rPr>
        <w:t> </w:t>
      </w:r>
      <w:r w:rsidR="009D0925">
        <w:rPr>
          <w:lang w:val="en-GB"/>
        </w:rPr>
        <w:t>:</w:t>
      </w:r>
      <w:r w:rsidR="009D0925">
        <w:rPr>
          <w:lang w:val="en-GB"/>
        </w:rPr>
        <w:tab/>
      </w:r>
      <w:r w:rsidR="009D0925">
        <w:rPr>
          <w:lang w:val="en-GB"/>
        </w:rPr>
        <w:tab/>
      </w:r>
      <w:r w:rsidR="009D0925">
        <w:rPr>
          <w:lang w:val="en-GB"/>
        </w:rPr>
        <w:tab/>
      </w:r>
      <w:r w:rsidRPr="00ED1DE0">
        <w:rPr>
          <w:lang w:val="en-GB"/>
        </w:rPr>
        <w:t>ST/SG/AC.10/C.3/2015/22 (Canada)</w:t>
      </w:r>
      <w:r w:rsidR="009D0925">
        <w:rPr>
          <w:lang w:val="en-GB"/>
        </w:rPr>
        <w:t>.</w:t>
      </w:r>
    </w:p>
    <w:p w:rsidR="00ED1DE0" w:rsidRDefault="00ED1DE0" w:rsidP="00633201">
      <w:pPr>
        <w:pStyle w:val="SingleTxt"/>
        <w:numPr>
          <w:ilvl w:val="0"/>
          <w:numId w:val="8"/>
        </w:numPr>
        <w:ind w:left="1267" w:firstLine="0"/>
        <w:rPr>
          <w:lang w:val="fr-CH"/>
        </w:rPr>
      </w:pPr>
      <w:r w:rsidRPr="00ED1DE0">
        <w:rPr>
          <w:lang w:val="fr-CH"/>
        </w:rPr>
        <w:t>La proposition de correction a été adoptée. Les autres versions linguistiques doivent être vérifiées par le secrétariat.</w:t>
      </w:r>
    </w:p>
    <w:p w:rsidR="009D0925" w:rsidRPr="009D0925" w:rsidRDefault="009D0925" w:rsidP="009D0925">
      <w:pPr>
        <w:pStyle w:val="SingleTxt"/>
        <w:spacing w:after="0" w:line="120" w:lineRule="exact"/>
        <w:rPr>
          <w:sz w:val="10"/>
          <w:lang w:val="fr-CH"/>
        </w:rPr>
      </w:pPr>
    </w:p>
    <w:p w:rsidR="00ED1DE0" w:rsidRDefault="00ED1DE0" w:rsidP="009D09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2.</w:t>
      </w:r>
      <w:r w:rsidRPr="00ED1DE0">
        <w:rPr>
          <w:lang w:val="fr-CH"/>
        </w:rPr>
        <w:tab/>
        <w:t xml:space="preserve">Température au cours de l’épreuve de pression interne (hydraulique) </w:t>
      </w:r>
      <w:r w:rsidR="009D0925">
        <w:rPr>
          <w:lang w:val="fr-CH"/>
        </w:rPr>
        <w:br/>
      </w:r>
      <w:r w:rsidRPr="00ED1DE0">
        <w:rPr>
          <w:lang w:val="fr-CH"/>
        </w:rPr>
        <w:t>applicable aux emballages en pl</w:t>
      </w:r>
      <w:r w:rsidR="009D0925">
        <w:rPr>
          <w:lang w:val="fr-CH"/>
        </w:rPr>
        <w:t>astique et aux GRV en plastique</w:t>
      </w:r>
    </w:p>
    <w:p w:rsidR="009D0925" w:rsidRPr="009D0925" w:rsidRDefault="009D0925" w:rsidP="009D0925">
      <w:pPr>
        <w:pStyle w:val="SingleTxt"/>
        <w:spacing w:after="0" w:line="120" w:lineRule="exact"/>
        <w:rPr>
          <w:sz w:val="10"/>
          <w:lang w:val="fr-CH"/>
        </w:rPr>
      </w:pPr>
    </w:p>
    <w:p w:rsidR="00ED1DE0" w:rsidRPr="00ED1DE0" w:rsidRDefault="00ED1DE0" w:rsidP="009D0925">
      <w:pPr>
        <w:pStyle w:val="SingleTxt"/>
        <w:rPr>
          <w:lang w:val="fr-CH"/>
        </w:rPr>
      </w:pPr>
      <w:r w:rsidRPr="00ED1DE0">
        <w:rPr>
          <w:i/>
          <w:lang w:val="fr-CH"/>
        </w:rPr>
        <w:t>Document</w:t>
      </w:r>
      <w:r w:rsidR="009D0925">
        <w:rPr>
          <w:i/>
          <w:lang w:val="fr-CH"/>
        </w:rPr>
        <w:t> </w:t>
      </w:r>
      <w:r w:rsidR="009D0925">
        <w:rPr>
          <w:lang w:val="fr-CH"/>
        </w:rPr>
        <w:t>:</w:t>
      </w:r>
      <w:r w:rsidR="009D0925">
        <w:rPr>
          <w:lang w:val="fr-CH"/>
        </w:rPr>
        <w:tab/>
      </w:r>
      <w:r w:rsidR="009D0925">
        <w:rPr>
          <w:lang w:val="fr-CH"/>
        </w:rPr>
        <w:tab/>
      </w:r>
      <w:r w:rsidR="009D0925">
        <w:rPr>
          <w:lang w:val="fr-CH"/>
        </w:rPr>
        <w:tab/>
      </w:r>
      <w:r w:rsidRPr="00ED1DE0">
        <w:rPr>
          <w:lang w:val="fr-CH"/>
        </w:rPr>
        <w:t>ST/SG/AC.10/C.3/2015/15 (Allemagne)</w:t>
      </w:r>
      <w:r w:rsidR="009D0925">
        <w:rPr>
          <w:lang w:val="fr-CH"/>
        </w:rPr>
        <w:t>.</w:t>
      </w:r>
    </w:p>
    <w:p w:rsidR="00ED1DE0" w:rsidRPr="00ED1DE0" w:rsidRDefault="00ED1DE0" w:rsidP="00ED1DE0">
      <w:pPr>
        <w:pStyle w:val="SingleTxt"/>
        <w:rPr>
          <w:lang w:val="fr-CH"/>
        </w:rPr>
      </w:pPr>
      <w:r w:rsidRPr="00ED1DE0">
        <w:rPr>
          <w:i/>
          <w:lang w:val="fr-CH"/>
        </w:rPr>
        <w:t>Document informel</w:t>
      </w:r>
      <w:r w:rsidR="009D0925">
        <w:rPr>
          <w:i/>
          <w:lang w:val="fr-CH"/>
        </w:rPr>
        <w:t> </w:t>
      </w:r>
      <w:r w:rsidRPr="00ED1DE0">
        <w:rPr>
          <w:lang w:val="fr-CH"/>
        </w:rPr>
        <w:t>:</w:t>
      </w:r>
      <w:r w:rsidRPr="00ED1DE0">
        <w:rPr>
          <w:lang w:val="fr-CH"/>
        </w:rPr>
        <w:tab/>
      </w:r>
      <w:r w:rsidRPr="00ED1DE0">
        <w:rPr>
          <w:lang w:val="fr-CH"/>
        </w:rPr>
        <w:tab/>
        <w:t>INF.46 (Norvège)</w:t>
      </w:r>
      <w:r w:rsidR="009D0925">
        <w:rPr>
          <w:lang w:val="fr-CH"/>
        </w:rPr>
        <w:t>.</w:t>
      </w:r>
    </w:p>
    <w:p w:rsidR="00ED1DE0" w:rsidRDefault="00ED1DE0" w:rsidP="00633201">
      <w:pPr>
        <w:pStyle w:val="SingleTxt"/>
        <w:numPr>
          <w:ilvl w:val="0"/>
          <w:numId w:val="8"/>
        </w:numPr>
        <w:ind w:left="1267" w:firstLine="0"/>
        <w:rPr>
          <w:lang w:val="fr-CH"/>
        </w:rPr>
      </w:pPr>
      <w:r w:rsidRPr="00ED1DE0">
        <w:rPr>
          <w:lang w:val="fr-CH"/>
        </w:rPr>
        <w:t>Les experts ont émis des avis divergents au sujet de la proposition de l’Allemagne de prescrire une température minimale de 12</w:t>
      </w:r>
      <w:r w:rsidR="009D0925">
        <w:rPr>
          <w:lang w:val="fr-CH"/>
        </w:rPr>
        <w:t> </w:t>
      </w:r>
      <w:r w:rsidRPr="00ED1DE0">
        <w:rPr>
          <w:lang w:val="fr-CH"/>
        </w:rPr>
        <w:t>°C pour l’épreuve de pression hydraulique à laquelle sont soumis les emballages et les GRV en plastique, ainsi que de la suggestion de la Norvège de permettre en outre un facteur de correction pour la pression interne à appliquer lorsque la température est supérieure à 12</w:t>
      </w:r>
      <w:r w:rsidR="009D0925">
        <w:rPr>
          <w:lang w:val="fr-CH"/>
        </w:rPr>
        <w:t> </w:t>
      </w:r>
      <w:r w:rsidRPr="00ED1DE0">
        <w:rPr>
          <w:lang w:val="fr-CH"/>
        </w:rPr>
        <w:t>°C. Certains experts ont appuyé cette</w:t>
      </w:r>
      <w:r w:rsidR="00FC6BB3">
        <w:rPr>
          <w:lang w:val="fr-CH"/>
        </w:rPr>
        <w:t xml:space="preserve"> </w:t>
      </w:r>
      <w:r w:rsidRPr="00ED1DE0">
        <w:rPr>
          <w:lang w:val="fr-CH"/>
        </w:rPr>
        <w:t>proposition, estimant qu’elle permettrait d’améliorer la comparabilité des résultats de l’épreuve. D’autres se sont prononcés en faveur de l’ajout d’un facteur de correction pour améliorer cette compatibilité, tandis que d’autres enfin ont jugé que la proposition ne se justifiait pas sur le plan de la sécurité. Le Sous-Comité a décidé que cette question pouvait être examinée plus avant à la prochaine session, sur la base d’une nouvelle proposition qui tiendrait compte des points soulevés, notamment la justification des critères de sécurité, la justification du choix d’une température minimale de 12 °C, la façon de mesurer la température, l’extension de la disposition aux emballages et GRV composites, et la clause d’antériorité pour les agréments de modèles types en vigueur.</w:t>
      </w:r>
    </w:p>
    <w:p w:rsidR="009D0925" w:rsidRPr="009D0925" w:rsidRDefault="009D0925" w:rsidP="009D0925">
      <w:pPr>
        <w:pStyle w:val="SingleTxt"/>
        <w:spacing w:after="0" w:line="120" w:lineRule="exact"/>
        <w:rPr>
          <w:sz w:val="10"/>
          <w:lang w:val="fr-CH"/>
        </w:rPr>
      </w:pPr>
    </w:p>
    <w:p w:rsidR="00ED1DE0" w:rsidRDefault="00ED1DE0" w:rsidP="009D09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3.</w:t>
      </w:r>
      <w:r w:rsidRPr="00ED1DE0">
        <w:rPr>
          <w:lang w:val="fr-CH"/>
        </w:rPr>
        <w:tab/>
        <w:t xml:space="preserve">Instructions d’emballage P620 et P650 pour les matières infectieuses </w:t>
      </w:r>
      <w:r w:rsidR="009D0925">
        <w:rPr>
          <w:lang w:val="fr-CH"/>
        </w:rPr>
        <w:br/>
      </w:r>
      <w:r w:rsidRPr="00ED1DE0">
        <w:rPr>
          <w:lang w:val="fr-CH"/>
        </w:rPr>
        <w:t>de la division 6.2</w:t>
      </w:r>
    </w:p>
    <w:p w:rsidR="009D0925" w:rsidRPr="009D0925" w:rsidRDefault="009D0925" w:rsidP="009D0925">
      <w:pPr>
        <w:pStyle w:val="SingleTxt"/>
        <w:spacing w:after="0" w:line="120" w:lineRule="exact"/>
        <w:rPr>
          <w:sz w:val="10"/>
          <w:lang w:val="fr-CH"/>
        </w:rPr>
      </w:pPr>
    </w:p>
    <w:p w:rsidR="00ED1DE0" w:rsidRPr="00ED1DE0" w:rsidRDefault="00ED1DE0" w:rsidP="009D0925">
      <w:pPr>
        <w:pStyle w:val="SingleTxt"/>
        <w:rPr>
          <w:lang w:val="fr-CH"/>
        </w:rPr>
      </w:pPr>
      <w:r w:rsidRPr="00ED1DE0">
        <w:rPr>
          <w:i/>
          <w:lang w:val="fr-CH"/>
        </w:rPr>
        <w:t>Document informel</w:t>
      </w:r>
      <w:r w:rsidR="009D0925">
        <w:rPr>
          <w:i/>
          <w:lang w:val="fr-CH"/>
        </w:rPr>
        <w:t> </w:t>
      </w:r>
      <w:r w:rsidR="009D0925">
        <w:rPr>
          <w:lang w:val="fr-CH"/>
        </w:rPr>
        <w:t>:</w:t>
      </w:r>
      <w:r w:rsidR="009D0925">
        <w:rPr>
          <w:lang w:val="fr-CH"/>
        </w:rPr>
        <w:tab/>
      </w:r>
      <w:r w:rsidR="009D0925">
        <w:rPr>
          <w:lang w:val="fr-CH"/>
        </w:rPr>
        <w:tab/>
      </w:r>
      <w:r w:rsidRPr="00ED1DE0">
        <w:rPr>
          <w:lang w:val="fr-CH"/>
        </w:rPr>
        <w:t>INF.20 (Norvège)</w:t>
      </w:r>
      <w:r w:rsidR="009D0925">
        <w:rPr>
          <w:lang w:val="fr-CH"/>
        </w:rPr>
        <w:t>.</w:t>
      </w:r>
    </w:p>
    <w:p w:rsidR="00ED1DE0" w:rsidRPr="00ED1DE0" w:rsidRDefault="00ED1DE0" w:rsidP="00633201">
      <w:pPr>
        <w:pStyle w:val="SingleTxt"/>
        <w:numPr>
          <w:ilvl w:val="0"/>
          <w:numId w:val="8"/>
        </w:numPr>
        <w:ind w:left="1267" w:firstLine="0"/>
        <w:rPr>
          <w:lang w:val="fr-CH"/>
        </w:rPr>
      </w:pPr>
      <w:r w:rsidRPr="00ED1DE0">
        <w:rPr>
          <w:lang w:val="fr-CH"/>
        </w:rPr>
        <w:t>L’expert de la Norvège a rendu compte des problèmes rencontrés dernièrement avec les emballages utilisés dans le cadre de l’épidémie d’Ebola en Afrique de l’Ouest. S’agissant des questions posées aux paragraphes 9 à 12 du document, la plupart des experts ont estimé que</w:t>
      </w:r>
      <w:r w:rsidR="009D0925">
        <w:rPr>
          <w:lang w:val="fr-CH"/>
        </w:rPr>
        <w:t> </w:t>
      </w:r>
      <w:r w:rsidRPr="00ED1DE0">
        <w:rPr>
          <w:lang w:val="fr-CH"/>
        </w:rPr>
        <w:t>:</w:t>
      </w:r>
    </w:p>
    <w:p w:rsidR="00ED1DE0" w:rsidRPr="00ED1DE0" w:rsidRDefault="009D0925" w:rsidP="00ED1DE0">
      <w:pPr>
        <w:pStyle w:val="SingleTxt"/>
        <w:rPr>
          <w:lang w:val="fr-CH"/>
        </w:rPr>
      </w:pPr>
      <w:r>
        <w:rPr>
          <w:lang w:val="fr-CH"/>
        </w:rPr>
        <w:tab/>
      </w:r>
      <w:r w:rsidR="00ED1DE0" w:rsidRPr="00ED1DE0">
        <w:rPr>
          <w:lang w:val="fr-CH"/>
        </w:rPr>
        <w:t>a)</w:t>
      </w:r>
      <w:r w:rsidR="00ED1DE0" w:rsidRPr="00ED1DE0">
        <w:rPr>
          <w:lang w:val="fr-CH"/>
        </w:rPr>
        <w:tab/>
        <w:t>La prescription supplémentaire 3 de l’instruction P620 devait y être conservée en tant que prescription pour laquelle il n’était pas nécessaire de faire une démonstration de conformité au moyen des épreuves décrites au chapitre 6.3;</w:t>
      </w:r>
    </w:p>
    <w:p w:rsidR="00ED1DE0" w:rsidRPr="00AD3852" w:rsidRDefault="009D0925" w:rsidP="00ED1DE0">
      <w:pPr>
        <w:pStyle w:val="SingleTxt"/>
        <w:rPr>
          <w:lang w:val="fr-CH"/>
        </w:rPr>
      </w:pPr>
      <w:r w:rsidRPr="00AD3852">
        <w:rPr>
          <w:lang w:val="fr-CH"/>
        </w:rPr>
        <w:tab/>
      </w:r>
      <w:r w:rsidR="00ED1DE0" w:rsidRPr="00AD3852">
        <w:rPr>
          <w:lang w:val="fr-CH"/>
        </w:rPr>
        <w:t>b)</w:t>
      </w:r>
      <w:r w:rsidR="00ED1DE0" w:rsidRPr="00AD3852">
        <w:rPr>
          <w:lang w:val="fr-CH"/>
        </w:rPr>
        <w:tab/>
        <w:t>Les prescriptions relatives aux écarts de température et aux écarts de pression devaient être considérées séparément; elles visaient les emballages à utiliser dans le transport multimodal, notamment le transport aérien, mais il serait possible, s’il y avait lieu, de fixer d’autres dispositions pour les emballages à utiliser dans le transport en surface uniquement;</w:t>
      </w:r>
    </w:p>
    <w:p w:rsidR="00ED1DE0" w:rsidRDefault="009D0925" w:rsidP="00ED1DE0">
      <w:pPr>
        <w:pStyle w:val="SingleTxt"/>
        <w:rPr>
          <w:lang w:val="fr-CH"/>
        </w:rPr>
      </w:pPr>
      <w:r>
        <w:rPr>
          <w:lang w:val="fr-CH"/>
        </w:rPr>
        <w:tab/>
      </w:r>
      <w:r w:rsidR="00ED1DE0" w:rsidRPr="00ED1DE0">
        <w:rPr>
          <w:lang w:val="fr-CH"/>
        </w:rPr>
        <w:t>c)</w:t>
      </w:r>
      <w:r w:rsidR="00ED1DE0" w:rsidRPr="00ED1DE0">
        <w:rPr>
          <w:lang w:val="fr-CH"/>
        </w:rPr>
        <w:tab/>
        <w:t>Les prescriptions des alinéas 6) et 7) e) de l’instruction P650 ne devaient pas être étayées par des documents.</w:t>
      </w:r>
    </w:p>
    <w:p w:rsidR="009D0925" w:rsidRPr="009D0925" w:rsidRDefault="009D0925" w:rsidP="00AD3852">
      <w:pPr>
        <w:pStyle w:val="SingleTxt"/>
        <w:spacing w:after="0" w:line="100" w:lineRule="exact"/>
        <w:rPr>
          <w:sz w:val="10"/>
          <w:lang w:val="fr-CH"/>
        </w:rPr>
      </w:pPr>
    </w:p>
    <w:p w:rsidR="009D0925" w:rsidRPr="009D0925" w:rsidRDefault="009D0925" w:rsidP="009D0925">
      <w:pPr>
        <w:pStyle w:val="SingleTxt"/>
        <w:spacing w:after="0" w:line="120" w:lineRule="exact"/>
        <w:rPr>
          <w:sz w:val="10"/>
          <w:lang w:val="fr-CH"/>
        </w:rPr>
      </w:pPr>
    </w:p>
    <w:p w:rsidR="00ED1DE0" w:rsidRDefault="009D0925" w:rsidP="009D09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E.</w:t>
      </w:r>
      <w:r>
        <w:rPr>
          <w:lang w:val="fr-CH"/>
        </w:rPr>
        <w:tab/>
        <w:t>Citernes mobiles</w:t>
      </w:r>
    </w:p>
    <w:p w:rsidR="00AD3852" w:rsidRPr="009D0925" w:rsidRDefault="00AD3852" w:rsidP="00AD3852">
      <w:pPr>
        <w:pStyle w:val="SingleTxt"/>
        <w:spacing w:after="0" w:line="100" w:lineRule="exact"/>
        <w:rPr>
          <w:sz w:val="10"/>
          <w:lang w:val="fr-CH"/>
        </w:rPr>
      </w:pPr>
    </w:p>
    <w:p w:rsidR="009D0925" w:rsidRPr="009D0925" w:rsidRDefault="009D0925" w:rsidP="009D0925">
      <w:pPr>
        <w:pStyle w:val="SingleTxt"/>
        <w:spacing w:after="0" w:line="120" w:lineRule="exact"/>
        <w:rPr>
          <w:sz w:val="10"/>
          <w:lang w:val="fr-CH"/>
        </w:rPr>
      </w:pPr>
    </w:p>
    <w:p w:rsidR="00ED1DE0" w:rsidRDefault="00ED1DE0" w:rsidP="00633201">
      <w:pPr>
        <w:pStyle w:val="SingleTxt"/>
        <w:numPr>
          <w:ilvl w:val="0"/>
          <w:numId w:val="8"/>
        </w:numPr>
        <w:ind w:left="1267" w:firstLine="0"/>
        <w:rPr>
          <w:lang w:val="fr-CH"/>
        </w:rPr>
      </w:pPr>
      <w:r w:rsidRPr="00ED1DE0">
        <w:rPr>
          <w:lang w:val="fr-CH"/>
        </w:rPr>
        <w:t>Aucun document n’ayant été soumis au titre de ce point de l’ordre du jour, il n’a pas été examiné.</w:t>
      </w:r>
    </w:p>
    <w:p w:rsidR="009D0925" w:rsidRPr="00AD3852" w:rsidRDefault="009D0925" w:rsidP="00AD3852">
      <w:pPr>
        <w:pStyle w:val="SingleTxt"/>
        <w:spacing w:after="0" w:line="120" w:lineRule="exact"/>
        <w:rPr>
          <w:sz w:val="10"/>
          <w:lang w:val="fr-CH"/>
        </w:rPr>
      </w:pPr>
    </w:p>
    <w:p w:rsidR="00AD3852" w:rsidRPr="009D0925" w:rsidRDefault="00AD3852" w:rsidP="009D0925">
      <w:pPr>
        <w:pStyle w:val="SingleTxt"/>
        <w:spacing w:after="0" w:line="120" w:lineRule="exact"/>
        <w:rPr>
          <w:sz w:val="10"/>
          <w:lang w:val="fr-CH"/>
        </w:rPr>
      </w:pPr>
    </w:p>
    <w:p w:rsidR="00ED1DE0" w:rsidRDefault="00ED1DE0" w:rsidP="009D09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F.</w:t>
      </w:r>
      <w:r w:rsidRPr="00ED1DE0">
        <w:rPr>
          <w:lang w:val="fr-CH"/>
        </w:rPr>
        <w:tab/>
        <w:t>Autres propositions diverses</w:t>
      </w:r>
    </w:p>
    <w:p w:rsidR="009D0925" w:rsidRPr="009D0925" w:rsidRDefault="009D0925" w:rsidP="009D0925">
      <w:pPr>
        <w:pStyle w:val="SingleTxt"/>
        <w:spacing w:after="0" w:line="120" w:lineRule="exact"/>
        <w:rPr>
          <w:sz w:val="10"/>
          <w:lang w:val="fr-CH"/>
        </w:rPr>
      </w:pPr>
    </w:p>
    <w:p w:rsidR="009D0925" w:rsidRPr="009D0925" w:rsidRDefault="009D0925" w:rsidP="009D0925">
      <w:pPr>
        <w:pStyle w:val="SingleTxt"/>
        <w:spacing w:after="0" w:line="120" w:lineRule="exact"/>
        <w:rPr>
          <w:sz w:val="10"/>
          <w:lang w:val="fr-CH"/>
        </w:rPr>
      </w:pPr>
    </w:p>
    <w:p w:rsidR="00ED1DE0" w:rsidRDefault="00ED1DE0" w:rsidP="009D09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1.</w:t>
      </w:r>
      <w:r w:rsidRPr="00ED1DE0">
        <w:rPr>
          <w:lang w:val="fr-CH"/>
        </w:rPr>
        <w:tab/>
        <w:t xml:space="preserve">Application de l’exemption du paragraphe 1.1.1.9 aux lampes contenant </w:t>
      </w:r>
      <w:r w:rsidR="009D0925">
        <w:rPr>
          <w:lang w:val="fr-CH"/>
        </w:rPr>
        <w:br/>
      </w:r>
      <w:r w:rsidRPr="00ED1DE0">
        <w:rPr>
          <w:lang w:val="fr-CH"/>
        </w:rPr>
        <w:t>du mercure</w:t>
      </w:r>
    </w:p>
    <w:p w:rsidR="009D0925" w:rsidRPr="009D0925" w:rsidRDefault="009D0925" w:rsidP="009D0925">
      <w:pPr>
        <w:pStyle w:val="SingleTxt"/>
        <w:spacing w:after="0" w:line="120" w:lineRule="exact"/>
        <w:rPr>
          <w:sz w:val="10"/>
          <w:lang w:val="fr-CH"/>
        </w:rPr>
      </w:pPr>
    </w:p>
    <w:p w:rsidR="00ED1DE0" w:rsidRPr="00ED1DE0" w:rsidRDefault="00ED1DE0" w:rsidP="009D0925">
      <w:pPr>
        <w:pStyle w:val="SingleTxt"/>
        <w:rPr>
          <w:lang w:val="fr-CH"/>
        </w:rPr>
      </w:pPr>
      <w:r w:rsidRPr="00ED1DE0">
        <w:rPr>
          <w:i/>
          <w:lang w:val="fr-CH"/>
        </w:rPr>
        <w:t>Document</w:t>
      </w:r>
      <w:r w:rsidR="009D0925">
        <w:rPr>
          <w:i/>
          <w:lang w:val="fr-CH"/>
        </w:rPr>
        <w:t> </w:t>
      </w:r>
      <w:r w:rsidR="009D0925">
        <w:rPr>
          <w:lang w:val="fr-CH"/>
        </w:rPr>
        <w:t>:</w:t>
      </w:r>
      <w:r w:rsidR="009D0925">
        <w:rPr>
          <w:lang w:val="fr-CH"/>
        </w:rPr>
        <w:tab/>
      </w:r>
      <w:r w:rsidR="009D0925">
        <w:rPr>
          <w:lang w:val="fr-CH"/>
        </w:rPr>
        <w:tab/>
      </w:r>
      <w:r w:rsidR="009D0925">
        <w:rPr>
          <w:lang w:val="fr-CH"/>
        </w:rPr>
        <w:tab/>
      </w:r>
      <w:r w:rsidRPr="00ED1DE0">
        <w:rPr>
          <w:lang w:val="fr-CH"/>
        </w:rPr>
        <w:t>ST/SG/AC.10/C.3/2015/19 (Suisse)</w:t>
      </w:r>
      <w:r w:rsidR="009D0925">
        <w:rPr>
          <w:lang w:val="fr-CH"/>
        </w:rPr>
        <w:t>.</w:t>
      </w:r>
    </w:p>
    <w:p w:rsidR="00ED1DE0" w:rsidRPr="00ED1DE0" w:rsidRDefault="00ED1DE0" w:rsidP="00ED1DE0">
      <w:pPr>
        <w:pStyle w:val="SingleTxt"/>
        <w:rPr>
          <w:lang w:val="fr-CH"/>
        </w:rPr>
      </w:pPr>
      <w:r w:rsidRPr="00ED1DE0">
        <w:rPr>
          <w:i/>
          <w:lang w:val="fr-CH"/>
        </w:rPr>
        <w:t>Document informel</w:t>
      </w:r>
      <w:r w:rsidR="009D0925">
        <w:rPr>
          <w:i/>
          <w:lang w:val="fr-CH"/>
        </w:rPr>
        <w:t> </w:t>
      </w:r>
      <w:r w:rsidR="009D0925">
        <w:rPr>
          <w:lang w:val="fr-CH"/>
        </w:rPr>
        <w:t>:</w:t>
      </w:r>
      <w:r w:rsidR="009D0925">
        <w:rPr>
          <w:lang w:val="fr-CH"/>
        </w:rPr>
        <w:tab/>
      </w:r>
      <w:r w:rsidR="009D0925">
        <w:rPr>
          <w:lang w:val="fr-CH"/>
        </w:rPr>
        <w:tab/>
      </w:r>
      <w:r w:rsidRPr="00ED1DE0">
        <w:rPr>
          <w:lang w:val="fr-CH"/>
        </w:rPr>
        <w:t>INF.33 (Autriche)</w:t>
      </w:r>
      <w:r w:rsidR="009D0925">
        <w:rPr>
          <w:lang w:val="fr-CH"/>
        </w:rPr>
        <w:t>.</w:t>
      </w:r>
    </w:p>
    <w:p w:rsidR="00ED1DE0" w:rsidRPr="00AD3852" w:rsidRDefault="00ED1DE0" w:rsidP="00633201">
      <w:pPr>
        <w:pStyle w:val="SingleTxt"/>
        <w:numPr>
          <w:ilvl w:val="0"/>
          <w:numId w:val="8"/>
        </w:numPr>
        <w:ind w:left="1267" w:firstLine="0"/>
        <w:rPr>
          <w:lang w:val="fr-CH"/>
        </w:rPr>
      </w:pPr>
      <w:r w:rsidRPr="00AD3852">
        <w:rPr>
          <w:lang w:val="fr-CH"/>
        </w:rPr>
        <w:t>Le Sous-Comité n’a pas souhaité modifier la disposition spéciale 366, comme le proposait la Suisse, car, conformément à cette disposition, les lampes ne contenant pas plus d’un kg de mercure ne sont pas soumises aux règlements de transport terrestre et maritime applicables aux marchandises dangereuses et celles qui ne contiennent pas plus de 15</w:t>
      </w:r>
      <w:r w:rsidR="00202F58" w:rsidRPr="00AD3852">
        <w:rPr>
          <w:lang w:val="fr-CH"/>
        </w:rPr>
        <w:t> </w:t>
      </w:r>
      <w:r w:rsidRPr="00AD3852">
        <w:rPr>
          <w:lang w:val="fr-CH"/>
        </w:rPr>
        <w:t>g de mercure ne sont pas soumises aux règlements de transport aérien applicables à ces mêmes marchandises.</w:t>
      </w:r>
    </w:p>
    <w:p w:rsidR="00202F58" w:rsidRPr="00202F58" w:rsidRDefault="00202F58" w:rsidP="00202F58">
      <w:pPr>
        <w:pStyle w:val="SingleTxt"/>
        <w:spacing w:after="0" w:line="120" w:lineRule="exact"/>
        <w:rPr>
          <w:sz w:val="10"/>
          <w:lang w:val="fr-CH"/>
        </w:rPr>
      </w:pPr>
    </w:p>
    <w:p w:rsidR="00ED1DE0" w:rsidRDefault="00ED1DE0" w:rsidP="00202F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2.</w:t>
      </w:r>
      <w:r w:rsidRPr="00ED1DE0">
        <w:rPr>
          <w:lang w:val="fr-CH"/>
        </w:rPr>
        <w:tab/>
        <w:t xml:space="preserve">Révision de la formulation de certains amendements à </w:t>
      </w:r>
      <w:r w:rsidR="00EA33B5">
        <w:rPr>
          <w:lang w:val="fr-CH"/>
        </w:rPr>
        <w:t xml:space="preserve">la dix-huitième </w:t>
      </w:r>
      <w:r w:rsidRPr="00ED1DE0">
        <w:rPr>
          <w:lang w:val="fr-CH"/>
        </w:rPr>
        <w:t>édition révisée du Règlement type</w:t>
      </w:r>
    </w:p>
    <w:p w:rsidR="00202F58" w:rsidRPr="00202F58" w:rsidRDefault="00202F58" w:rsidP="00202F58">
      <w:pPr>
        <w:pStyle w:val="SingleTxt"/>
        <w:spacing w:after="0" w:line="120" w:lineRule="exact"/>
        <w:rPr>
          <w:sz w:val="10"/>
          <w:lang w:val="fr-CH"/>
        </w:rPr>
      </w:pPr>
    </w:p>
    <w:p w:rsidR="00ED1DE0" w:rsidRPr="00ED1DE0" w:rsidRDefault="00ED1DE0" w:rsidP="00ED1DE0">
      <w:pPr>
        <w:pStyle w:val="SingleTxt"/>
        <w:rPr>
          <w:lang w:val="fr-CH"/>
        </w:rPr>
      </w:pPr>
      <w:r w:rsidRPr="00ED1DE0">
        <w:rPr>
          <w:i/>
          <w:lang w:val="fr-CH"/>
        </w:rPr>
        <w:t>Documents informels</w:t>
      </w:r>
      <w:r w:rsidR="009E2DC8" w:rsidRPr="003B31C8">
        <w:rPr>
          <w:lang w:val="fr-CH"/>
        </w:rPr>
        <w:t> </w:t>
      </w:r>
      <w:r w:rsidRPr="003B31C8">
        <w:rPr>
          <w:lang w:val="fr-CH"/>
        </w:rPr>
        <w:t>:</w:t>
      </w:r>
      <w:r w:rsidR="009E2DC8">
        <w:rPr>
          <w:lang w:val="fr-CH"/>
        </w:rPr>
        <w:tab/>
      </w:r>
      <w:r w:rsidRPr="00ED1DE0">
        <w:rPr>
          <w:lang w:val="fr-CH"/>
        </w:rPr>
        <w:t>INF.12 et INF.55 (IATA)</w:t>
      </w:r>
      <w:r w:rsidR="009E2DC8">
        <w:rPr>
          <w:lang w:val="fr-CH"/>
        </w:rPr>
        <w:t>.</w:t>
      </w:r>
    </w:p>
    <w:p w:rsidR="00ED1DE0" w:rsidRDefault="00ED1DE0" w:rsidP="00633201">
      <w:pPr>
        <w:pStyle w:val="SingleTxt"/>
        <w:numPr>
          <w:ilvl w:val="0"/>
          <w:numId w:val="8"/>
        </w:numPr>
        <w:ind w:left="1267" w:firstLine="0"/>
        <w:rPr>
          <w:lang w:val="fr-CH"/>
        </w:rPr>
      </w:pPr>
      <w:r w:rsidRPr="00ED1DE0">
        <w:rPr>
          <w:lang w:val="fr-CH"/>
        </w:rPr>
        <w:t>Plusieurs experts ont estimé que la proposition de l’IATA visait une nouvelle fois à aborder la question des responsabilités respectives des expéditeurs et des transporteurs alors que les paragraphes en question s’appliquent au transport en général, y</w:t>
      </w:r>
      <w:r w:rsidR="00AD3852">
        <w:rPr>
          <w:lang w:val="fr-CH"/>
        </w:rPr>
        <w:t> </w:t>
      </w:r>
      <w:r w:rsidRPr="00ED1DE0">
        <w:rPr>
          <w:lang w:val="fr-CH"/>
        </w:rPr>
        <w:t>compris l’expédition et le transport proprement dit. Il a également été relevé que le Règlement type était truffé d’incohérences quant à la manière d’indiquer que certaines marchandises dangereuses ne sont pas autorisées au transport, ces questions devant donc plutôt être abordées dans un document officiel susceptible d’introduire davantage de cohérence dans la terminologie utilisée.</w:t>
      </w:r>
    </w:p>
    <w:p w:rsidR="00F236D4" w:rsidRPr="00F236D4" w:rsidRDefault="00F236D4" w:rsidP="00F236D4">
      <w:pPr>
        <w:pStyle w:val="SingleTxt"/>
        <w:spacing w:after="0" w:line="120" w:lineRule="exact"/>
        <w:rPr>
          <w:sz w:val="10"/>
          <w:lang w:val="fr-CH"/>
        </w:rPr>
      </w:pPr>
    </w:p>
    <w:p w:rsidR="00F236D4" w:rsidRPr="00F236D4" w:rsidRDefault="00F236D4" w:rsidP="00F236D4">
      <w:pPr>
        <w:pStyle w:val="SingleTxt"/>
        <w:spacing w:after="0" w:line="120" w:lineRule="exact"/>
        <w:rPr>
          <w:sz w:val="10"/>
          <w:lang w:val="fr-CH"/>
        </w:rPr>
      </w:pPr>
    </w:p>
    <w:p w:rsidR="00ED1DE0" w:rsidRDefault="00ED1DE0" w:rsidP="00F236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VIII.</w:t>
      </w:r>
      <w:r w:rsidRPr="00ED1DE0">
        <w:rPr>
          <w:lang w:val="fr-CH"/>
        </w:rPr>
        <w:tab/>
        <w:t xml:space="preserve">Harmonisation générale des règlements de transport </w:t>
      </w:r>
      <w:r w:rsidR="00F236D4">
        <w:rPr>
          <w:lang w:val="fr-CH"/>
        </w:rPr>
        <w:br/>
      </w:r>
      <w:r w:rsidRPr="00ED1DE0">
        <w:rPr>
          <w:lang w:val="fr-CH"/>
        </w:rPr>
        <w:t>des marchandises dangereuses avec le Règlement ty</w:t>
      </w:r>
      <w:r w:rsidR="00F236D4">
        <w:rPr>
          <w:lang w:val="fr-CH"/>
        </w:rPr>
        <w:t xml:space="preserve">pe </w:t>
      </w:r>
      <w:r w:rsidR="00F236D4">
        <w:rPr>
          <w:lang w:val="fr-CH"/>
        </w:rPr>
        <w:br/>
        <w:t>(point 7 de l’ordre du jour)</w:t>
      </w:r>
    </w:p>
    <w:p w:rsidR="00F236D4" w:rsidRPr="00F236D4" w:rsidRDefault="00F236D4" w:rsidP="00F236D4">
      <w:pPr>
        <w:pStyle w:val="SingleTxt"/>
        <w:spacing w:after="0" w:line="120" w:lineRule="exact"/>
        <w:rPr>
          <w:sz w:val="10"/>
          <w:lang w:val="fr-CH"/>
        </w:rPr>
      </w:pPr>
    </w:p>
    <w:p w:rsidR="00F236D4" w:rsidRPr="00F236D4" w:rsidRDefault="00F236D4" w:rsidP="00F236D4">
      <w:pPr>
        <w:pStyle w:val="SingleTxt"/>
        <w:spacing w:after="0" w:line="120" w:lineRule="exact"/>
        <w:rPr>
          <w:sz w:val="10"/>
          <w:lang w:val="fr-CH"/>
        </w:rPr>
      </w:pPr>
    </w:p>
    <w:p w:rsidR="00ED1DE0" w:rsidRDefault="00ED1DE0" w:rsidP="00F236D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A.</w:t>
      </w:r>
      <w:r w:rsidRPr="00ED1DE0">
        <w:rPr>
          <w:lang w:val="fr-CH"/>
        </w:rPr>
        <w:tab/>
        <w:t>Définition de l’</w:t>
      </w:r>
      <w:r w:rsidR="00F236D4">
        <w:rPr>
          <w:lang w:val="fr-CH"/>
        </w:rPr>
        <w:t>« </w:t>
      </w:r>
      <w:r w:rsidRPr="00ED1DE0">
        <w:rPr>
          <w:lang w:val="fr-CH"/>
        </w:rPr>
        <w:t>acier de référence</w:t>
      </w:r>
      <w:r w:rsidR="00F236D4">
        <w:rPr>
          <w:lang w:val="fr-CH"/>
        </w:rPr>
        <w:t> »</w:t>
      </w:r>
    </w:p>
    <w:p w:rsidR="00F236D4" w:rsidRPr="00F236D4" w:rsidRDefault="00F236D4" w:rsidP="00F236D4">
      <w:pPr>
        <w:pStyle w:val="SingleTxt"/>
        <w:spacing w:after="0" w:line="120" w:lineRule="exact"/>
        <w:rPr>
          <w:sz w:val="10"/>
          <w:lang w:val="fr-CH"/>
        </w:rPr>
      </w:pPr>
    </w:p>
    <w:p w:rsidR="00F236D4" w:rsidRPr="00F236D4" w:rsidRDefault="00F236D4" w:rsidP="00F236D4">
      <w:pPr>
        <w:pStyle w:val="SingleTxt"/>
        <w:spacing w:after="0" w:line="120" w:lineRule="exact"/>
        <w:rPr>
          <w:sz w:val="10"/>
          <w:lang w:val="fr-CH"/>
        </w:rPr>
      </w:pPr>
    </w:p>
    <w:p w:rsidR="00ED1DE0" w:rsidRPr="00ED1DE0" w:rsidRDefault="00ED1DE0" w:rsidP="00F236D4">
      <w:pPr>
        <w:pStyle w:val="SingleTxt"/>
        <w:rPr>
          <w:lang w:val="fr-CH"/>
        </w:rPr>
      </w:pPr>
      <w:r w:rsidRPr="00ED1DE0">
        <w:rPr>
          <w:i/>
          <w:lang w:val="fr-CH"/>
        </w:rPr>
        <w:t>Document informel</w:t>
      </w:r>
      <w:r w:rsidR="00F236D4">
        <w:rPr>
          <w:i/>
          <w:lang w:val="fr-CH"/>
        </w:rPr>
        <w:t> </w:t>
      </w:r>
      <w:r w:rsidRPr="00ED1DE0">
        <w:rPr>
          <w:lang w:val="fr-CH"/>
        </w:rPr>
        <w:t>:</w:t>
      </w:r>
      <w:r w:rsidRPr="00ED1DE0">
        <w:rPr>
          <w:lang w:val="fr-CH"/>
        </w:rPr>
        <w:tab/>
      </w:r>
      <w:r w:rsidRPr="00ED1DE0">
        <w:rPr>
          <w:lang w:val="fr-CH"/>
        </w:rPr>
        <w:tab/>
        <w:t>INF.30 (Roumanie)</w:t>
      </w:r>
      <w:r w:rsidR="00F236D4">
        <w:rPr>
          <w:lang w:val="fr-CH"/>
        </w:rPr>
        <w:t>.</w:t>
      </w:r>
    </w:p>
    <w:p w:rsidR="00ED1DE0" w:rsidRPr="00E85AB2" w:rsidRDefault="00ED1DE0" w:rsidP="00633201">
      <w:pPr>
        <w:pStyle w:val="SingleTxt"/>
        <w:numPr>
          <w:ilvl w:val="0"/>
          <w:numId w:val="8"/>
        </w:numPr>
        <w:ind w:left="1267" w:firstLine="0"/>
        <w:rPr>
          <w:lang w:val="fr-CH"/>
        </w:rPr>
      </w:pPr>
      <w:r w:rsidRPr="00E85AB2">
        <w:rPr>
          <w:lang w:val="fr-CH"/>
        </w:rPr>
        <w:t>L’observateur de la Roumanie a été invité à soumettre dans un document officiel à la prochaine session sa proposition tendant à déplacer la définition de l’</w:t>
      </w:r>
      <w:r w:rsidR="00F236D4" w:rsidRPr="00E85AB2">
        <w:rPr>
          <w:lang w:val="fr-CH"/>
        </w:rPr>
        <w:t>« </w:t>
      </w:r>
      <w:r w:rsidRPr="00E85AB2">
        <w:rPr>
          <w:lang w:val="fr-CH"/>
        </w:rPr>
        <w:t>acier de référence</w:t>
      </w:r>
      <w:r w:rsidR="00F236D4" w:rsidRPr="00E85AB2">
        <w:rPr>
          <w:lang w:val="fr-CH"/>
        </w:rPr>
        <w:t> »</w:t>
      </w:r>
      <w:r w:rsidRPr="00E85AB2">
        <w:rPr>
          <w:lang w:val="fr-CH"/>
        </w:rPr>
        <w:t xml:space="preserve"> du chapitre 6.7, où elle figure trois fois, au chapitre 1.2. Il a également été invité à vérifier que la définition donnée au chapitre 6.7 est aussi valide lorsque le terme est employé dans d’autres chapitres, notamment au p</w:t>
      </w:r>
      <w:r w:rsidR="00E85AB2" w:rsidRPr="00E85AB2">
        <w:rPr>
          <w:lang w:val="fr-CH"/>
        </w:rPr>
        <w:t xml:space="preserve">aragraphe 6.5.5.1.6 relatif aux </w:t>
      </w:r>
      <w:r w:rsidRPr="00E85AB2">
        <w:rPr>
          <w:lang w:val="fr-CH"/>
        </w:rPr>
        <w:t>GRV.</w:t>
      </w:r>
    </w:p>
    <w:p w:rsidR="00ED1DE0" w:rsidRDefault="00ED1DE0" w:rsidP="00F236D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B.</w:t>
      </w:r>
      <w:r w:rsidRPr="00ED1DE0">
        <w:rPr>
          <w:lang w:val="fr-CH"/>
        </w:rPr>
        <w:tab/>
        <w:t>Transpor</w:t>
      </w:r>
      <w:r w:rsidR="00F236D4">
        <w:rPr>
          <w:lang w:val="fr-CH"/>
        </w:rPr>
        <w:t>t des métaux en poudre toxiques</w:t>
      </w:r>
    </w:p>
    <w:p w:rsidR="00F236D4" w:rsidRPr="00F236D4" w:rsidRDefault="00F236D4" w:rsidP="00F236D4">
      <w:pPr>
        <w:pStyle w:val="SingleTxt"/>
        <w:spacing w:after="0" w:line="120" w:lineRule="exact"/>
        <w:rPr>
          <w:sz w:val="10"/>
          <w:lang w:val="fr-CH"/>
        </w:rPr>
      </w:pPr>
    </w:p>
    <w:p w:rsidR="00F236D4" w:rsidRPr="00F236D4" w:rsidRDefault="00F236D4" w:rsidP="00F236D4">
      <w:pPr>
        <w:pStyle w:val="SingleTxt"/>
        <w:spacing w:after="0" w:line="120" w:lineRule="exact"/>
        <w:rPr>
          <w:sz w:val="10"/>
          <w:lang w:val="fr-CH"/>
        </w:rPr>
      </w:pPr>
    </w:p>
    <w:p w:rsidR="00ED1DE0" w:rsidRPr="00ED1DE0" w:rsidRDefault="00ED1DE0" w:rsidP="00F236D4">
      <w:pPr>
        <w:pStyle w:val="SingleTxt"/>
        <w:jc w:val="left"/>
        <w:rPr>
          <w:lang w:val="fr-CH"/>
        </w:rPr>
      </w:pPr>
      <w:r w:rsidRPr="00ED1DE0">
        <w:rPr>
          <w:i/>
          <w:lang w:val="fr-CH"/>
        </w:rPr>
        <w:t>Documents informels</w:t>
      </w:r>
      <w:r w:rsidR="00F236D4" w:rsidRPr="00981DAC">
        <w:rPr>
          <w:lang w:val="fr-CH"/>
        </w:rPr>
        <w:t> </w:t>
      </w:r>
      <w:r w:rsidRPr="00981DAC">
        <w:rPr>
          <w:lang w:val="fr-CH"/>
        </w:rPr>
        <w:t>:</w:t>
      </w:r>
      <w:r w:rsidRPr="00ED1DE0">
        <w:rPr>
          <w:i/>
          <w:lang w:val="fr-CH"/>
        </w:rPr>
        <w:tab/>
      </w:r>
      <w:r w:rsidRPr="00ED1DE0">
        <w:rPr>
          <w:lang w:val="fr-CH"/>
        </w:rPr>
        <w:t>INF.34 (France)</w:t>
      </w:r>
      <w:r w:rsidR="00590F48">
        <w:rPr>
          <w:lang w:val="fr-CH"/>
        </w:rPr>
        <w:t>,</w:t>
      </w:r>
      <w:r w:rsidR="00F236D4">
        <w:rPr>
          <w:lang w:val="fr-CH"/>
        </w:rPr>
        <w:t xml:space="preserve"> </w:t>
      </w:r>
      <w:r w:rsidR="00F236D4">
        <w:rPr>
          <w:lang w:val="fr-CH"/>
        </w:rPr>
        <w:br/>
      </w:r>
      <w:r w:rsidR="00F236D4">
        <w:rPr>
          <w:lang w:val="fr-CH"/>
        </w:rPr>
        <w:tab/>
      </w:r>
      <w:r w:rsidR="00F236D4">
        <w:rPr>
          <w:lang w:val="fr-CH"/>
        </w:rPr>
        <w:tab/>
      </w:r>
      <w:r w:rsidR="00F236D4">
        <w:rPr>
          <w:lang w:val="fr-CH"/>
        </w:rPr>
        <w:tab/>
      </w:r>
      <w:r w:rsidR="00F236D4">
        <w:rPr>
          <w:lang w:val="fr-CH"/>
        </w:rPr>
        <w:tab/>
      </w:r>
      <w:r w:rsidR="00F236D4">
        <w:rPr>
          <w:lang w:val="fr-CH"/>
        </w:rPr>
        <w:tab/>
      </w:r>
      <w:r w:rsidRPr="00ED1DE0">
        <w:rPr>
          <w:lang w:val="fr-CH"/>
        </w:rPr>
        <w:t>INF.49, par.</w:t>
      </w:r>
      <w:r w:rsidR="00F236D4">
        <w:rPr>
          <w:lang w:val="fr-CH"/>
        </w:rPr>
        <w:t> </w:t>
      </w:r>
      <w:r w:rsidRPr="00ED1DE0">
        <w:rPr>
          <w:lang w:val="fr-CH"/>
        </w:rPr>
        <w:t xml:space="preserve">3.30 </w:t>
      </w:r>
      <w:r w:rsidR="00F236D4">
        <w:rPr>
          <w:lang w:val="fr-CH"/>
        </w:rPr>
        <w:t>à</w:t>
      </w:r>
      <w:r w:rsidRPr="00ED1DE0">
        <w:rPr>
          <w:lang w:val="fr-CH"/>
        </w:rPr>
        <w:t xml:space="preserve"> 3.32 (IMO)</w:t>
      </w:r>
      <w:r w:rsidR="00F236D4">
        <w:rPr>
          <w:lang w:val="fr-CH"/>
        </w:rPr>
        <w:t>.</w:t>
      </w:r>
    </w:p>
    <w:p w:rsidR="00ED1DE0" w:rsidRDefault="00ED1DE0" w:rsidP="00633201">
      <w:pPr>
        <w:pStyle w:val="SingleTxt"/>
        <w:numPr>
          <w:ilvl w:val="0"/>
          <w:numId w:val="8"/>
        </w:numPr>
        <w:ind w:left="1267" w:firstLine="0"/>
        <w:rPr>
          <w:lang w:val="fr-CH"/>
        </w:rPr>
      </w:pPr>
      <w:r w:rsidRPr="00ED1DE0">
        <w:rPr>
          <w:lang w:val="fr-CH"/>
        </w:rPr>
        <w:t xml:space="preserve">Le Sous-Comité a constaté que certaines poudres inflammables présentées au transport présentaient un danger de toxicité à l’inhalation et devraient par conséquent être classées dans la division 6.1 conformément au tableau d’ordre de prépondérance des dangers, mais qu’aucune rubrique </w:t>
      </w:r>
      <w:r w:rsidR="00590F48">
        <w:rPr>
          <w:lang w:val="fr-CH"/>
        </w:rPr>
        <w:t>n</w:t>
      </w:r>
      <w:r w:rsidRPr="00ED1DE0">
        <w:rPr>
          <w:lang w:val="fr-CH"/>
        </w:rPr>
        <w:t>.</w:t>
      </w:r>
      <w:r w:rsidR="00590F48">
        <w:rPr>
          <w:lang w:val="fr-CH"/>
        </w:rPr>
        <w:t>s</w:t>
      </w:r>
      <w:r w:rsidRPr="00ED1DE0">
        <w:rPr>
          <w:lang w:val="fr-CH"/>
        </w:rPr>
        <w:t>.</w:t>
      </w:r>
      <w:r w:rsidR="00590F48">
        <w:rPr>
          <w:lang w:val="fr-CH"/>
        </w:rPr>
        <w:t>a</w:t>
      </w:r>
      <w:r w:rsidRPr="00ED1DE0">
        <w:rPr>
          <w:lang w:val="fr-CH"/>
        </w:rPr>
        <w:t xml:space="preserve">. n’était disponible pour ce cas particulier. Le Sous-Comité a invité l’expert de la France à élaborer une proposition officielle de rubrique </w:t>
      </w:r>
      <w:r w:rsidR="00590F48">
        <w:rPr>
          <w:lang w:val="fr-CH"/>
        </w:rPr>
        <w:t>n</w:t>
      </w:r>
      <w:r w:rsidRPr="00ED1DE0">
        <w:rPr>
          <w:lang w:val="fr-CH"/>
        </w:rPr>
        <w:t>.</w:t>
      </w:r>
      <w:r w:rsidR="00590F48">
        <w:rPr>
          <w:lang w:val="fr-CH"/>
        </w:rPr>
        <w:t>s</w:t>
      </w:r>
      <w:r w:rsidRPr="00ED1DE0">
        <w:rPr>
          <w:lang w:val="fr-CH"/>
        </w:rPr>
        <w:t>.</w:t>
      </w:r>
      <w:r w:rsidR="00590F48">
        <w:rPr>
          <w:lang w:val="fr-CH"/>
        </w:rPr>
        <w:t>a</w:t>
      </w:r>
      <w:r w:rsidRPr="00ED1DE0">
        <w:rPr>
          <w:lang w:val="fr-CH"/>
        </w:rPr>
        <w:t>. avec indication des instructions de transport qui soit applicable aux solides inorganiques tels que les poudres métalliques. Certains experts ont déclaré qu’ils auraient besoin de plus de temps pour vérifier les données disponibles en matière de toxicité des poudres inflammables concernées afin de confirmer qu’une nouvelle rubrique est réellement nécessaire.</w:t>
      </w:r>
    </w:p>
    <w:p w:rsidR="00D36EDA" w:rsidRPr="00D36EDA" w:rsidRDefault="00D36EDA" w:rsidP="00D36EDA">
      <w:pPr>
        <w:pStyle w:val="SingleTxt"/>
        <w:spacing w:after="0" w:line="120" w:lineRule="exact"/>
        <w:rPr>
          <w:sz w:val="10"/>
          <w:lang w:val="fr-CH"/>
        </w:rPr>
      </w:pPr>
    </w:p>
    <w:p w:rsidR="00D36EDA" w:rsidRPr="00D36EDA" w:rsidRDefault="00D36EDA" w:rsidP="00D36EDA">
      <w:pPr>
        <w:pStyle w:val="SingleTxt"/>
        <w:spacing w:after="0" w:line="120" w:lineRule="exact"/>
        <w:rPr>
          <w:sz w:val="10"/>
          <w:lang w:val="fr-CH"/>
        </w:rPr>
      </w:pPr>
    </w:p>
    <w:p w:rsidR="00ED1DE0" w:rsidRDefault="00ED1DE0" w:rsidP="00D36E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C.</w:t>
      </w:r>
      <w:r w:rsidRPr="00ED1DE0">
        <w:rPr>
          <w:lang w:val="fr-CH"/>
        </w:rPr>
        <w:tab/>
      </w:r>
      <w:r w:rsidRPr="00D36EDA">
        <w:rPr>
          <w:spacing w:val="0"/>
          <w:lang w:val="fr-CH"/>
        </w:rPr>
        <w:t>Observations formulées par le Groupe de travail des marchandises</w:t>
      </w:r>
      <w:r w:rsidRPr="00ED1DE0">
        <w:rPr>
          <w:lang w:val="fr-CH"/>
        </w:rPr>
        <w:t xml:space="preserve"> dangereuses de l’OACI (DGP-WG/15)</w:t>
      </w:r>
    </w:p>
    <w:p w:rsidR="00D36EDA" w:rsidRPr="00D36EDA" w:rsidRDefault="00D36EDA" w:rsidP="00D36EDA">
      <w:pPr>
        <w:pStyle w:val="SingleTxt"/>
        <w:spacing w:after="0" w:line="120" w:lineRule="exact"/>
        <w:rPr>
          <w:sz w:val="10"/>
          <w:lang w:val="fr-CH"/>
        </w:rPr>
      </w:pPr>
    </w:p>
    <w:p w:rsidR="00D36EDA" w:rsidRPr="00D36EDA" w:rsidRDefault="00D36EDA" w:rsidP="00D36EDA">
      <w:pPr>
        <w:pStyle w:val="SingleTxt"/>
        <w:spacing w:after="0" w:line="120" w:lineRule="exact"/>
        <w:rPr>
          <w:sz w:val="10"/>
          <w:lang w:val="fr-CH"/>
        </w:rPr>
      </w:pPr>
    </w:p>
    <w:p w:rsidR="00ED1DE0" w:rsidRPr="00ED1DE0" w:rsidRDefault="00ED1DE0" w:rsidP="00D36EDA">
      <w:pPr>
        <w:pStyle w:val="SingleTxt"/>
        <w:rPr>
          <w:lang w:val="fr-CH"/>
        </w:rPr>
      </w:pPr>
      <w:r w:rsidRPr="00ED1DE0">
        <w:rPr>
          <w:i/>
          <w:lang w:val="fr-CH"/>
        </w:rPr>
        <w:t>Document informel</w:t>
      </w:r>
      <w:r w:rsidR="00D36EDA" w:rsidRPr="00981DAC">
        <w:rPr>
          <w:lang w:val="fr-CH"/>
        </w:rPr>
        <w:t> </w:t>
      </w:r>
      <w:r w:rsidRPr="00981DAC">
        <w:rPr>
          <w:lang w:val="fr-CH"/>
        </w:rPr>
        <w:t>:</w:t>
      </w:r>
      <w:r w:rsidRPr="00ED1DE0">
        <w:rPr>
          <w:i/>
          <w:lang w:val="fr-CH"/>
        </w:rPr>
        <w:tab/>
      </w:r>
      <w:r w:rsidRPr="00ED1DE0">
        <w:rPr>
          <w:i/>
          <w:lang w:val="fr-CH"/>
        </w:rPr>
        <w:tab/>
      </w:r>
      <w:r w:rsidRPr="00ED1DE0">
        <w:rPr>
          <w:lang w:val="fr-CH"/>
        </w:rPr>
        <w:t>INF.42 (ICAO)</w:t>
      </w:r>
    </w:p>
    <w:p w:rsidR="00ED1DE0" w:rsidRPr="00E019DD" w:rsidRDefault="00ED1DE0" w:rsidP="00633201">
      <w:pPr>
        <w:pStyle w:val="SingleTxt"/>
        <w:numPr>
          <w:ilvl w:val="0"/>
          <w:numId w:val="8"/>
        </w:numPr>
        <w:ind w:left="1267" w:firstLine="0"/>
        <w:rPr>
          <w:lang w:val="fr-CH"/>
        </w:rPr>
      </w:pPr>
      <w:r w:rsidRPr="00E019DD">
        <w:rPr>
          <w:lang w:val="fr-CH"/>
        </w:rPr>
        <w:t>S’agissant des paragraphes 3 et 6 de ce document concernant l’inclusion de prescriptions à caractère obligatoire dans les notes et notes de bas de page, il a été rappelé qu’ils avaient fait l’objet de discussions lors de sessions antérieures. Le Sous-Comité savait que l’ICAO avait sa propre politique en ce qui concerne les valeurs juridiques respectives des textes, des notes et des notes de bas de page et qu’elle l’appliquait de manière systématique dans tous ses instruments, mais que cette politique n’était pas nécessairement valable dans les traités internationaux ou dans d’autres législations. Il appartenait donc à l’ICAO de décider comment refléter au mieux les textes contenus dans les notes et notes de</w:t>
      </w:r>
      <w:r w:rsidR="00D36EDA" w:rsidRPr="00E019DD">
        <w:rPr>
          <w:lang w:val="fr-CH"/>
        </w:rPr>
        <w:t xml:space="preserve"> bas de page du Règlement type.</w:t>
      </w:r>
    </w:p>
    <w:p w:rsidR="00ED1DE0" w:rsidRPr="00ED1DE0" w:rsidRDefault="00ED1DE0" w:rsidP="00633201">
      <w:pPr>
        <w:pStyle w:val="SingleTxt"/>
        <w:numPr>
          <w:ilvl w:val="0"/>
          <w:numId w:val="8"/>
        </w:numPr>
        <w:ind w:left="1267" w:firstLine="0"/>
        <w:rPr>
          <w:lang w:val="fr-CH"/>
        </w:rPr>
      </w:pPr>
      <w:r w:rsidRPr="00D36EDA">
        <w:rPr>
          <w:spacing w:val="2"/>
          <w:lang w:val="fr-CH"/>
        </w:rPr>
        <w:t>Le Sous-Comité a jugé superflu le texte que l’ICAO proposait d’ajouter dans le NOTA tout à la fin de la section 6.1.3, car les exemples donnés aux paragra</w:t>
      </w:r>
      <w:r w:rsidR="00D36EDA" w:rsidRPr="00D36EDA">
        <w:rPr>
          <w:spacing w:val="2"/>
          <w:lang w:val="fr-CH"/>
        </w:rPr>
        <w:t>phes</w:t>
      </w:r>
      <w:r w:rsidR="00BB3CF5">
        <w:rPr>
          <w:spacing w:val="2"/>
          <w:lang w:val="fr-CH"/>
        </w:rPr>
        <w:t> </w:t>
      </w:r>
      <w:r w:rsidRPr="00D36EDA">
        <w:rPr>
          <w:spacing w:val="2"/>
          <w:lang w:val="fr-CH"/>
        </w:rPr>
        <w:t>6.1.3.10</w:t>
      </w:r>
      <w:r w:rsidRPr="00ED1DE0">
        <w:rPr>
          <w:lang w:val="fr-CH"/>
        </w:rPr>
        <w:t xml:space="preserve"> à 6.1.3.12 n’étaient que des exemples et que le paragraphe 6.1.3.7 répondait déjà aux préoccupations de l’ICAO.</w:t>
      </w:r>
    </w:p>
    <w:p w:rsidR="00D36EDA" w:rsidRDefault="00ED1DE0" w:rsidP="00633201">
      <w:pPr>
        <w:pStyle w:val="SingleTxt"/>
        <w:numPr>
          <w:ilvl w:val="0"/>
          <w:numId w:val="8"/>
        </w:numPr>
        <w:ind w:left="1267" w:firstLine="0"/>
        <w:rPr>
          <w:lang w:val="fr-CH"/>
        </w:rPr>
      </w:pPr>
      <w:r w:rsidRPr="00ED1DE0">
        <w:rPr>
          <w:lang w:val="fr-CH"/>
        </w:rPr>
        <w:t xml:space="preserve">Pour ce qui est de la disposition spéciale 378, il a été rappelé que le texte de la déclaration exigée dans le document de transport était destiné à faciliter le transport multimodal et qu’en s’éloignant de ce texte on ne faciliterait pas l’utilisation des documents de transport aérien dans une chaîne de transport multimodal. S’agissant du remplacement du mot </w:t>
      </w:r>
      <w:r w:rsidR="00D36EDA">
        <w:rPr>
          <w:lang w:val="fr-CH"/>
        </w:rPr>
        <w:t>« </w:t>
      </w:r>
      <w:r w:rsidRPr="00ED1DE0">
        <w:rPr>
          <w:lang w:val="fr-CH"/>
        </w:rPr>
        <w:t>transporté</w:t>
      </w:r>
      <w:r w:rsidR="00D36EDA">
        <w:rPr>
          <w:lang w:val="fr-CH"/>
        </w:rPr>
        <w:t> »</w:t>
      </w:r>
      <w:r w:rsidRPr="00ED1DE0">
        <w:rPr>
          <w:lang w:val="fr-CH"/>
        </w:rPr>
        <w:t xml:space="preserve"> par </w:t>
      </w:r>
      <w:r w:rsidR="00D36EDA">
        <w:rPr>
          <w:lang w:val="fr-CH"/>
        </w:rPr>
        <w:t>« </w:t>
      </w:r>
      <w:r w:rsidRPr="00ED1DE0">
        <w:rPr>
          <w:lang w:val="fr-CH"/>
        </w:rPr>
        <w:t>présentée au transport</w:t>
      </w:r>
      <w:r w:rsidR="00D36EDA">
        <w:rPr>
          <w:lang w:val="fr-CH"/>
        </w:rPr>
        <w:t> »</w:t>
      </w:r>
      <w:r w:rsidRPr="00ED1DE0">
        <w:rPr>
          <w:lang w:val="fr-CH"/>
        </w:rPr>
        <w:t xml:space="preserve">, il a été rappelé que le Règlement type n’avait pas vocation à définir les responsabilités respectives des expéditeurs et des transporteurs, mais plutôt à fixer les conditions permettant de transporter des marchandises dangereuses en </w:t>
      </w:r>
      <w:r w:rsidR="00D36EDA">
        <w:rPr>
          <w:lang w:val="fr-CH"/>
        </w:rPr>
        <w:t>toute sécurité.</w:t>
      </w:r>
    </w:p>
    <w:p w:rsidR="00ED1DE0" w:rsidRDefault="00ED1DE0" w:rsidP="00633201">
      <w:pPr>
        <w:pStyle w:val="SingleTxt"/>
        <w:numPr>
          <w:ilvl w:val="0"/>
          <w:numId w:val="8"/>
        </w:numPr>
        <w:ind w:left="1267" w:firstLine="0"/>
        <w:rPr>
          <w:lang w:val="fr-CH"/>
        </w:rPr>
      </w:pPr>
      <w:r w:rsidRPr="00ED1DE0">
        <w:rPr>
          <w:lang w:val="fr-CH"/>
        </w:rPr>
        <w:t>En ce qui concerne la question du calcul de l’indice de transport, le chapitre</w:t>
      </w:r>
      <w:r w:rsidR="00BB3CF5">
        <w:rPr>
          <w:lang w:val="fr-CH"/>
        </w:rPr>
        <w:t> </w:t>
      </w:r>
      <w:r w:rsidRPr="00ED1DE0">
        <w:rPr>
          <w:lang w:val="fr-CH"/>
        </w:rPr>
        <w:t>1.5 du Règlement type renvoie au document Advisory Material de l’AIEA et le fait de tirer des informations pratiques de ce document n’a pas paru poser de problème, alors que la modification correspondante du Règlement type devrait passer de préférence</w:t>
      </w:r>
      <w:r w:rsidR="00D36EDA">
        <w:rPr>
          <w:lang w:val="fr-CH"/>
        </w:rPr>
        <w:t xml:space="preserve"> par une proposition de l’AIEA.</w:t>
      </w:r>
    </w:p>
    <w:p w:rsidR="00D36EDA" w:rsidRPr="00D36EDA" w:rsidRDefault="00D36EDA" w:rsidP="00D36EDA">
      <w:pPr>
        <w:pStyle w:val="SingleTxt"/>
        <w:spacing w:after="0" w:line="120" w:lineRule="exact"/>
        <w:rPr>
          <w:sz w:val="10"/>
          <w:lang w:val="fr-CH"/>
        </w:rPr>
      </w:pPr>
    </w:p>
    <w:p w:rsidR="00D36EDA" w:rsidRPr="00D36EDA" w:rsidRDefault="00D36EDA" w:rsidP="00D36EDA">
      <w:pPr>
        <w:pStyle w:val="SingleTxt"/>
        <w:spacing w:after="0" w:line="120" w:lineRule="exact"/>
        <w:rPr>
          <w:sz w:val="10"/>
          <w:lang w:val="fr-CH"/>
        </w:rPr>
      </w:pPr>
    </w:p>
    <w:p w:rsidR="00ED1DE0" w:rsidRDefault="00ED1DE0" w:rsidP="00590F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D.</w:t>
      </w:r>
      <w:r w:rsidRPr="00ED1DE0">
        <w:rPr>
          <w:lang w:val="fr-CH"/>
        </w:rPr>
        <w:tab/>
        <w:t>Rapport de la trente-troisième session du Groupe des questions techniques et éditoriales de l’OMI</w:t>
      </w:r>
    </w:p>
    <w:p w:rsidR="00D36EDA" w:rsidRPr="00D36EDA" w:rsidRDefault="00D36EDA" w:rsidP="00590F48">
      <w:pPr>
        <w:pStyle w:val="SingleTxt"/>
        <w:keepNext/>
        <w:keepLines/>
        <w:spacing w:after="0" w:line="120" w:lineRule="exact"/>
        <w:rPr>
          <w:sz w:val="10"/>
          <w:lang w:val="fr-CH"/>
        </w:rPr>
      </w:pPr>
    </w:p>
    <w:p w:rsidR="00D36EDA" w:rsidRPr="00D36EDA" w:rsidRDefault="00D36EDA" w:rsidP="00590F48">
      <w:pPr>
        <w:pStyle w:val="SingleTxt"/>
        <w:keepNext/>
        <w:keepLines/>
        <w:spacing w:after="0" w:line="120" w:lineRule="exact"/>
        <w:rPr>
          <w:sz w:val="10"/>
          <w:lang w:val="fr-CH"/>
        </w:rPr>
      </w:pPr>
    </w:p>
    <w:p w:rsidR="00ED1DE0" w:rsidRPr="00ED1DE0" w:rsidRDefault="00ED1DE0" w:rsidP="00590F48">
      <w:pPr>
        <w:pStyle w:val="SingleTxt"/>
        <w:keepNext/>
        <w:keepLines/>
        <w:rPr>
          <w:lang w:val="fr-CH"/>
        </w:rPr>
      </w:pPr>
      <w:r w:rsidRPr="00ED1DE0">
        <w:rPr>
          <w:i/>
          <w:lang w:val="fr-CH"/>
        </w:rPr>
        <w:t>Document informel</w:t>
      </w:r>
      <w:r w:rsidR="00D36EDA" w:rsidRPr="00680974">
        <w:rPr>
          <w:lang w:val="fr-CH"/>
        </w:rPr>
        <w:t> </w:t>
      </w:r>
      <w:r w:rsidRPr="00680974">
        <w:rPr>
          <w:lang w:val="fr-CH"/>
        </w:rPr>
        <w:t>:</w:t>
      </w:r>
      <w:r w:rsidRPr="00ED1DE0">
        <w:rPr>
          <w:i/>
          <w:lang w:val="fr-CH"/>
        </w:rPr>
        <w:tab/>
      </w:r>
      <w:r w:rsidRPr="00ED1DE0">
        <w:rPr>
          <w:i/>
          <w:lang w:val="fr-CH"/>
        </w:rPr>
        <w:tab/>
      </w:r>
      <w:r w:rsidRPr="00ED1DE0">
        <w:rPr>
          <w:lang w:val="fr-CH"/>
        </w:rPr>
        <w:t>INF.49 (IMO)</w:t>
      </w:r>
      <w:r w:rsidR="00D36EDA">
        <w:rPr>
          <w:lang w:val="fr-CH"/>
        </w:rPr>
        <w:t>.</w:t>
      </w:r>
    </w:p>
    <w:p w:rsidR="00ED1DE0" w:rsidRPr="0001428B" w:rsidRDefault="00ED1DE0" w:rsidP="00633201">
      <w:pPr>
        <w:pStyle w:val="SingleTxt"/>
        <w:numPr>
          <w:ilvl w:val="0"/>
          <w:numId w:val="8"/>
        </w:numPr>
        <w:ind w:left="1267" w:firstLine="0"/>
        <w:rPr>
          <w:lang w:val="fr-CH"/>
        </w:rPr>
      </w:pPr>
      <w:r w:rsidRPr="0001428B">
        <w:rPr>
          <w:lang w:val="fr-CH"/>
        </w:rPr>
        <w:t>S’agissant des paragraphes 2.2 et 2.3, il a été rappelé que les dispositions spéciales</w:t>
      </w:r>
      <w:r w:rsidR="0001428B">
        <w:rPr>
          <w:lang w:val="fr-CH"/>
        </w:rPr>
        <w:t> </w:t>
      </w:r>
      <w:r w:rsidRPr="0001428B">
        <w:rPr>
          <w:lang w:val="fr-CH"/>
        </w:rPr>
        <w:t>325 et 326 avaient été affectées à un certain n</w:t>
      </w:r>
      <w:r w:rsidR="00D36EDA" w:rsidRPr="0001428B">
        <w:rPr>
          <w:lang w:val="fr-CH"/>
        </w:rPr>
        <w:t>ombre de rubriques de la classe </w:t>
      </w:r>
      <w:r w:rsidRPr="0001428B">
        <w:rPr>
          <w:lang w:val="fr-CH"/>
        </w:rPr>
        <w:t>7 pour éviter que l’hexafluorure d’uranium soit transporté sous des rubriques auxquelles il pourrait aussi en bonne logique être affe</w:t>
      </w:r>
      <w:r w:rsidR="003A7D36" w:rsidRPr="0001428B">
        <w:rPr>
          <w:lang w:val="fr-CH"/>
        </w:rPr>
        <w:t xml:space="preserve">cté. Toutefois, les numéros </w:t>
      </w:r>
      <w:r w:rsidR="00D36EDA" w:rsidRPr="0001428B">
        <w:rPr>
          <w:lang w:val="fr-CH"/>
        </w:rPr>
        <w:t>ONU </w:t>
      </w:r>
      <w:r w:rsidRPr="0001428B">
        <w:rPr>
          <w:lang w:val="fr-CH"/>
        </w:rPr>
        <w:t xml:space="preserve">3332 et 3333 étaient destinés au transport de matières radioactives </w:t>
      </w:r>
      <w:r w:rsidR="00D36EDA" w:rsidRPr="0001428B">
        <w:rPr>
          <w:lang w:val="fr-CH"/>
        </w:rPr>
        <w:t>« </w:t>
      </w:r>
      <w:r w:rsidRPr="0001428B">
        <w:rPr>
          <w:lang w:val="fr-CH"/>
        </w:rPr>
        <w:t>sous forme spéciale</w:t>
      </w:r>
      <w:r w:rsidR="00D36EDA" w:rsidRPr="0001428B">
        <w:rPr>
          <w:lang w:val="fr-CH"/>
        </w:rPr>
        <w:t> »</w:t>
      </w:r>
      <w:r w:rsidRPr="0001428B">
        <w:rPr>
          <w:lang w:val="fr-CH"/>
        </w:rPr>
        <w:t xml:space="preserve"> et il n’était pas prévu de </w:t>
      </w:r>
      <w:r w:rsidR="00D36EDA" w:rsidRPr="0001428B">
        <w:rPr>
          <w:lang w:val="fr-CH"/>
        </w:rPr>
        <w:t>« </w:t>
      </w:r>
      <w:r w:rsidRPr="0001428B">
        <w:rPr>
          <w:lang w:val="fr-CH"/>
        </w:rPr>
        <w:t>forme spéciale</w:t>
      </w:r>
      <w:r w:rsidR="00D36EDA" w:rsidRPr="0001428B">
        <w:rPr>
          <w:lang w:val="fr-CH"/>
        </w:rPr>
        <w:t> »</w:t>
      </w:r>
      <w:r w:rsidRPr="0001428B">
        <w:rPr>
          <w:lang w:val="fr-CH"/>
        </w:rPr>
        <w:t xml:space="preserve"> d’hexafluorure d’uranium, raison pour laquelle il n’était pas besoin d’affecter une disposition spéciale 325 ou 326 à ces rubriques.</w:t>
      </w:r>
    </w:p>
    <w:p w:rsidR="00ED1DE0" w:rsidRPr="00ED1DE0" w:rsidRDefault="00ED1DE0" w:rsidP="00633201">
      <w:pPr>
        <w:pStyle w:val="SingleTxt"/>
        <w:numPr>
          <w:ilvl w:val="0"/>
          <w:numId w:val="8"/>
        </w:numPr>
        <w:ind w:left="1267" w:firstLine="0"/>
        <w:rPr>
          <w:lang w:val="fr-CH"/>
        </w:rPr>
      </w:pPr>
      <w:r w:rsidRPr="00ED1DE0">
        <w:rPr>
          <w:lang w:val="fr-CH"/>
        </w:rPr>
        <w:t>Les corrections suggérées aux paragraphes 2.7 et 3.7 ont été jugées appropriées (voir annexe</w:t>
      </w:r>
      <w:r w:rsidR="00D36EDA">
        <w:rPr>
          <w:lang w:val="fr-CH"/>
        </w:rPr>
        <w:t> </w:t>
      </w:r>
      <w:r w:rsidRPr="00ED1DE0">
        <w:rPr>
          <w:lang w:val="fr-CH"/>
        </w:rPr>
        <w:t>3) et celle qui est proposée au paragraphe 2.8 avait déjà été prise en compte dans la</w:t>
      </w:r>
      <w:r w:rsidR="00DF4E33">
        <w:rPr>
          <w:lang w:val="fr-CH"/>
        </w:rPr>
        <w:t xml:space="preserve"> dix-neuvième </w:t>
      </w:r>
      <w:r w:rsidRPr="00ED1DE0">
        <w:rPr>
          <w:lang w:val="fr-CH"/>
        </w:rPr>
        <w:t>édition révisée des Recommandations.</w:t>
      </w:r>
    </w:p>
    <w:p w:rsidR="00ED1DE0" w:rsidRPr="00ED1DE0" w:rsidRDefault="00ED1DE0" w:rsidP="00633201">
      <w:pPr>
        <w:pStyle w:val="SingleTxt"/>
        <w:numPr>
          <w:ilvl w:val="0"/>
          <w:numId w:val="8"/>
        </w:numPr>
        <w:ind w:left="1267" w:firstLine="0"/>
        <w:rPr>
          <w:lang w:val="fr-CH"/>
        </w:rPr>
      </w:pPr>
      <w:r w:rsidRPr="00ED1DE0">
        <w:rPr>
          <w:lang w:val="fr-CH"/>
        </w:rPr>
        <w:t>L’obligation d’indiquer la température critique et la température de régulation dans le document de transport lorsque des matières susceptibles de polymériser sont transportées sous régulation de température a semblé logique (par analogie avec les peroxydes organiques et les matières autoréactives), mais plusieurs délégations ont estimé que cette obligation devrait faire l’objet d’une proposition officielle (par</w:t>
      </w:r>
      <w:r w:rsidR="00DF4E33">
        <w:rPr>
          <w:lang w:val="fr-CH"/>
        </w:rPr>
        <w:t>.</w:t>
      </w:r>
      <w:r w:rsidR="000210DD">
        <w:rPr>
          <w:lang w:val="fr-CH"/>
        </w:rPr>
        <w:t> </w:t>
      </w:r>
      <w:r w:rsidR="00DF4E33">
        <w:rPr>
          <w:lang w:val="fr-CH"/>
        </w:rPr>
        <w:t>3.9 à </w:t>
      </w:r>
      <w:r w:rsidRPr="00ED1DE0">
        <w:rPr>
          <w:lang w:val="fr-CH"/>
        </w:rPr>
        <w:t>3.11). De même, le souci exprimé au paragraphe 3.8 devrait être mieux expliqué et faire l’objet d’une proposition d’amendement concrète.</w:t>
      </w:r>
    </w:p>
    <w:p w:rsidR="00ED1DE0" w:rsidRPr="003A7D36" w:rsidRDefault="00ED1DE0" w:rsidP="00633201">
      <w:pPr>
        <w:pStyle w:val="SingleTxt"/>
        <w:numPr>
          <w:ilvl w:val="0"/>
          <w:numId w:val="8"/>
        </w:numPr>
        <w:ind w:left="1267" w:firstLine="0"/>
        <w:rPr>
          <w:spacing w:val="3"/>
          <w:lang w:val="fr-CH"/>
        </w:rPr>
      </w:pPr>
      <w:r w:rsidRPr="003A7D36">
        <w:rPr>
          <w:spacing w:val="3"/>
          <w:lang w:val="fr-CH"/>
        </w:rPr>
        <w:t>Le Sous-Comité a noté l’invitation à examiner plus avant la question des batteries au lithium à la lumière des paragraphes 3.12 à 3.14, considérant toutefois que cela nécessiterait également des propositions concrètes de la part des experts intéressés.</w:t>
      </w:r>
    </w:p>
    <w:p w:rsidR="00ED1DE0" w:rsidRDefault="00ED1DE0" w:rsidP="00633201">
      <w:pPr>
        <w:pStyle w:val="SingleTxt"/>
        <w:numPr>
          <w:ilvl w:val="0"/>
          <w:numId w:val="8"/>
        </w:numPr>
        <w:ind w:left="1267" w:firstLine="0"/>
        <w:rPr>
          <w:lang w:val="fr-CH"/>
        </w:rPr>
      </w:pPr>
      <w:r w:rsidRPr="00ED1DE0">
        <w:rPr>
          <w:lang w:val="fr-CH"/>
        </w:rPr>
        <w:t>S’agissant des paragraphes 3.20 et 3.21, l’experte de l’Allemagne a déclaré qu’à la lumière de la version publiée de la</w:t>
      </w:r>
      <w:r w:rsidR="00DF4E33">
        <w:rPr>
          <w:lang w:val="fr-CH"/>
        </w:rPr>
        <w:t xml:space="preserve"> dix-neuvième </w:t>
      </w:r>
      <w:r w:rsidRPr="00ED1DE0">
        <w:rPr>
          <w:lang w:val="fr-CH"/>
        </w:rPr>
        <w:t>édition révisée des Recommandations il convenait d’ignorer les préoccupations exprimées car les instructions contenues dans le document ST/SG/AC.10/42/Add.1 n’avaient pas été bien comprises par le Groupe de rédaction et des questions techniques.</w:t>
      </w:r>
    </w:p>
    <w:p w:rsidR="000210DD" w:rsidRPr="000210DD" w:rsidRDefault="000210DD" w:rsidP="000210DD">
      <w:pPr>
        <w:pStyle w:val="SingleTxt"/>
        <w:spacing w:after="0" w:line="120" w:lineRule="exact"/>
        <w:rPr>
          <w:sz w:val="10"/>
          <w:lang w:val="fr-CH"/>
        </w:rPr>
      </w:pPr>
    </w:p>
    <w:p w:rsidR="000210DD" w:rsidRPr="000210DD" w:rsidRDefault="000210DD" w:rsidP="000210DD">
      <w:pPr>
        <w:pStyle w:val="SingleTxt"/>
        <w:spacing w:after="0" w:line="120" w:lineRule="exact"/>
        <w:rPr>
          <w:sz w:val="10"/>
          <w:lang w:val="fr-CH"/>
        </w:rPr>
      </w:pPr>
    </w:p>
    <w:p w:rsidR="00ED1DE0" w:rsidRDefault="00ED1DE0" w:rsidP="000210D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IX.</w:t>
      </w:r>
      <w:r w:rsidRPr="00ED1DE0">
        <w:rPr>
          <w:lang w:val="fr-CH"/>
        </w:rPr>
        <w:tab/>
        <w:t>Coopération avec l’Agence internationale de l’énergie atomique (AIEA) (point 8 de l’ordre du jour)</w:t>
      </w:r>
    </w:p>
    <w:p w:rsidR="000210DD" w:rsidRPr="000210DD" w:rsidRDefault="000210DD" w:rsidP="000210DD">
      <w:pPr>
        <w:pStyle w:val="SingleTxt"/>
        <w:spacing w:after="0" w:line="120" w:lineRule="exact"/>
        <w:rPr>
          <w:sz w:val="10"/>
          <w:lang w:val="fr-CH"/>
        </w:rPr>
      </w:pPr>
    </w:p>
    <w:p w:rsidR="000210DD" w:rsidRPr="000210DD" w:rsidRDefault="000210DD" w:rsidP="000210DD">
      <w:pPr>
        <w:pStyle w:val="SingleTxt"/>
        <w:spacing w:after="0" w:line="120" w:lineRule="exact"/>
        <w:rPr>
          <w:sz w:val="10"/>
          <w:lang w:val="fr-CH"/>
        </w:rPr>
      </w:pPr>
    </w:p>
    <w:p w:rsidR="00ED1DE0" w:rsidRDefault="000210DD" w:rsidP="000210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D1DE0" w:rsidRPr="00ED1DE0">
        <w:rPr>
          <w:lang w:val="fr-CH"/>
        </w:rPr>
        <w:t xml:space="preserve">Conclusions de la trentième session du Comité des normes </w:t>
      </w:r>
      <w:r>
        <w:rPr>
          <w:lang w:val="fr-CH"/>
        </w:rPr>
        <w:br/>
      </w:r>
      <w:r w:rsidR="00ED1DE0" w:rsidRPr="00ED1DE0">
        <w:rPr>
          <w:lang w:val="fr-CH"/>
        </w:rPr>
        <w:t>de sûreté du transport de l’AIEA (TRANSSC</w:t>
      </w:r>
      <w:r>
        <w:rPr>
          <w:lang w:val="fr-CH"/>
        </w:rPr>
        <w:t> </w:t>
      </w:r>
      <w:r w:rsidR="00ED1DE0" w:rsidRPr="00ED1DE0">
        <w:rPr>
          <w:lang w:val="fr-CH"/>
        </w:rPr>
        <w:t>30)</w:t>
      </w:r>
    </w:p>
    <w:p w:rsidR="000210DD" w:rsidRPr="000210DD" w:rsidRDefault="000210DD" w:rsidP="000210DD">
      <w:pPr>
        <w:pStyle w:val="SingleTxt"/>
        <w:spacing w:after="0" w:line="120" w:lineRule="exact"/>
        <w:rPr>
          <w:sz w:val="10"/>
          <w:lang w:val="fr-CH"/>
        </w:rPr>
      </w:pPr>
    </w:p>
    <w:p w:rsidR="000210DD" w:rsidRPr="000210DD" w:rsidRDefault="000210DD" w:rsidP="000210DD">
      <w:pPr>
        <w:pStyle w:val="SingleTxt"/>
        <w:spacing w:after="0" w:line="120" w:lineRule="exact"/>
        <w:rPr>
          <w:sz w:val="10"/>
          <w:lang w:val="fr-CH"/>
        </w:rPr>
      </w:pPr>
    </w:p>
    <w:p w:rsidR="00ED1DE0" w:rsidRPr="00ED1DE0" w:rsidRDefault="00ED1DE0" w:rsidP="000210DD">
      <w:pPr>
        <w:pStyle w:val="SingleTxt"/>
        <w:rPr>
          <w:lang w:val="fr-CH"/>
        </w:rPr>
      </w:pPr>
      <w:r w:rsidRPr="00ED1DE0">
        <w:rPr>
          <w:i/>
          <w:lang w:val="fr-CH"/>
        </w:rPr>
        <w:t>Document informel</w:t>
      </w:r>
      <w:r w:rsidR="000210DD">
        <w:rPr>
          <w:i/>
          <w:lang w:val="fr-CH"/>
        </w:rPr>
        <w:t> </w:t>
      </w:r>
      <w:r w:rsidR="000210DD">
        <w:rPr>
          <w:lang w:val="fr-CH"/>
        </w:rPr>
        <w:t>:</w:t>
      </w:r>
      <w:r w:rsidR="000210DD">
        <w:rPr>
          <w:lang w:val="fr-CH"/>
        </w:rPr>
        <w:tab/>
      </w:r>
      <w:r w:rsidR="000210DD">
        <w:rPr>
          <w:lang w:val="fr-CH"/>
        </w:rPr>
        <w:tab/>
      </w:r>
      <w:r w:rsidRPr="00ED1DE0">
        <w:rPr>
          <w:lang w:val="fr-CH"/>
        </w:rPr>
        <w:t>INF.48 (AIEA)</w:t>
      </w:r>
      <w:r w:rsidR="000210DD">
        <w:rPr>
          <w:lang w:val="fr-CH"/>
        </w:rPr>
        <w:t>.</w:t>
      </w:r>
    </w:p>
    <w:p w:rsidR="00ED1DE0" w:rsidRDefault="00ED1DE0" w:rsidP="00633201">
      <w:pPr>
        <w:pStyle w:val="SingleTxt"/>
        <w:numPr>
          <w:ilvl w:val="0"/>
          <w:numId w:val="8"/>
        </w:numPr>
        <w:ind w:left="1267" w:firstLine="0"/>
        <w:rPr>
          <w:lang w:val="fr-CH"/>
        </w:rPr>
      </w:pPr>
      <w:r w:rsidRPr="00ED1DE0">
        <w:rPr>
          <w:lang w:val="fr-CH"/>
        </w:rPr>
        <w:t>Le Sous-Comité a pris note des informations fournies sur les conclusions de la trentième session du Comité des normes de sûreté du transport de l’AIEA.</w:t>
      </w:r>
    </w:p>
    <w:p w:rsidR="000210DD" w:rsidRPr="000210DD" w:rsidRDefault="000210DD" w:rsidP="000210DD">
      <w:pPr>
        <w:pStyle w:val="SingleTxt"/>
        <w:spacing w:after="0" w:line="120" w:lineRule="exact"/>
        <w:rPr>
          <w:sz w:val="10"/>
          <w:lang w:val="fr-CH"/>
        </w:rPr>
      </w:pPr>
    </w:p>
    <w:p w:rsidR="000210DD" w:rsidRPr="000210DD" w:rsidRDefault="000210DD" w:rsidP="000210DD">
      <w:pPr>
        <w:pStyle w:val="SingleTxt"/>
        <w:spacing w:after="0" w:line="120" w:lineRule="exact"/>
        <w:rPr>
          <w:sz w:val="10"/>
          <w:lang w:val="fr-CH"/>
        </w:rPr>
      </w:pPr>
    </w:p>
    <w:p w:rsidR="00ED1DE0" w:rsidRDefault="00ED1DE0" w:rsidP="000142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X.</w:t>
      </w:r>
      <w:r w:rsidRPr="00ED1DE0">
        <w:rPr>
          <w:lang w:val="fr-CH"/>
        </w:rPr>
        <w:tab/>
        <w:t xml:space="preserve">Principes directeurs du Règlement type </w:t>
      </w:r>
      <w:r w:rsidR="000210DD">
        <w:rPr>
          <w:lang w:val="fr-CH"/>
        </w:rPr>
        <w:br/>
      </w:r>
      <w:r w:rsidRPr="00ED1DE0">
        <w:rPr>
          <w:lang w:val="fr-CH"/>
        </w:rPr>
        <w:t>(point 9 de l’ordre du jour)</w:t>
      </w:r>
    </w:p>
    <w:p w:rsidR="000210DD" w:rsidRPr="000210DD" w:rsidRDefault="000210DD" w:rsidP="0001428B">
      <w:pPr>
        <w:pStyle w:val="SingleTxt"/>
        <w:keepNext/>
        <w:keepLines/>
        <w:spacing w:after="0" w:line="120" w:lineRule="exact"/>
        <w:rPr>
          <w:sz w:val="10"/>
          <w:lang w:val="fr-CH"/>
        </w:rPr>
      </w:pPr>
    </w:p>
    <w:p w:rsidR="000210DD" w:rsidRPr="000210DD" w:rsidRDefault="000210DD" w:rsidP="0001428B">
      <w:pPr>
        <w:pStyle w:val="SingleTxt"/>
        <w:keepNext/>
        <w:keepLines/>
        <w:spacing w:after="0" w:line="120" w:lineRule="exact"/>
        <w:rPr>
          <w:sz w:val="10"/>
          <w:lang w:val="fr-CH"/>
        </w:rPr>
      </w:pPr>
    </w:p>
    <w:p w:rsidR="00ED1DE0" w:rsidRDefault="00ED1DE0" w:rsidP="000142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r>
      <w:r w:rsidRPr="00ED1DE0">
        <w:rPr>
          <w:lang w:val="fr-CH"/>
        </w:rPr>
        <w:tab/>
        <w:t xml:space="preserve">Mise </w:t>
      </w:r>
      <w:r w:rsidR="000210DD">
        <w:rPr>
          <w:lang w:val="fr-CH"/>
        </w:rPr>
        <w:t xml:space="preserve">à jour des </w:t>
      </w:r>
      <w:r w:rsidR="005F69EC">
        <w:rPr>
          <w:lang w:val="fr-CH"/>
        </w:rPr>
        <w:t>P</w:t>
      </w:r>
      <w:r w:rsidR="000210DD">
        <w:rPr>
          <w:lang w:val="fr-CH"/>
        </w:rPr>
        <w:t>rincipes directeurs</w:t>
      </w:r>
    </w:p>
    <w:p w:rsidR="000210DD" w:rsidRPr="000210DD" w:rsidRDefault="000210DD" w:rsidP="0001428B">
      <w:pPr>
        <w:pStyle w:val="SingleTxt"/>
        <w:keepNext/>
        <w:keepLines/>
        <w:spacing w:after="0" w:line="120" w:lineRule="exact"/>
        <w:rPr>
          <w:sz w:val="10"/>
          <w:lang w:val="fr-CH"/>
        </w:rPr>
      </w:pPr>
    </w:p>
    <w:p w:rsidR="000210DD" w:rsidRPr="000210DD" w:rsidRDefault="000210DD" w:rsidP="0001428B">
      <w:pPr>
        <w:pStyle w:val="SingleTxt"/>
        <w:keepNext/>
        <w:keepLines/>
        <w:spacing w:after="0" w:line="120" w:lineRule="exact"/>
        <w:rPr>
          <w:sz w:val="10"/>
          <w:lang w:val="fr-CH"/>
        </w:rPr>
      </w:pPr>
    </w:p>
    <w:p w:rsidR="00ED1DE0" w:rsidRPr="00ED1DE0" w:rsidRDefault="00ED1DE0" w:rsidP="0001428B">
      <w:pPr>
        <w:pStyle w:val="SingleTxt"/>
        <w:keepNext/>
        <w:keepLines/>
        <w:rPr>
          <w:lang w:val="en-GB"/>
        </w:rPr>
      </w:pPr>
      <w:r w:rsidRPr="00ED1DE0">
        <w:rPr>
          <w:i/>
          <w:lang w:val="en-GB"/>
        </w:rPr>
        <w:t>Document informel</w:t>
      </w:r>
      <w:r w:rsidR="000210DD">
        <w:rPr>
          <w:i/>
          <w:lang w:val="en-GB"/>
        </w:rPr>
        <w:t> </w:t>
      </w:r>
      <w:r w:rsidR="000210DD">
        <w:rPr>
          <w:lang w:val="en-GB"/>
        </w:rPr>
        <w:t>:</w:t>
      </w:r>
      <w:r w:rsidR="000210DD">
        <w:rPr>
          <w:lang w:val="en-GB"/>
        </w:rPr>
        <w:tab/>
      </w:r>
      <w:r w:rsidR="000210DD">
        <w:rPr>
          <w:lang w:val="en-GB"/>
        </w:rPr>
        <w:tab/>
      </w:r>
      <w:r w:rsidRPr="00ED1DE0">
        <w:rPr>
          <w:lang w:val="en-GB"/>
        </w:rPr>
        <w:t>INF.43 (</w:t>
      </w:r>
      <w:r w:rsidR="005F69EC">
        <w:rPr>
          <w:lang w:val="en-GB"/>
        </w:rPr>
        <w:t>s</w:t>
      </w:r>
      <w:r w:rsidRPr="00ED1DE0">
        <w:rPr>
          <w:lang w:val="en-GB"/>
        </w:rPr>
        <w:t>ecrétariat)</w:t>
      </w:r>
      <w:r w:rsidR="000210DD">
        <w:rPr>
          <w:lang w:val="en-GB"/>
        </w:rPr>
        <w:t>.</w:t>
      </w:r>
    </w:p>
    <w:p w:rsidR="00ED1DE0" w:rsidRDefault="00ED1DE0" w:rsidP="00633201">
      <w:pPr>
        <w:pStyle w:val="SingleTxt"/>
        <w:numPr>
          <w:ilvl w:val="0"/>
          <w:numId w:val="8"/>
        </w:numPr>
        <w:ind w:left="1267" w:firstLine="0"/>
        <w:rPr>
          <w:lang w:val="fr-CH"/>
        </w:rPr>
      </w:pPr>
      <w:r w:rsidRPr="00ED1DE0">
        <w:rPr>
          <w:lang w:val="fr-CH"/>
        </w:rPr>
        <w:t>Le secrétariat a expliqué qu’il fallait actualiser les Principes directeurs consultables sur le site Web de la CEE pour qu’ils tiennent compte de la dix-neuvième édition révisée des Recommandations de l’ONU. Le document INF.43 contenait des projets d’amendements à cet effet et les membres du Sous-Comité étaient invités à les examiner et à communiquer leurs éventuelles obser</w:t>
      </w:r>
      <w:r w:rsidR="005F69EC">
        <w:rPr>
          <w:lang w:val="fr-CH"/>
        </w:rPr>
        <w:t>vations au secrétariat avant le </w:t>
      </w:r>
      <w:r w:rsidRPr="00ED1DE0">
        <w:rPr>
          <w:lang w:val="fr-CH"/>
        </w:rPr>
        <w:t>3</w:t>
      </w:r>
      <w:r w:rsidR="000210DD">
        <w:rPr>
          <w:lang w:val="fr-CH"/>
        </w:rPr>
        <w:t> </w:t>
      </w:r>
      <w:r w:rsidRPr="00ED1DE0">
        <w:rPr>
          <w:lang w:val="fr-CH"/>
        </w:rPr>
        <w:t xml:space="preserve">juillet 2015. Passé ce délai, la version actualisée des Principes directeurs </w:t>
      </w:r>
      <w:r w:rsidR="000210DD">
        <w:rPr>
          <w:lang w:val="fr-CH"/>
        </w:rPr>
        <w:t>serait publiée sur le site Web.</w:t>
      </w:r>
    </w:p>
    <w:p w:rsidR="000210DD" w:rsidRPr="000210DD" w:rsidRDefault="000210DD" w:rsidP="000210DD">
      <w:pPr>
        <w:pStyle w:val="SingleTxt"/>
        <w:spacing w:after="0" w:line="120" w:lineRule="exact"/>
        <w:rPr>
          <w:sz w:val="10"/>
          <w:lang w:val="fr-CH"/>
        </w:rPr>
      </w:pPr>
    </w:p>
    <w:p w:rsidR="000210DD" w:rsidRPr="000210DD" w:rsidRDefault="000210DD" w:rsidP="000210DD">
      <w:pPr>
        <w:pStyle w:val="SingleTxt"/>
        <w:spacing w:after="0" w:line="120" w:lineRule="exact"/>
        <w:rPr>
          <w:sz w:val="10"/>
          <w:lang w:val="fr-CH"/>
        </w:rPr>
      </w:pPr>
    </w:p>
    <w:p w:rsidR="00ED1DE0" w:rsidRDefault="00ED1DE0" w:rsidP="000210D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XI.</w:t>
      </w:r>
      <w:r w:rsidRPr="00ED1DE0">
        <w:rPr>
          <w:lang w:val="fr-CH"/>
        </w:rPr>
        <w:tab/>
        <w:t xml:space="preserve">Questions relatives au Système général harmonisé </w:t>
      </w:r>
      <w:r w:rsidR="000210DD">
        <w:rPr>
          <w:lang w:val="fr-CH"/>
        </w:rPr>
        <w:br/>
      </w:r>
      <w:r w:rsidRPr="00ED1DE0">
        <w:rPr>
          <w:lang w:val="fr-CH"/>
        </w:rPr>
        <w:t xml:space="preserve">de classification et d’étiquetage des produits chimiques </w:t>
      </w:r>
      <w:r w:rsidR="000210DD">
        <w:rPr>
          <w:lang w:val="fr-CH"/>
        </w:rPr>
        <w:br/>
      </w:r>
      <w:r w:rsidRPr="00ED1DE0">
        <w:rPr>
          <w:lang w:val="fr-CH"/>
        </w:rPr>
        <w:t>(point 10 de l’ordre du jour)</w:t>
      </w:r>
    </w:p>
    <w:p w:rsidR="000210DD" w:rsidRPr="000210DD" w:rsidRDefault="000210DD" w:rsidP="000210DD">
      <w:pPr>
        <w:pStyle w:val="SingleTxt"/>
        <w:spacing w:after="0" w:line="120" w:lineRule="exact"/>
        <w:rPr>
          <w:sz w:val="10"/>
          <w:lang w:val="fr-CH"/>
        </w:rPr>
      </w:pPr>
    </w:p>
    <w:p w:rsidR="000210DD" w:rsidRPr="000210DD" w:rsidRDefault="000210DD" w:rsidP="000210DD">
      <w:pPr>
        <w:pStyle w:val="SingleTxt"/>
        <w:spacing w:after="0" w:line="120" w:lineRule="exact"/>
        <w:rPr>
          <w:sz w:val="10"/>
          <w:lang w:val="fr-CH"/>
        </w:rPr>
      </w:pPr>
    </w:p>
    <w:p w:rsidR="00ED1DE0" w:rsidRDefault="00ED1DE0" w:rsidP="000210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A.</w:t>
      </w:r>
      <w:r w:rsidRPr="00ED1DE0">
        <w:rPr>
          <w:lang w:val="fr-CH"/>
        </w:rPr>
        <w:tab/>
        <w:t>Critèr</w:t>
      </w:r>
      <w:r w:rsidR="000210DD">
        <w:rPr>
          <w:lang w:val="fr-CH"/>
        </w:rPr>
        <w:t>es relatifs à l’hydroréactivité</w:t>
      </w:r>
    </w:p>
    <w:p w:rsidR="000210DD" w:rsidRPr="000210DD" w:rsidRDefault="000210DD" w:rsidP="000210DD">
      <w:pPr>
        <w:pStyle w:val="SingleTxt"/>
        <w:spacing w:after="0" w:line="120" w:lineRule="exact"/>
        <w:rPr>
          <w:sz w:val="10"/>
          <w:lang w:val="fr-CH"/>
        </w:rPr>
      </w:pPr>
    </w:p>
    <w:p w:rsidR="000210DD" w:rsidRPr="000210DD" w:rsidRDefault="000210DD" w:rsidP="000210DD">
      <w:pPr>
        <w:pStyle w:val="SingleTxt"/>
        <w:spacing w:after="0" w:line="120" w:lineRule="exact"/>
        <w:rPr>
          <w:sz w:val="10"/>
          <w:lang w:val="fr-CH"/>
        </w:rPr>
      </w:pPr>
    </w:p>
    <w:p w:rsidR="00ED1DE0" w:rsidRDefault="00ED1DE0" w:rsidP="00633201">
      <w:pPr>
        <w:pStyle w:val="SingleTxt"/>
        <w:numPr>
          <w:ilvl w:val="0"/>
          <w:numId w:val="8"/>
        </w:numPr>
        <w:ind w:left="1267" w:firstLine="0"/>
        <w:rPr>
          <w:lang w:val="fr-CH"/>
        </w:rPr>
      </w:pPr>
      <w:r w:rsidRPr="00ED1DE0">
        <w:rPr>
          <w:lang w:val="fr-CH"/>
        </w:rPr>
        <w:t>Aucun document n’ayant été soumis au titre de ce point de l’ordre du jour, il n’a pas été examiné.</w:t>
      </w:r>
    </w:p>
    <w:p w:rsidR="000210DD" w:rsidRPr="000210DD" w:rsidRDefault="000210DD" w:rsidP="000210DD">
      <w:pPr>
        <w:pStyle w:val="SingleTxt"/>
        <w:spacing w:after="0" w:line="120" w:lineRule="exact"/>
        <w:rPr>
          <w:sz w:val="10"/>
          <w:lang w:val="fr-CH"/>
        </w:rPr>
      </w:pPr>
    </w:p>
    <w:p w:rsidR="000210DD" w:rsidRPr="000210DD" w:rsidRDefault="000210DD" w:rsidP="000210DD">
      <w:pPr>
        <w:pStyle w:val="SingleTxt"/>
        <w:spacing w:after="0" w:line="120" w:lineRule="exact"/>
        <w:rPr>
          <w:sz w:val="10"/>
          <w:lang w:val="fr-CH"/>
        </w:rPr>
      </w:pPr>
    </w:p>
    <w:p w:rsidR="00ED1DE0" w:rsidRDefault="00ED1DE0" w:rsidP="000210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B.</w:t>
      </w:r>
      <w:r w:rsidRPr="00ED1DE0">
        <w:rPr>
          <w:lang w:val="fr-CH"/>
        </w:rPr>
        <w:tab/>
        <w:t xml:space="preserve">Épreuves et critères relatifs aux matières liquides </w:t>
      </w:r>
      <w:r w:rsidR="000210DD">
        <w:rPr>
          <w:lang w:val="fr-CH"/>
        </w:rPr>
        <w:br/>
      </w:r>
      <w:r w:rsidRPr="00ED1DE0">
        <w:rPr>
          <w:lang w:val="fr-CH"/>
        </w:rPr>
        <w:t>et solides comburantes</w:t>
      </w:r>
    </w:p>
    <w:p w:rsidR="000210DD" w:rsidRPr="000210DD" w:rsidRDefault="000210DD" w:rsidP="000210DD">
      <w:pPr>
        <w:pStyle w:val="SingleTxt"/>
        <w:spacing w:after="0" w:line="120" w:lineRule="exact"/>
        <w:rPr>
          <w:sz w:val="10"/>
          <w:lang w:val="fr-CH"/>
        </w:rPr>
      </w:pPr>
    </w:p>
    <w:p w:rsidR="000210DD" w:rsidRPr="000210DD" w:rsidRDefault="000210DD" w:rsidP="000210DD">
      <w:pPr>
        <w:pStyle w:val="SingleTxt"/>
        <w:spacing w:after="0" w:line="120" w:lineRule="exact"/>
        <w:rPr>
          <w:sz w:val="10"/>
          <w:lang w:val="fr-CH"/>
        </w:rPr>
      </w:pPr>
    </w:p>
    <w:p w:rsidR="00ED1DE0" w:rsidRPr="00ED1DE0" w:rsidRDefault="00ED1DE0" w:rsidP="000210DD">
      <w:pPr>
        <w:pStyle w:val="SingleTxt"/>
        <w:rPr>
          <w:lang w:val="fr-CH"/>
        </w:rPr>
      </w:pPr>
      <w:r w:rsidRPr="00ED1DE0">
        <w:rPr>
          <w:i/>
          <w:lang w:val="fr-CH"/>
        </w:rPr>
        <w:t>Document</w:t>
      </w:r>
      <w:r w:rsidR="000210DD">
        <w:rPr>
          <w:i/>
          <w:lang w:val="fr-CH"/>
        </w:rPr>
        <w:t> </w:t>
      </w:r>
      <w:r w:rsidRPr="00680974">
        <w:rPr>
          <w:lang w:val="fr-CH"/>
        </w:rPr>
        <w:t>:</w:t>
      </w:r>
      <w:r w:rsidRPr="00ED1DE0">
        <w:rPr>
          <w:lang w:val="fr-CH"/>
        </w:rPr>
        <w:tab/>
      </w:r>
      <w:r w:rsidRPr="00ED1DE0">
        <w:rPr>
          <w:lang w:val="fr-CH"/>
        </w:rPr>
        <w:tab/>
      </w:r>
      <w:r w:rsidRPr="00ED1DE0">
        <w:rPr>
          <w:lang w:val="fr-CH"/>
        </w:rPr>
        <w:tab/>
        <w:t>ST/SG/AC.10/C.3/2015/6 (France)</w:t>
      </w:r>
      <w:r w:rsidR="000210DD">
        <w:rPr>
          <w:lang w:val="fr-CH"/>
        </w:rPr>
        <w:t>.</w:t>
      </w:r>
    </w:p>
    <w:p w:rsidR="00ED1DE0" w:rsidRPr="00ED1DE0" w:rsidRDefault="00ED1DE0" w:rsidP="00ED1DE0">
      <w:pPr>
        <w:pStyle w:val="SingleTxt"/>
        <w:rPr>
          <w:lang w:val="fr-CH"/>
        </w:rPr>
      </w:pPr>
      <w:r w:rsidRPr="00ED1DE0">
        <w:rPr>
          <w:i/>
          <w:lang w:val="fr-CH"/>
        </w:rPr>
        <w:t>Document informel</w:t>
      </w:r>
      <w:r w:rsidR="00680974">
        <w:rPr>
          <w:i/>
          <w:lang w:val="fr-CH"/>
        </w:rPr>
        <w:t> </w:t>
      </w:r>
      <w:r w:rsidRPr="00680974">
        <w:rPr>
          <w:lang w:val="fr-CH"/>
        </w:rPr>
        <w:t>:</w:t>
      </w:r>
      <w:r w:rsidR="000210DD">
        <w:rPr>
          <w:lang w:val="fr-CH"/>
        </w:rPr>
        <w:tab/>
      </w:r>
      <w:r w:rsidR="000210DD">
        <w:rPr>
          <w:lang w:val="fr-CH"/>
        </w:rPr>
        <w:tab/>
      </w:r>
      <w:r w:rsidRPr="00ED1DE0">
        <w:rPr>
          <w:lang w:val="fr-CH"/>
        </w:rPr>
        <w:t>INF.39 (France)</w:t>
      </w:r>
      <w:r w:rsidR="000210DD">
        <w:rPr>
          <w:lang w:val="fr-CH"/>
        </w:rPr>
        <w:t>.</w:t>
      </w:r>
    </w:p>
    <w:p w:rsidR="00ED1DE0" w:rsidRDefault="00ED1DE0" w:rsidP="00633201">
      <w:pPr>
        <w:pStyle w:val="SingleTxt"/>
        <w:numPr>
          <w:ilvl w:val="0"/>
          <w:numId w:val="8"/>
        </w:numPr>
        <w:ind w:left="1267" w:firstLine="0"/>
        <w:rPr>
          <w:lang w:val="fr-CH"/>
        </w:rPr>
      </w:pPr>
      <w:r w:rsidRPr="00ED1DE0">
        <w:rPr>
          <w:lang w:val="fr-CH"/>
        </w:rPr>
        <w:t>Le Sous-Comité a pris note du rapport sur l’état d’avancement du Programme interlaboratoires pour les ép</w:t>
      </w:r>
      <w:r w:rsidR="000210DD">
        <w:rPr>
          <w:lang w:val="fr-CH"/>
        </w:rPr>
        <w:t>reuves O.2 et les épreuves O.3.</w:t>
      </w:r>
    </w:p>
    <w:p w:rsidR="000210DD" w:rsidRPr="000210DD" w:rsidRDefault="000210DD" w:rsidP="000210DD">
      <w:pPr>
        <w:pStyle w:val="SingleTxt"/>
        <w:spacing w:after="0" w:line="120" w:lineRule="exact"/>
        <w:rPr>
          <w:sz w:val="10"/>
          <w:lang w:val="fr-CH"/>
        </w:rPr>
      </w:pPr>
    </w:p>
    <w:p w:rsidR="000210DD" w:rsidRPr="000210DD" w:rsidRDefault="000210DD" w:rsidP="000210DD">
      <w:pPr>
        <w:pStyle w:val="SingleTxt"/>
        <w:spacing w:after="0" w:line="120" w:lineRule="exact"/>
        <w:rPr>
          <w:sz w:val="10"/>
          <w:lang w:val="fr-CH"/>
        </w:rPr>
      </w:pPr>
    </w:p>
    <w:p w:rsidR="00ED1DE0" w:rsidRDefault="00ED1DE0" w:rsidP="000210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C.</w:t>
      </w:r>
      <w:r w:rsidRPr="00ED1DE0">
        <w:rPr>
          <w:lang w:val="fr-CH"/>
        </w:rPr>
        <w:tab/>
        <w:t>Critères de classificatio</w:t>
      </w:r>
      <w:r w:rsidR="000210DD">
        <w:rPr>
          <w:lang w:val="fr-CH"/>
        </w:rPr>
        <w:t>n relatifs aux gaz inflammables</w:t>
      </w:r>
    </w:p>
    <w:p w:rsidR="000210DD" w:rsidRPr="000210DD" w:rsidRDefault="000210DD" w:rsidP="000210DD">
      <w:pPr>
        <w:pStyle w:val="SingleTxt"/>
        <w:spacing w:after="0" w:line="120" w:lineRule="exact"/>
        <w:rPr>
          <w:sz w:val="10"/>
          <w:lang w:val="fr-CH"/>
        </w:rPr>
      </w:pPr>
    </w:p>
    <w:p w:rsidR="000210DD" w:rsidRPr="000210DD" w:rsidRDefault="000210DD" w:rsidP="000210DD">
      <w:pPr>
        <w:pStyle w:val="SingleTxt"/>
        <w:spacing w:after="0" w:line="120" w:lineRule="exact"/>
        <w:rPr>
          <w:sz w:val="10"/>
          <w:lang w:val="fr-CH"/>
        </w:rPr>
      </w:pPr>
    </w:p>
    <w:p w:rsidR="00ED1DE0" w:rsidRPr="00ED1DE0" w:rsidRDefault="00ED1DE0" w:rsidP="000210DD">
      <w:pPr>
        <w:pStyle w:val="SingleTxt"/>
        <w:jc w:val="left"/>
        <w:rPr>
          <w:lang w:val="fr-CH"/>
        </w:rPr>
      </w:pPr>
      <w:r w:rsidRPr="00ED1DE0">
        <w:rPr>
          <w:i/>
          <w:lang w:val="fr-CH"/>
        </w:rPr>
        <w:t>Documents informels</w:t>
      </w:r>
      <w:r w:rsidR="000210DD" w:rsidRPr="008358BC">
        <w:rPr>
          <w:lang w:val="fr-CH"/>
        </w:rPr>
        <w:t> </w:t>
      </w:r>
      <w:r w:rsidRPr="008358BC">
        <w:rPr>
          <w:lang w:val="fr-CH"/>
        </w:rPr>
        <w:t>:</w:t>
      </w:r>
      <w:r w:rsidR="000210DD">
        <w:rPr>
          <w:lang w:val="fr-CH"/>
        </w:rPr>
        <w:tab/>
      </w:r>
      <w:r w:rsidRPr="00ED1DE0">
        <w:rPr>
          <w:lang w:val="fr-CH"/>
        </w:rPr>
        <w:t>INF.5 (Belgique et Japon)</w:t>
      </w:r>
      <w:r w:rsidR="000210DD">
        <w:rPr>
          <w:lang w:val="fr-CH"/>
        </w:rPr>
        <w:t xml:space="preserve">, </w:t>
      </w:r>
      <w:r w:rsidR="000210DD">
        <w:rPr>
          <w:lang w:val="fr-CH"/>
        </w:rPr>
        <w:br/>
      </w:r>
      <w:r w:rsidR="000210DD">
        <w:rPr>
          <w:lang w:val="fr-CH"/>
        </w:rPr>
        <w:tab/>
      </w:r>
      <w:r w:rsidR="000210DD">
        <w:rPr>
          <w:lang w:val="fr-CH"/>
        </w:rPr>
        <w:tab/>
      </w:r>
      <w:r w:rsidR="000210DD">
        <w:rPr>
          <w:lang w:val="fr-CH"/>
        </w:rPr>
        <w:tab/>
      </w:r>
      <w:r w:rsidR="000210DD">
        <w:rPr>
          <w:lang w:val="fr-CH"/>
        </w:rPr>
        <w:tab/>
      </w:r>
      <w:r w:rsidR="000210DD">
        <w:rPr>
          <w:lang w:val="fr-CH"/>
        </w:rPr>
        <w:tab/>
      </w:r>
      <w:r w:rsidRPr="00ED1DE0">
        <w:rPr>
          <w:lang w:val="fr-CH"/>
        </w:rPr>
        <w:t>INF.58 (États-Unis d’Amérique)</w:t>
      </w:r>
      <w:r w:rsidR="000210DD">
        <w:rPr>
          <w:lang w:val="fr-CH"/>
        </w:rPr>
        <w:t>.</w:t>
      </w:r>
    </w:p>
    <w:p w:rsidR="00ED1DE0" w:rsidRPr="00ED1DE0" w:rsidRDefault="00ED1DE0" w:rsidP="00633201">
      <w:pPr>
        <w:pStyle w:val="SingleTxt"/>
        <w:numPr>
          <w:ilvl w:val="0"/>
          <w:numId w:val="8"/>
        </w:numPr>
        <w:ind w:left="1267" w:firstLine="0"/>
        <w:rPr>
          <w:lang w:val="fr-CH"/>
        </w:rPr>
      </w:pPr>
      <w:r w:rsidRPr="00ED1DE0">
        <w:rPr>
          <w:lang w:val="fr-CH"/>
        </w:rPr>
        <w:t>Le Sous-Comité a pris note des progrès réalisés par le groupe de travail informel conjoint TMD-SGH des critères de classification relatifs aux gaz inflammables et il a noté qu’une nouvelle session de ce groupe était prévue du 8 au 10</w:t>
      </w:r>
      <w:r w:rsidR="00C91147">
        <w:rPr>
          <w:lang w:val="fr-CH"/>
        </w:rPr>
        <w:t> </w:t>
      </w:r>
      <w:r w:rsidRPr="00ED1DE0">
        <w:rPr>
          <w:lang w:val="fr-CH"/>
        </w:rPr>
        <w:t xml:space="preserve">septembre 2015 </w:t>
      </w:r>
      <w:r w:rsidR="003A7D36">
        <w:rPr>
          <w:lang w:val="fr-CH"/>
        </w:rPr>
        <w:t>à</w:t>
      </w:r>
      <w:r w:rsidRPr="00ED1DE0">
        <w:rPr>
          <w:lang w:val="fr-CH"/>
        </w:rPr>
        <w:t xml:space="preserve"> Bruxelles.</w:t>
      </w:r>
    </w:p>
    <w:p w:rsidR="00ED1DE0" w:rsidRDefault="00942151" w:rsidP="00633201">
      <w:pPr>
        <w:pStyle w:val="SingleTxt"/>
        <w:numPr>
          <w:ilvl w:val="0"/>
          <w:numId w:val="8"/>
        </w:numPr>
        <w:ind w:left="1267" w:firstLine="0"/>
        <w:rPr>
          <w:lang w:val="fr-CH"/>
        </w:rPr>
      </w:pPr>
      <w:r>
        <w:rPr>
          <w:lang w:val="fr-CH"/>
        </w:rPr>
        <w:t xml:space="preserve">Le </w:t>
      </w:r>
      <w:r w:rsidR="00ED1DE0" w:rsidRPr="00ED1DE0">
        <w:rPr>
          <w:lang w:val="fr-CH"/>
        </w:rPr>
        <w:t>Sous-Comité a estimé que les questions mentionnées dans le document informel</w:t>
      </w:r>
      <w:r w:rsidR="00C91147">
        <w:rPr>
          <w:lang w:val="fr-CH"/>
        </w:rPr>
        <w:t> </w:t>
      </w:r>
      <w:r w:rsidR="00ED1DE0" w:rsidRPr="00ED1DE0">
        <w:rPr>
          <w:lang w:val="fr-CH"/>
        </w:rPr>
        <w:t>INF.58 pourraient également être traitées par le groupe de travail informel sous réserve de l’assentiment du Sous-Comité SGH.</w:t>
      </w:r>
    </w:p>
    <w:p w:rsidR="00C91147" w:rsidRPr="00C91147" w:rsidRDefault="00C91147" w:rsidP="00C91147">
      <w:pPr>
        <w:pStyle w:val="SingleTxt"/>
        <w:spacing w:after="0" w:line="120" w:lineRule="exact"/>
        <w:rPr>
          <w:sz w:val="10"/>
          <w:lang w:val="fr-CH"/>
        </w:rPr>
      </w:pPr>
    </w:p>
    <w:p w:rsidR="00C91147" w:rsidRPr="00C91147" w:rsidRDefault="00C91147" w:rsidP="00C91147">
      <w:pPr>
        <w:pStyle w:val="SingleTxt"/>
        <w:spacing w:after="0" w:line="120" w:lineRule="exact"/>
        <w:rPr>
          <w:sz w:val="10"/>
          <w:lang w:val="fr-CH"/>
        </w:rPr>
      </w:pPr>
    </w:p>
    <w:p w:rsidR="00ED1DE0" w:rsidRDefault="00ED1DE0" w:rsidP="00C911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D.</w:t>
      </w:r>
      <w:r w:rsidRPr="00ED1DE0">
        <w:rPr>
          <w:lang w:val="fr-CH"/>
        </w:rPr>
        <w:tab/>
        <w:t>Jugement d’experts et force probante des données</w:t>
      </w:r>
    </w:p>
    <w:p w:rsidR="00C91147" w:rsidRPr="00C91147" w:rsidRDefault="00C91147" w:rsidP="00C91147">
      <w:pPr>
        <w:pStyle w:val="SingleTxt"/>
        <w:spacing w:after="0" w:line="120" w:lineRule="exact"/>
        <w:rPr>
          <w:sz w:val="10"/>
          <w:lang w:val="fr-CH"/>
        </w:rPr>
      </w:pPr>
    </w:p>
    <w:p w:rsidR="00C91147" w:rsidRPr="00C91147" w:rsidRDefault="00C91147" w:rsidP="00C91147">
      <w:pPr>
        <w:pStyle w:val="SingleTxt"/>
        <w:spacing w:after="0" w:line="120" w:lineRule="exact"/>
        <w:rPr>
          <w:sz w:val="10"/>
          <w:lang w:val="fr-CH"/>
        </w:rPr>
      </w:pPr>
    </w:p>
    <w:p w:rsidR="00ED1DE0" w:rsidRDefault="00ED1DE0" w:rsidP="00633201">
      <w:pPr>
        <w:pStyle w:val="SingleTxt"/>
        <w:numPr>
          <w:ilvl w:val="0"/>
          <w:numId w:val="8"/>
        </w:numPr>
        <w:ind w:left="1267" w:firstLine="0"/>
        <w:rPr>
          <w:lang w:val="fr-CH"/>
        </w:rPr>
      </w:pPr>
      <w:r w:rsidRPr="00ED1DE0">
        <w:rPr>
          <w:lang w:val="fr-CH"/>
        </w:rPr>
        <w:t>Aucun document n’ayant été soumis au titre de ce point de l’ordre du jour, il n’a pas été examiné.</w:t>
      </w:r>
    </w:p>
    <w:p w:rsidR="00C91147" w:rsidRPr="00C91147" w:rsidRDefault="00C91147" w:rsidP="00C91147">
      <w:pPr>
        <w:pStyle w:val="SingleTxt"/>
        <w:spacing w:after="0" w:line="120" w:lineRule="exact"/>
        <w:rPr>
          <w:sz w:val="10"/>
          <w:lang w:val="fr-CH"/>
        </w:rPr>
      </w:pPr>
    </w:p>
    <w:p w:rsidR="00C91147" w:rsidRPr="00C91147" w:rsidRDefault="00C91147" w:rsidP="00C91147">
      <w:pPr>
        <w:pStyle w:val="SingleTxt"/>
        <w:spacing w:after="0" w:line="120" w:lineRule="exact"/>
        <w:rPr>
          <w:sz w:val="10"/>
          <w:lang w:val="fr-CH"/>
        </w:rPr>
      </w:pPr>
    </w:p>
    <w:p w:rsidR="00ED1DE0" w:rsidRDefault="00ED1DE0" w:rsidP="00C911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E.</w:t>
      </w:r>
      <w:r w:rsidRPr="00ED1DE0">
        <w:rPr>
          <w:lang w:val="fr-CH"/>
        </w:rPr>
        <w:tab/>
        <w:t>Critères de corrosivité</w:t>
      </w:r>
    </w:p>
    <w:p w:rsidR="00C91147" w:rsidRPr="00C91147" w:rsidRDefault="00C91147" w:rsidP="00C91147">
      <w:pPr>
        <w:pStyle w:val="SingleTxt"/>
        <w:spacing w:after="0" w:line="120" w:lineRule="exact"/>
        <w:rPr>
          <w:sz w:val="10"/>
          <w:lang w:val="fr-CH"/>
        </w:rPr>
      </w:pPr>
    </w:p>
    <w:p w:rsidR="00C91147" w:rsidRPr="00C91147" w:rsidRDefault="00C91147" w:rsidP="00C91147">
      <w:pPr>
        <w:pStyle w:val="SingleTxt"/>
        <w:spacing w:after="0" w:line="120" w:lineRule="exact"/>
        <w:rPr>
          <w:sz w:val="10"/>
          <w:lang w:val="fr-CH"/>
        </w:rPr>
      </w:pPr>
    </w:p>
    <w:p w:rsidR="00ED1DE0" w:rsidRPr="00ED1DE0" w:rsidRDefault="00ED1DE0" w:rsidP="00ED1DE0">
      <w:pPr>
        <w:pStyle w:val="SingleTxt"/>
        <w:rPr>
          <w:lang w:val="fr-CH"/>
        </w:rPr>
      </w:pPr>
      <w:r w:rsidRPr="00ED1DE0">
        <w:rPr>
          <w:i/>
          <w:lang w:val="fr-CH"/>
        </w:rPr>
        <w:t>Document</w:t>
      </w:r>
      <w:r w:rsidR="00C91147">
        <w:rPr>
          <w:i/>
          <w:lang w:val="fr-CH"/>
        </w:rPr>
        <w:t> </w:t>
      </w:r>
      <w:r w:rsidRPr="00ED1DE0">
        <w:rPr>
          <w:lang w:val="fr-CH"/>
        </w:rPr>
        <w:t>:</w:t>
      </w:r>
      <w:r w:rsidRPr="00ED1DE0">
        <w:rPr>
          <w:lang w:val="fr-CH"/>
        </w:rPr>
        <w:tab/>
      </w:r>
      <w:r w:rsidRPr="00ED1DE0">
        <w:rPr>
          <w:lang w:val="fr-CH"/>
        </w:rPr>
        <w:tab/>
      </w:r>
      <w:r w:rsidRPr="00ED1DE0">
        <w:rPr>
          <w:lang w:val="fr-CH"/>
        </w:rPr>
        <w:tab/>
        <w:t>ST/SG/AC.10/C.3/2015/21 (Canada)</w:t>
      </w:r>
      <w:r w:rsidR="00C91147">
        <w:rPr>
          <w:lang w:val="fr-CH"/>
        </w:rPr>
        <w:t>.</w:t>
      </w:r>
    </w:p>
    <w:p w:rsidR="00ED1DE0" w:rsidRPr="00ED1DE0" w:rsidRDefault="00ED1DE0" w:rsidP="00C91147">
      <w:pPr>
        <w:pStyle w:val="SingleTxt"/>
        <w:jc w:val="left"/>
        <w:rPr>
          <w:lang w:val="fr-CH"/>
        </w:rPr>
      </w:pPr>
      <w:r w:rsidRPr="00ED1DE0">
        <w:rPr>
          <w:i/>
          <w:lang w:val="fr-CH"/>
        </w:rPr>
        <w:t>Documents informels</w:t>
      </w:r>
      <w:r w:rsidR="00C91147">
        <w:rPr>
          <w:i/>
          <w:lang w:val="fr-CH"/>
        </w:rPr>
        <w:t> </w:t>
      </w:r>
      <w:r w:rsidRPr="00ED1DE0">
        <w:rPr>
          <w:lang w:val="fr-CH"/>
        </w:rPr>
        <w:t>:</w:t>
      </w:r>
      <w:r w:rsidRPr="00ED1DE0">
        <w:rPr>
          <w:lang w:val="fr-CH"/>
        </w:rPr>
        <w:tab/>
        <w:t>INF.24 (Espagne)</w:t>
      </w:r>
      <w:r w:rsidR="00C91147">
        <w:rPr>
          <w:lang w:val="fr-CH"/>
        </w:rPr>
        <w:t xml:space="preserve">, </w:t>
      </w:r>
      <w:r w:rsidRPr="00ED1DE0">
        <w:rPr>
          <w:lang w:val="fr-CH"/>
        </w:rPr>
        <w:br/>
      </w:r>
      <w:r w:rsidRPr="00ED1DE0">
        <w:rPr>
          <w:lang w:val="fr-CH"/>
        </w:rPr>
        <w:tab/>
      </w:r>
      <w:r w:rsidRPr="00ED1DE0">
        <w:rPr>
          <w:lang w:val="fr-CH"/>
        </w:rPr>
        <w:tab/>
      </w:r>
      <w:r w:rsidRPr="00ED1DE0">
        <w:rPr>
          <w:lang w:val="fr-CH"/>
        </w:rPr>
        <w:tab/>
      </w:r>
      <w:r w:rsidRPr="00ED1DE0">
        <w:rPr>
          <w:lang w:val="fr-CH"/>
        </w:rPr>
        <w:tab/>
      </w:r>
      <w:r w:rsidRPr="00ED1DE0">
        <w:rPr>
          <w:lang w:val="fr-CH"/>
        </w:rPr>
        <w:tab/>
        <w:t>INF.25 (CEFIC, AISE)</w:t>
      </w:r>
      <w:r w:rsidR="00C91147">
        <w:rPr>
          <w:lang w:val="fr-CH"/>
        </w:rPr>
        <w:t>.</w:t>
      </w:r>
    </w:p>
    <w:p w:rsidR="00ED1DE0" w:rsidRPr="00ED1DE0" w:rsidRDefault="00ED1DE0" w:rsidP="00633201">
      <w:pPr>
        <w:pStyle w:val="SingleTxt"/>
        <w:numPr>
          <w:ilvl w:val="0"/>
          <w:numId w:val="8"/>
        </w:numPr>
        <w:ind w:left="1267" w:firstLine="0"/>
        <w:rPr>
          <w:lang w:val="fr-CH"/>
        </w:rPr>
      </w:pPr>
      <w:r w:rsidRPr="00ED1DE0">
        <w:rPr>
          <w:lang w:val="fr-CH"/>
        </w:rPr>
        <w:t>La proposition du Ca</w:t>
      </w:r>
      <w:r w:rsidR="00942151">
        <w:rPr>
          <w:lang w:val="fr-CH"/>
        </w:rPr>
        <w:t>nada de réviser le chapitre 2.8</w:t>
      </w:r>
      <w:r w:rsidRPr="00ED1DE0">
        <w:rPr>
          <w:lang w:val="fr-CH"/>
        </w:rPr>
        <w:t xml:space="preserve"> du Règlement type ainsi que les propositions associées de l’Espagne, du CEFIC et de l’AISE ont fait l’objet de longues discussions qui ont amené le Sous-Comité à réunir un groupe de travail à l’heure du déjeuner pour examiner la question et dé</w:t>
      </w:r>
      <w:r w:rsidR="00C73A07">
        <w:rPr>
          <w:lang w:val="fr-CH"/>
        </w:rPr>
        <w:t>cider comment aller de l’avant.</w:t>
      </w:r>
    </w:p>
    <w:p w:rsidR="00ED1DE0" w:rsidRPr="00ED1DE0" w:rsidRDefault="00ED1DE0" w:rsidP="00633201">
      <w:pPr>
        <w:pStyle w:val="SingleTxt"/>
        <w:numPr>
          <w:ilvl w:val="0"/>
          <w:numId w:val="8"/>
        </w:numPr>
        <w:ind w:left="1267" w:firstLine="0"/>
        <w:rPr>
          <w:lang w:val="fr-CH"/>
        </w:rPr>
      </w:pPr>
      <w:r w:rsidRPr="00ED1DE0">
        <w:rPr>
          <w:lang w:val="fr-CH"/>
        </w:rPr>
        <w:t>Le Sous-Comité en a tiré les conclusions suivantes</w:t>
      </w:r>
      <w:r w:rsidR="00C73A07">
        <w:rPr>
          <w:lang w:val="fr-CH"/>
        </w:rPr>
        <w:t> </w:t>
      </w:r>
      <w:r w:rsidRPr="00ED1DE0">
        <w:rPr>
          <w:lang w:val="fr-CH"/>
        </w:rPr>
        <w:t>:</w:t>
      </w:r>
    </w:p>
    <w:p w:rsidR="00ED1DE0" w:rsidRPr="00ED1DE0" w:rsidRDefault="00ED1DE0" w:rsidP="00ED1DE0">
      <w:pPr>
        <w:pStyle w:val="SingleTxt"/>
        <w:rPr>
          <w:lang w:val="fr-CH"/>
        </w:rPr>
      </w:pPr>
      <w:r w:rsidRPr="00ED1DE0">
        <w:rPr>
          <w:lang w:val="fr-CH"/>
        </w:rPr>
        <w:tab/>
        <w:t>a)</w:t>
      </w:r>
      <w:r w:rsidRPr="00ED1DE0">
        <w:rPr>
          <w:lang w:val="fr-CH"/>
        </w:rPr>
        <w:tab/>
        <w:t>Les critères de corrosivité qui figurent dans le tableau 3.2.1 du SGH ont été correctement transposés dans le Règlement type;</w:t>
      </w:r>
    </w:p>
    <w:p w:rsidR="00ED1DE0" w:rsidRPr="00ED1DE0" w:rsidRDefault="00ED1DE0" w:rsidP="00ED1DE0">
      <w:pPr>
        <w:pStyle w:val="SingleTxt"/>
        <w:rPr>
          <w:lang w:val="fr-CH"/>
        </w:rPr>
      </w:pPr>
      <w:r w:rsidRPr="00ED1DE0">
        <w:rPr>
          <w:lang w:val="fr-CH"/>
        </w:rPr>
        <w:tab/>
        <w:t>b)</w:t>
      </w:r>
      <w:r w:rsidRPr="00ED1DE0">
        <w:rPr>
          <w:lang w:val="fr-CH"/>
        </w:rPr>
        <w:tab/>
        <w:t>Le Sous-Comité est favorable à l’utilisation de méthodes de remplacement pour éviter les essais, mais les méthodes actuelles du SGH ne sont pas assez précises pour permettre d’affecter convenablement des matières et mélanges aux actuelles sous-catégories</w:t>
      </w:r>
      <w:r w:rsidR="00C73A07">
        <w:rPr>
          <w:lang w:val="fr-CH"/>
        </w:rPr>
        <w:t> </w:t>
      </w:r>
      <w:r w:rsidRPr="00ED1DE0">
        <w:rPr>
          <w:lang w:val="fr-CH"/>
        </w:rPr>
        <w:t>1A, 1B et 1C du SGH ou aux groupes d’emballage appropriés;</w:t>
      </w:r>
    </w:p>
    <w:p w:rsidR="00ED1DE0" w:rsidRPr="00ED1DE0" w:rsidRDefault="00ED1DE0" w:rsidP="00ED1DE0">
      <w:pPr>
        <w:pStyle w:val="SingleTxt"/>
        <w:rPr>
          <w:lang w:val="fr-CH"/>
        </w:rPr>
      </w:pPr>
      <w:r w:rsidRPr="00ED1DE0">
        <w:rPr>
          <w:lang w:val="fr-CH"/>
        </w:rPr>
        <w:tab/>
        <w:t>c)</w:t>
      </w:r>
      <w:r w:rsidRPr="00ED1DE0">
        <w:rPr>
          <w:lang w:val="fr-CH"/>
        </w:rPr>
        <w:tab/>
        <w:t>Comme l’affectation à un groupe d’emballage a des conséquences considérables sur les plans économique et de la sécurité du transport des marchandises dangereuses, il est essentiel de trouver une solution qui garantisse le niveau de sécurité actuel sans procéder à un classement qui soit par trop restrictif;</w:t>
      </w:r>
    </w:p>
    <w:p w:rsidR="00ED1DE0" w:rsidRPr="00ED1DE0" w:rsidRDefault="00C73A07" w:rsidP="00ED1DE0">
      <w:pPr>
        <w:pStyle w:val="SingleTxt"/>
        <w:rPr>
          <w:lang w:val="fr-CH"/>
        </w:rPr>
      </w:pPr>
      <w:r>
        <w:rPr>
          <w:lang w:val="fr-CH"/>
        </w:rPr>
        <w:tab/>
      </w:r>
      <w:r w:rsidR="00ED1DE0" w:rsidRPr="00ED1DE0">
        <w:rPr>
          <w:lang w:val="fr-CH"/>
        </w:rPr>
        <w:t>d)</w:t>
      </w:r>
      <w:r w:rsidR="00ED1DE0" w:rsidRPr="00ED1DE0">
        <w:rPr>
          <w:lang w:val="fr-CH"/>
        </w:rPr>
        <w:tab/>
        <w:t>La méthode du pH est jugée inadéquate pour l’affectation aux</w:t>
      </w:r>
      <w:r w:rsidR="00FC6BB3">
        <w:rPr>
          <w:lang w:val="fr-CH"/>
        </w:rPr>
        <w:t xml:space="preserve"> </w:t>
      </w:r>
      <w:r w:rsidR="00ED1DE0" w:rsidRPr="00ED1DE0">
        <w:rPr>
          <w:lang w:val="fr-CH"/>
        </w:rPr>
        <w:t>groupes d’emballage; la méthode des principes d’extrapolation bénéficie d’un large appui; la méthode d’additivité également, mais les paramètres actuels entraînent une affectation trop stricte aux groupes d’emballage;</w:t>
      </w:r>
    </w:p>
    <w:p w:rsidR="00ED1DE0" w:rsidRPr="00ED1DE0" w:rsidRDefault="00ED1DE0" w:rsidP="00ED1DE0">
      <w:pPr>
        <w:pStyle w:val="SingleTxt"/>
        <w:rPr>
          <w:lang w:val="fr-CH"/>
        </w:rPr>
      </w:pPr>
      <w:r w:rsidRPr="00ED1DE0">
        <w:rPr>
          <w:lang w:val="fr-CH"/>
        </w:rPr>
        <w:tab/>
        <w:t>e)</w:t>
      </w:r>
      <w:r w:rsidRPr="00ED1DE0">
        <w:rPr>
          <w:lang w:val="fr-CH"/>
        </w:rPr>
        <w:tab/>
        <w:t>Comme les groupes d’emballage sont spécifiques au transport, il a été suggéré que ce travail incombe au Sous-Comité TMD. Toutefois, il a été rappelé que</w:t>
      </w:r>
      <w:r w:rsidR="00C73A07">
        <w:rPr>
          <w:lang w:val="fr-CH"/>
        </w:rPr>
        <w:t> </w:t>
      </w:r>
      <w:r w:rsidRPr="00ED1DE0">
        <w:rPr>
          <w:lang w:val="fr-CH"/>
        </w:rPr>
        <w:t>:</w:t>
      </w:r>
    </w:p>
    <w:p w:rsidR="00ED1DE0" w:rsidRPr="00ED1DE0" w:rsidRDefault="00C73A07" w:rsidP="009910F5">
      <w:pPr>
        <w:pStyle w:val="SingleTxt"/>
        <w:ind w:left="1742" w:hanging="475"/>
        <w:rPr>
          <w:lang w:val="fr-CH"/>
        </w:rPr>
      </w:pPr>
      <w:r>
        <w:rPr>
          <w:lang w:val="fr-CH"/>
        </w:rPr>
        <w:tab/>
      </w:r>
      <w:r w:rsidR="00ED1DE0" w:rsidRPr="00ED1DE0">
        <w:rPr>
          <w:lang w:val="fr-CH"/>
        </w:rPr>
        <w:t>i)</w:t>
      </w:r>
      <w:r w:rsidR="00ED1DE0" w:rsidRPr="00ED1DE0">
        <w:rPr>
          <w:lang w:val="fr-CH"/>
        </w:rPr>
        <w:tab/>
        <w:t>Les sous-catégories 1A, 1B et 1C avaient été créées pour les besoins du secteur du transport (groupes d’emballage I, II et III);</w:t>
      </w:r>
    </w:p>
    <w:p w:rsidR="00ED1DE0" w:rsidRPr="00ED1DE0" w:rsidRDefault="00ED1DE0" w:rsidP="009910F5">
      <w:pPr>
        <w:pStyle w:val="SingleTxt"/>
        <w:ind w:left="1742" w:hanging="475"/>
        <w:rPr>
          <w:lang w:val="fr-CH"/>
        </w:rPr>
      </w:pPr>
      <w:r w:rsidRPr="00ED1DE0">
        <w:rPr>
          <w:lang w:val="fr-CH"/>
        </w:rPr>
        <w:tab/>
        <w:t>ii)</w:t>
      </w:r>
      <w:r w:rsidRPr="00ED1DE0">
        <w:rPr>
          <w:lang w:val="fr-CH"/>
        </w:rPr>
        <w:tab/>
        <w:t>Conformément à l’approche modulaire, les secteurs sont libres de choisir les catégories de danger qu’il convient de réglementer, mais pas de modifier les valeurs seuils, les limites de concentration ou le dispositif décisionnel;</w:t>
      </w:r>
    </w:p>
    <w:p w:rsidR="00ED1DE0" w:rsidRPr="00ED1DE0" w:rsidRDefault="00ED1DE0" w:rsidP="009910F5">
      <w:pPr>
        <w:pStyle w:val="SingleTxt"/>
        <w:ind w:left="1742" w:hanging="475"/>
        <w:rPr>
          <w:lang w:val="fr-CH"/>
        </w:rPr>
      </w:pPr>
      <w:r w:rsidRPr="00ED1DE0">
        <w:rPr>
          <w:lang w:val="fr-CH"/>
        </w:rPr>
        <w:tab/>
        <w:t>iii)</w:t>
      </w:r>
      <w:r w:rsidRPr="00ED1DE0">
        <w:rPr>
          <w:lang w:val="fr-CH"/>
        </w:rPr>
        <w:tab/>
        <w:t>Maintenant que ces sous-catégories 1A, 1B et 1C existent, d’autres secteurs pourraient être intéressés à les utiliser également et il serait donc pr</w:t>
      </w:r>
      <w:r w:rsidR="001A0B9A">
        <w:rPr>
          <w:lang w:val="fr-CH"/>
        </w:rPr>
        <w:t>éférable que les valeurs seuils</w:t>
      </w:r>
      <w:r w:rsidRPr="00ED1DE0">
        <w:rPr>
          <w:lang w:val="fr-CH"/>
        </w:rPr>
        <w:t xml:space="preserve"> pour les groupes d’emballage correspondent à celles des sous-catégories</w:t>
      </w:r>
      <w:r w:rsidR="0001428B">
        <w:rPr>
          <w:lang w:val="fr-CH"/>
        </w:rPr>
        <w:t> </w:t>
      </w:r>
      <w:r w:rsidRPr="00ED1DE0">
        <w:rPr>
          <w:lang w:val="fr-CH"/>
        </w:rPr>
        <w:t>1A, 1B et 1C.</w:t>
      </w:r>
    </w:p>
    <w:p w:rsidR="00ED1DE0" w:rsidRPr="00ED1DE0" w:rsidRDefault="00ED1DE0" w:rsidP="00ED1DE0">
      <w:pPr>
        <w:pStyle w:val="SingleTxt"/>
        <w:rPr>
          <w:lang w:val="fr-CH"/>
        </w:rPr>
      </w:pPr>
      <w:r w:rsidRPr="00ED1DE0">
        <w:rPr>
          <w:lang w:val="fr-CH"/>
        </w:rPr>
        <w:tab/>
        <w:t>f)</w:t>
      </w:r>
      <w:r w:rsidRPr="00ED1DE0">
        <w:rPr>
          <w:lang w:val="fr-CH"/>
        </w:rPr>
        <w:tab/>
        <w:t>Afin de définir une méthode fiable qui permette un classement aussi proche que possible du classement actuel dans les groupes d’emballage pour le transport, il faudrait demander au Sous-Comité SGH</w:t>
      </w:r>
      <w:r w:rsidR="001A0B9A">
        <w:rPr>
          <w:lang w:val="fr-CH"/>
        </w:rPr>
        <w:t> </w:t>
      </w:r>
      <w:r w:rsidRPr="00ED1DE0">
        <w:rPr>
          <w:lang w:val="fr-CH"/>
        </w:rPr>
        <w:t>:</w:t>
      </w:r>
    </w:p>
    <w:p w:rsidR="00ED1DE0" w:rsidRPr="00892165" w:rsidRDefault="00ED1DE0" w:rsidP="009910F5">
      <w:pPr>
        <w:pStyle w:val="SingleTxt"/>
        <w:ind w:left="1742" w:hanging="475"/>
        <w:rPr>
          <w:lang w:val="fr-CH"/>
        </w:rPr>
      </w:pPr>
      <w:r w:rsidRPr="00892165">
        <w:rPr>
          <w:lang w:val="fr-CH"/>
        </w:rPr>
        <w:tab/>
        <w:t>i)</w:t>
      </w:r>
      <w:r w:rsidRPr="00892165">
        <w:rPr>
          <w:lang w:val="fr-CH"/>
        </w:rPr>
        <w:tab/>
        <w:t>S’il est possible de modifier les paramètres actuels de la méthode d’additivité;</w:t>
      </w:r>
    </w:p>
    <w:p w:rsidR="00ED1DE0" w:rsidRPr="00ED1DE0" w:rsidRDefault="00ED1DE0" w:rsidP="009910F5">
      <w:pPr>
        <w:pStyle w:val="SingleTxt"/>
        <w:ind w:left="1742" w:hanging="475"/>
        <w:rPr>
          <w:lang w:val="fr-CH"/>
        </w:rPr>
      </w:pPr>
      <w:r w:rsidRPr="00ED1DE0">
        <w:rPr>
          <w:lang w:val="fr-CH"/>
        </w:rPr>
        <w:tab/>
        <w:t>ii)</w:t>
      </w:r>
      <w:r w:rsidRPr="00ED1DE0">
        <w:rPr>
          <w:lang w:val="fr-CH"/>
        </w:rPr>
        <w:tab/>
        <w:t>Si tel n’est pas le cas, s’il pourrait donner des conseils quant à la possibilité d’inclure des paramètres supplémentaires susceptibles de n’être utilisés que dans le contexte du transport et s’il pourrait aider le Sous-Comité TMD à assurer une meilleure adéquation entre les sous-catégories 1A, 1B et 1C et les groupes</w:t>
      </w:r>
      <w:r w:rsidR="001A0B9A">
        <w:rPr>
          <w:lang w:val="fr-CH"/>
        </w:rPr>
        <w:t xml:space="preserve"> d’emballage pour le transport.</w:t>
      </w:r>
    </w:p>
    <w:p w:rsidR="00ED1DE0" w:rsidRDefault="00ED1DE0" w:rsidP="00633201">
      <w:pPr>
        <w:pStyle w:val="SingleTxt"/>
        <w:numPr>
          <w:ilvl w:val="0"/>
          <w:numId w:val="8"/>
        </w:numPr>
        <w:ind w:left="1267" w:firstLine="0"/>
        <w:rPr>
          <w:lang w:val="fr-CH"/>
        </w:rPr>
      </w:pPr>
      <w:r w:rsidRPr="00ED1DE0">
        <w:rPr>
          <w:lang w:val="fr-CH"/>
        </w:rPr>
        <w:t>Suite à ces conclusions, l’expert du Canada, qui avait envisagé de retirer sa proposition, a déclaré qu’il la maintiendrait à l’ordre du jour du Sous-Comité SGH car il souhaitait recevoir des réponses aux questions qui y sont posées. Les experts du Canada, de l’Espagne et du CEFIC ont été encouragés à continuer à tra</w:t>
      </w:r>
      <w:r w:rsidR="001A0B9A">
        <w:rPr>
          <w:lang w:val="fr-CH"/>
        </w:rPr>
        <w:t>vailler sur leurs propositions.</w:t>
      </w:r>
    </w:p>
    <w:p w:rsidR="001A0B9A" w:rsidRPr="001A0B9A" w:rsidRDefault="001A0B9A" w:rsidP="001A0B9A">
      <w:pPr>
        <w:pStyle w:val="SingleTxt"/>
        <w:spacing w:after="0" w:line="120" w:lineRule="exact"/>
        <w:rPr>
          <w:sz w:val="10"/>
          <w:lang w:val="fr-CH"/>
        </w:rPr>
      </w:pPr>
    </w:p>
    <w:p w:rsidR="001A0B9A" w:rsidRPr="001A0B9A" w:rsidRDefault="001A0B9A" w:rsidP="001A0B9A">
      <w:pPr>
        <w:pStyle w:val="SingleTxt"/>
        <w:spacing w:after="0" w:line="120" w:lineRule="exact"/>
        <w:rPr>
          <w:sz w:val="10"/>
          <w:lang w:val="fr-CH"/>
        </w:rPr>
      </w:pPr>
    </w:p>
    <w:p w:rsidR="00ED1DE0" w:rsidRDefault="00ED1DE0" w:rsidP="001A0B9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F.</w:t>
      </w:r>
      <w:r w:rsidRPr="00ED1DE0">
        <w:rPr>
          <w:lang w:val="fr-CH"/>
        </w:rPr>
        <w:tab/>
        <w:t>Mise à jour des références aux directives de l’OCDE</w:t>
      </w:r>
    </w:p>
    <w:p w:rsidR="001A0B9A" w:rsidRPr="001A0B9A" w:rsidRDefault="001A0B9A" w:rsidP="001A0B9A">
      <w:pPr>
        <w:pStyle w:val="SingleTxt"/>
        <w:spacing w:after="0" w:line="120" w:lineRule="exact"/>
        <w:rPr>
          <w:sz w:val="10"/>
          <w:lang w:val="fr-CH"/>
        </w:rPr>
      </w:pPr>
    </w:p>
    <w:p w:rsidR="001A0B9A" w:rsidRPr="001A0B9A" w:rsidRDefault="001A0B9A" w:rsidP="001A0B9A">
      <w:pPr>
        <w:pStyle w:val="SingleTxt"/>
        <w:spacing w:after="0" w:line="120" w:lineRule="exact"/>
        <w:rPr>
          <w:sz w:val="10"/>
          <w:lang w:val="fr-CH"/>
        </w:rPr>
      </w:pPr>
    </w:p>
    <w:p w:rsidR="00ED1DE0" w:rsidRDefault="00ED1DE0" w:rsidP="00633201">
      <w:pPr>
        <w:pStyle w:val="SingleTxt"/>
        <w:numPr>
          <w:ilvl w:val="0"/>
          <w:numId w:val="8"/>
        </w:numPr>
        <w:ind w:left="1267" w:firstLine="0"/>
        <w:rPr>
          <w:lang w:val="fr-CH"/>
        </w:rPr>
      </w:pPr>
      <w:r w:rsidRPr="00ED1DE0">
        <w:rPr>
          <w:lang w:val="fr-CH"/>
        </w:rPr>
        <w:t>Aucun document n’ayant été soumis au titre de ce point de l’ordre du jour, il n’a pas été examiné.</w:t>
      </w:r>
    </w:p>
    <w:p w:rsidR="001A0B9A" w:rsidRPr="001A0B9A" w:rsidRDefault="001A0B9A" w:rsidP="001A0B9A">
      <w:pPr>
        <w:pStyle w:val="SingleTxt"/>
        <w:spacing w:after="0" w:line="120" w:lineRule="exact"/>
        <w:rPr>
          <w:sz w:val="10"/>
          <w:lang w:val="fr-CH"/>
        </w:rPr>
      </w:pPr>
    </w:p>
    <w:p w:rsidR="001A0B9A" w:rsidRPr="001A0B9A" w:rsidRDefault="001A0B9A" w:rsidP="001A0B9A">
      <w:pPr>
        <w:pStyle w:val="SingleTxt"/>
        <w:spacing w:after="0" w:line="120" w:lineRule="exact"/>
        <w:rPr>
          <w:sz w:val="10"/>
          <w:lang w:val="fr-CH"/>
        </w:rPr>
      </w:pPr>
    </w:p>
    <w:p w:rsidR="00ED1DE0" w:rsidRDefault="00ED1DE0" w:rsidP="001A0B9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G.</w:t>
      </w:r>
      <w:r w:rsidRPr="00ED1DE0">
        <w:rPr>
          <w:lang w:val="fr-CH"/>
        </w:rPr>
        <w:tab/>
        <w:t xml:space="preserve">Utilisation du Manuel d’épreuves et de critères dans le contexte </w:t>
      </w:r>
      <w:r w:rsidR="001A0B9A">
        <w:rPr>
          <w:lang w:val="fr-CH"/>
        </w:rPr>
        <w:br/>
      </w:r>
      <w:r w:rsidRPr="00ED1DE0">
        <w:rPr>
          <w:lang w:val="fr-CH"/>
        </w:rPr>
        <w:t>du SGH</w:t>
      </w:r>
    </w:p>
    <w:p w:rsidR="001A0B9A" w:rsidRPr="001A0B9A" w:rsidRDefault="001A0B9A" w:rsidP="001A0B9A">
      <w:pPr>
        <w:pStyle w:val="SingleTxt"/>
        <w:spacing w:after="0" w:line="120" w:lineRule="exact"/>
        <w:rPr>
          <w:sz w:val="10"/>
          <w:lang w:val="fr-CH"/>
        </w:rPr>
      </w:pPr>
    </w:p>
    <w:p w:rsidR="001A0B9A" w:rsidRPr="001A0B9A" w:rsidRDefault="001A0B9A" w:rsidP="001A0B9A">
      <w:pPr>
        <w:pStyle w:val="SingleTxt"/>
        <w:spacing w:after="0" w:line="120" w:lineRule="exact"/>
        <w:rPr>
          <w:sz w:val="10"/>
          <w:lang w:val="fr-CH"/>
        </w:rPr>
      </w:pPr>
    </w:p>
    <w:p w:rsidR="00ED1DE0" w:rsidRPr="00ED1DE0" w:rsidRDefault="00ED1DE0" w:rsidP="00891215">
      <w:pPr>
        <w:pStyle w:val="SingleTxt"/>
        <w:rPr>
          <w:lang w:val="fr-CH"/>
        </w:rPr>
      </w:pPr>
      <w:r w:rsidRPr="00ED1DE0">
        <w:rPr>
          <w:i/>
          <w:lang w:val="fr-CH"/>
        </w:rPr>
        <w:t>Document</w:t>
      </w:r>
      <w:r w:rsidR="00891215">
        <w:rPr>
          <w:i/>
          <w:lang w:val="fr-CH"/>
        </w:rPr>
        <w:t> </w:t>
      </w:r>
      <w:r w:rsidRPr="00ED1DE0">
        <w:rPr>
          <w:lang w:val="fr-CH"/>
        </w:rPr>
        <w:t>:</w:t>
      </w:r>
      <w:r w:rsidRPr="00ED1DE0">
        <w:rPr>
          <w:lang w:val="fr-CH"/>
        </w:rPr>
        <w:tab/>
      </w:r>
      <w:r w:rsidRPr="00ED1DE0">
        <w:rPr>
          <w:lang w:val="fr-CH"/>
        </w:rPr>
        <w:tab/>
      </w:r>
      <w:r w:rsidRPr="00ED1DE0">
        <w:rPr>
          <w:lang w:val="fr-CH"/>
        </w:rPr>
        <w:tab/>
        <w:t>ST/SG/AC.10/C.3/2014/61 (</w:t>
      </w:r>
      <w:r w:rsidR="00892165">
        <w:rPr>
          <w:lang w:val="fr-CH"/>
        </w:rPr>
        <w:t>s</w:t>
      </w:r>
      <w:r w:rsidRPr="00ED1DE0">
        <w:rPr>
          <w:lang w:val="fr-CH"/>
        </w:rPr>
        <w:t>ecrétariat)</w:t>
      </w:r>
      <w:r w:rsidR="00891215">
        <w:rPr>
          <w:lang w:val="fr-CH"/>
        </w:rPr>
        <w:t>.</w:t>
      </w:r>
    </w:p>
    <w:p w:rsidR="00ED1DE0" w:rsidRPr="001C3A69" w:rsidRDefault="00ED1DE0" w:rsidP="00891215">
      <w:pPr>
        <w:pStyle w:val="SingleTxt"/>
        <w:jc w:val="left"/>
        <w:rPr>
          <w:iCs/>
          <w:spacing w:val="2"/>
          <w:lang w:val="fr-CH"/>
        </w:rPr>
      </w:pPr>
      <w:r w:rsidRPr="00ED1DE0">
        <w:rPr>
          <w:i/>
          <w:lang w:val="fr-CH"/>
        </w:rPr>
        <w:t>Documents informels</w:t>
      </w:r>
      <w:r w:rsidR="00AC1FDE" w:rsidRPr="00680974">
        <w:rPr>
          <w:lang w:val="fr-CH"/>
        </w:rPr>
        <w:t> </w:t>
      </w:r>
      <w:r w:rsidRPr="00680974">
        <w:rPr>
          <w:lang w:val="fr-CH"/>
        </w:rPr>
        <w:t>:</w:t>
      </w:r>
      <w:r w:rsidRPr="00ED1DE0">
        <w:rPr>
          <w:i/>
          <w:lang w:val="fr-CH"/>
        </w:rPr>
        <w:tab/>
      </w:r>
      <w:r w:rsidRPr="00891215">
        <w:rPr>
          <w:lang w:val="fr-CH"/>
        </w:rPr>
        <w:t>INF.6</w:t>
      </w:r>
      <w:r w:rsidRPr="00ED1DE0">
        <w:rPr>
          <w:i/>
          <w:iCs/>
          <w:lang w:val="fr-CH"/>
        </w:rPr>
        <w:t xml:space="preserve"> </w:t>
      </w:r>
      <w:r w:rsidRPr="00ED1DE0">
        <w:rPr>
          <w:iCs/>
          <w:lang w:val="fr-CH"/>
        </w:rPr>
        <w:t>(Pays-Bas)</w:t>
      </w:r>
      <w:r w:rsidR="00891215">
        <w:rPr>
          <w:iCs/>
          <w:lang w:val="fr-CH"/>
        </w:rPr>
        <w:t>,</w:t>
      </w:r>
      <w:r w:rsidRPr="00ED1DE0">
        <w:rPr>
          <w:iCs/>
          <w:lang w:val="fr-CH"/>
        </w:rPr>
        <w:t xml:space="preserve"> </w:t>
      </w:r>
      <w:r w:rsidRPr="00ED1DE0">
        <w:rPr>
          <w:iCs/>
          <w:lang w:val="fr-CH"/>
        </w:rPr>
        <w:br/>
      </w:r>
      <w:r w:rsidRPr="00ED1DE0">
        <w:rPr>
          <w:lang w:val="fr-CH"/>
        </w:rPr>
        <w:tab/>
      </w:r>
      <w:r w:rsidRPr="00ED1DE0">
        <w:rPr>
          <w:lang w:val="fr-CH"/>
        </w:rPr>
        <w:tab/>
      </w:r>
      <w:r w:rsidRPr="00ED1DE0">
        <w:rPr>
          <w:lang w:val="fr-CH"/>
        </w:rPr>
        <w:tab/>
      </w:r>
      <w:r w:rsidRPr="00ED1DE0">
        <w:rPr>
          <w:lang w:val="fr-CH"/>
        </w:rPr>
        <w:tab/>
      </w:r>
      <w:r w:rsidRPr="00ED1DE0">
        <w:rPr>
          <w:lang w:val="fr-CH"/>
        </w:rPr>
        <w:tab/>
      </w:r>
      <w:r w:rsidRPr="00891215">
        <w:rPr>
          <w:lang w:val="fr-CH"/>
        </w:rPr>
        <w:t>INF.21</w:t>
      </w:r>
      <w:r w:rsidRPr="00ED1DE0">
        <w:rPr>
          <w:i/>
          <w:iCs/>
          <w:lang w:val="fr-CH"/>
        </w:rPr>
        <w:t xml:space="preserve"> </w:t>
      </w:r>
      <w:r w:rsidRPr="00ED1DE0">
        <w:rPr>
          <w:iCs/>
          <w:lang w:val="fr-CH"/>
        </w:rPr>
        <w:t>(Président du Groupe de travail)</w:t>
      </w:r>
      <w:r w:rsidR="00891215">
        <w:rPr>
          <w:iCs/>
          <w:lang w:val="fr-CH"/>
        </w:rPr>
        <w:t>,</w:t>
      </w:r>
      <w:r w:rsidRPr="00ED1DE0">
        <w:rPr>
          <w:iCs/>
          <w:lang w:val="fr-CH"/>
        </w:rPr>
        <w:t xml:space="preserve"> </w:t>
      </w:r>
      <w:r w:rsidRPr="00ED1DE0">
        <w:rPr>
          <w:iCs/>
          <w:lang w:val="fr-CH"/>
        </w:rPr>
        <w:br/>
      </w:r>
      <w:r w:rsidRPr="00ED1DE0">
        <w:rPr>
          <w:lang w:val="fr-CH"/>
        </w:rPr>
        <w:tab/>
      </w:r>
      <w:r w:rsidRPr="00ED1DE0">
        <w:rPr>
          <w:lang w:val="fr-CH"/>
        </w:rPr>
        <w:tab/>
      </w:r>
      <w:r w:rsidRPr="00ED1DE0">
        <w:rPr>
          <w:lang w:val="fr-CH"/>
        </w:rPr>
        <w:tab/>
      </w:r>
      <w:r w:rsidRPr="00ED1DE0">
        <w:rPr>
          <w:lang w:val="fr-CH"/>
        </w:rPr>
        <w:tab/>
      </w:r>
      <w:r w:rsidRPr="00ED1DE0">
        <w:rPr>
          <w:lang w:val="fr-CH"/>
        </w:rPr>
        <w:tab/>
      </w:r>
      <w:r w:rsidRPr="00891215">
        <w:rPr>
          <w:lang w:val="fr-CH"/>
        </w:rPr>
        <w:t>INF.31</w:t>
      </w:r>
      <w:r w:rsidRPr="00ED1DE0">
        <w:rPr>
          <w:i/>
          <w:iCs/>
          <w:lang w:val="fr-CH"/>
        </w:rPr>
        <w:t xml:space="preserve"> </w:t>
      </w:r>
      <w:r w:rsidRPr="00ED1DE0">
        <w:rPr>
          <w:iCs/>
          <w:lang w:val="fr-CH"/>
        </w:rPr>
        <w:t>(Canada)</w:t>
      </w:r>
      <w:r w:rsidR="00891215">
        <w:rPr>
          <w:iCs/>
          <w:lang w:val="fr-CH"/>
        </w:rPr>
        <w:t xml:space="preserve">, </w:t>
      </w:r>
      <w:r w:rsidRPr="00ED1DE0">
        <w:rPr>
          <w:iCs/>
          <w:lang w:val="fr-CH"/>
        </w:rPr>
        <w:br/>
      </w:r>
      <w:r w:rsidRPr="00ED1DE0">
        <w:rPr>
          <w:iCs/>
          <w:lang w:val="fr-CH"/>
        </w:rPr>
        <w:tab/>
      </w:r>
      <w:r w:rsidRPr="00ED1DE0">
        <w:rPr>
          <w:iCs/>
          <w:lang w:val="fr-CH"/>
        </w:rPr>
        <w:tab/>
      </w:r>
      <w:r w:rsidRPr="00ED1DE0">
        <w:rPr>
          <w:iCs/>
          <w:lang w:val="fr-CH"/>
        </w:rPr>
        <w:tab/>
      </w:r>
      <w:r w:rsidRPr="00ED1DE0">
        <w:rPr>
          <w:iCs/>
          <w:lang w:val="fr-CH"/>
        </w:rPr>
        <w:tab/>
      </w:r>
      <w:r w:rsidRPr="00ED1DE0">
        <w:rPr>
          <w:iCs/>
          <w:lang w:val="fr-CH"/>
        </w:rPr>
        <w:tab/>
        <w:t xml:space="preserve">INF.53 </w:t>
      </w:r>
      <w:r w:rsidR="00891215">
        <w:rPr>
          <w:iCs/>
          <w:lang w:val="fr-CH"/>
        </w:rPr>
        <w:t xml:space="preserve">(Rapport du Groupe de travail </w:t>
      </w:r>
      <w:r w:rsidRPr="00ED1DE0">
        <w:rPr>
          <w:iCs/>
          <w:lang w:val="fr-CH"/>
        </w:rPr>
        <w:t>des explosifs)</w:t>
      </w:r>
      <w:r w:rsidR="00891215">
        <w:rPr>
          <w:iCs/>
          <w:lang w:val="fr-CH"/>
        </w:rPr>
        <w:t xml:space="preserve">, </w:t>
      </w:r>
      <w:r w:rsidRPr="00ED1DE0">
        <w:rPr>
          <w:i/>
          <w:iCs/>
          <w:lang w:val="fr-CH"/>
        </w:rPr>
        <w:br/>
      </w:r>
      <w:r w:rsidRPr="00ED1DE0">
        <w:rPr>
          <w:lang w:val="fr-CH"/>
        </w:rPr>
        <w:tab/>
      </w:r>
      <w:r w:rsidRPr="00ED1DE0">
        <w:rPr>
          <w:lang w:val="fr-CH"/>
        </w:rPr>
        <w:tab/>
      </w:r>
      <w:r w:rsidRPr="00ED1DE0">
        <w:rPr>
          <w:lang w:val="fr-CH"/>
        </w:rPr>
        <w:tab/>
      </w:r>
      <w:r w:rsidRPr="00ED1DE0">
        <w:rPr>
          <w:lang w:val="fr-CH"/>
        </w:rPr>
        <w:tab/>
      </w:r>
      <w:r w:rsidRPr="00ED1DE0">
        <w:rPr>
          <w:lang w:val="fr-CH"/>
        </w:rPr>
        <w:tab/>
      </w:r>
      <w:r w:rsidRPr="00891215">
        <w:rPr>
          <w:lang w:val="fr-CH"/>
        </w:rPr>
        <w:t>INF.44</w:t>
      </w:r>
      <w:r w:rsidRPr="00ED1DE0">
        <w:rPr>
          <w:i/>
          <w:iCs/>
          <w:lang w:val="fr-CH"/>
        </w:rPr>
        <w:t xml:space="preserve"> </w:t>
      </w:r>
      <w:r w:rsidRPr="00ED1DE0">
        <w:rPr>
          <w:iCs/>
          <w:lang w:val="fr-CH"/>
        </w:rPr>
        <w:t>(</w:t>
      </w:r>
      <w:r w:rsidR="00891215">
        <w:rPr>
          <w:iCs/>
          <w:lang w:val="fr-CH"/>
        </w:rPr>
        <w:t>quarante-sixième </w:t>
      </w:r>
      <w:r w:rsidRPr="00ED1DE0">
        <w:rPr>
          <w:iCs/>
          <w:lang w:val="fr-CH"/>
        </w:rPr>
        <w:t>session)</w:t>
      </w:r>
      <w:r w:rsidRPr="00ED1DE0">
        <w:rPr>
          <w:i/>
          <w:iCs/>
          <w:lang w:val="fr-CH"/>
        </w:rPr>
        <w:t xml:space="preserve"> </w:t>
      </w:r>
      <w:r w:rsidRPr="00ED1DE0">
        <w:rPr>
          <w:iCs/>
          <w:lang w:val="fr-CH"/>
        </w:rPr>
        <w:t>(</w:t>
      </w:r>
      <w:r w:rsidR="00892165">
        <w:rPr>
          <w:iCs/>
          <w:lang w:val="fr-CH"/>
        </w:rPr>
        <w:t>s</w:t>
      </w:r>
      <w:r w:rsidRPr="00ED1DE0">
        <w:rPr>
          <w:iCs/>
          <w:lang w:val="fr-CH"/>
        </w:rPr>
        <w:t>ecrétariat)</w:t>
      </w:r>
      <w:r w:rsidR="00891215">
        <w:rPr>
          <w:iCs/>
          <w:lang w:val="fr-CH"/>
        </w:rPr>
        <w:t xml:space="preserve">, </w:t>
      </w:r>
      <w:r w:rsidRPr="00ED1DE0">
        <w:rPr>
          <w:i/>
          <w:iCs/>
          <w:lang w:val="fr-CH"/>
        </w:rPr>
        <w:br/>
      </w:r>
      <w:r w:rsidRPr="001C3A69">
        <w:rPr>
          <w:spacing w:val="2"/>
          <w:lang w:val="fr-CH"/>
        </w:rPr>
        <w:tab/>
      </w:r>
      <w:r w:rsidRPr="001C3A69">
        <w:rPr>
          <w:spacing w:val="2"/>
          <w:lang w:val="fr-CH"/>
        </w:rPr>
        <w:tab/>
      </w:r>
      <w:r w:rsidRPr="001C3A69">
        <w:rPr>
          <w:spacing w:val="2"/>
          <w:lang w:val="fr-CH"/>
        </w:rPr>
        <w:tab/>
      </w:r>
      <w:r w:rsidRPr="001C3A69">
        <w:rPr>
          <w:spacing w:val="2"/>
          <w:lang w:val="fr-CH"/>
        </w:rPr>
        <w:tab/>
      </w:r>
      <w:r w:rsidRPr="001C3A69">
        <w:rPr>
          <w:spacing w:val="2"/>
          <w:lang w:val="fr-CH"/>
        </w:rPr>
        <w:tab/>
        <w:t>INF.8</w:t>
      </w:r>
      <w:r w:rsidRPr="001C3A69">
        <w:rPr>
          <w:i/>
          <w:iCs/>
          <w:spacing w:val="2"/>
          <w:lang w:val="fr-CH"/>
        </w:rPr>
        <w:t xml:space="preserve"> </w:t>
      </w:r>
      <w:r w:rsidRPr="001C3A69">
        <w:rPr>
          <w:iCs/>
          <w:spacing w:val="2"/>
          <w:lang w:val="fr-CH"/>
        </w:rPr>
        <w:t>et Add.1</w:t>
      </w:r>
      <w:r w:rsidR="001C3A69" w:rsidRPr="001C3A69">
        <w:rPr>
          <w:iCs/>
          <w:spacing w:val="2"/>
          <w:lang w:val="fr-CH"/>
        </w:rPr>
        <w:t>-</w:t>
      </w:r>
      <w:r w:rsidRPr="001C3A69">
        <w:rPr>
          <w:iCs/>
          <w:spacing w:val="2"/>
          <w:lang w:val="fr-CH"/>
        </w:rPr>
        <w:t>5 (</w:t>
      </w:r>
      <w:r w:rsidR="00891215" w:rsidRPr="001C3A69">
        <w:rPr>
          <w:iCs/>
          <w:spacing w:val="2"/>
          <w:lang w:val="fr-CH"/>
        </w:rPr>
        <w:t>quarante-cinquième</w:t>
      </w:r>
      <w:r w:rsidRPr="001C3A69">
        <w:rPr>
          <w:iCs/>
          <w:spacing w:val="2"/>
          <w:lang w:val="fr-CH"/>
        </w:rPr>
        <w:t xml:space="preserve"> session) (</w:t>
      </w:r>
      <w:r w:rsidR="00892165">
        <w:rPr>
          <w:iCs/>
          <w:spacing w:val="2"/>
          <w:lang w:val="fr-CH"/>
        </w:rPr>
        <w:t>s</w:t>
      </w:r>
      <w:r w:rsidRPr="001C3A69">
        <w:rPr>
          <w:iCs/>
          <w:spacing w:val="2"/>
          <w:lang w:val="fr-CH"/>
        </w:rPr>
        <w:t>ecrétariat)</w:t>
      </w:r>
      <w:r w:rsidR="00891215" w:rsidRPr="001C3A69">
        <w:rPr>
          <w:iCs/>
          <w:spacing w:val="2"/>
          <w:lang w:val="fr-CH"/>
        </w:rPr>
        <w:t>.</w:t>
      </w:r>
    </w:p>
    <w:p w:rsidR="00ED1DE0" w:rsidRDefault="00ED1DE0" w:rsidP="00633201">
      <w:pPr>
        <w:pStyle w:val="SingleTxt"/>
        <w:numPr>
          <w:ilvl w:val="0"/>
          <w:numId w:val="8"/>
        </w:numPr>
        <w:ind w:left="1267" w:firstLine="0"/>
        <w:rPr>
          <w:lang w:val="fr-CH"/>
        </w:rPr>
      </w:pPr>
      <w:r w:rsidRPr="00ED1DE0">
        <w:rPr>
          <w:lang w:val="fr-CH"/>
        </w:rPr>
        <w:t>Ces documents ont été transmis au G</w:t>
      </w:r>
      <w:r w:rsidR="00AC1FDE">
        <w:rPr>
          <w:lang w:val="fr-CH"/>
        </w:rPr>
        <w:t xml:space="preserve">roupe de travail des explosifs </w:t>
      </w:r>
      <w:r w:rsidRPr="00ED1DE0">
        <w:rPr>
          <w:lang w:val="fr-CH"/>
        </w:rPr>
        <w:t>(voir aussi par.</w:t>
      </w:r>
      <w:r w:rsidR="00AC1FDE">
        <w:rPr>
          <w:lang w:val="fr-CH"/>
        </w:rPr>
        <w:t> </w:t>
      </w:r>
      <w:r w:rsidRPr="00ED1DE0">
        <w:rPr>
          <w:lang w:val="fr-CH"/>
        </w:rPr>
        <w:t>8). Le Sous-Comité a pris note des progrès réalisés par le Groupe de travail qui revoit le Manuel d’épreuves et de critères en vue de son utilisation dans le contexte du SGH, comme il est décrit au paragraphe 21 du rapport INF.53. Il a noté que le secrétariat tiendrait compte des résultats des discussions pour établir une nouvelle proposition de synthèse qui sera fondée sur la</w:t>
      </w:r>
      <w:r w:rsidR="00892165">
        <w:rPr>
          <w:lang w:val="fr-CH"/>
        </w:rPr>
        <w:t xml:space="preserve"> sixième</w:t>
      </w:r>
      <w:r w:rsidRPr="00ED1DE0">
        <w:rPr>
          <w:lang w:val="fr-CH"/>
        </w:rPr>
        <w:t xml:space="preserve"> édition révisée du Manuel et qui servira pour la suite des travaux.</w:t>
      </w:r>
    </w:p>
    <w:p w:rsidR="00AC1FDE" w:rsidRPr="00AC1FDE" w:rsidRDefault="00AC1FDE" w:rsidP="00AC1FDE">
      <w:pPr>
        <w:pStyle w:val="SingleTxt"/>
        <w:spacing w:after="0" w:line="120" w:lineRule="exact"/>
        <w:rPr>
          <w:sz w:val="10"/>
          <w:lang w:val="fr-CH"/>
        </w:rPr>
      </w:pPr>
    </w:p>
    <w:p w:rsidR="00AC1FDE" w:rsidRPr="00AC1FDE" w:rsidRDefault="00AC1FDE" w:rsidP="00AC1FDE">
      <w:pPr>
        <w:pStyle w:val="SingleTxt"/>
        <w:spacing w:after="0" w:line="120" w:lineRule="exact"/>
        <w:rPr>
          <w:sz w:val="10"/>
          <w:lang w:val="fr-CH"/>
        </w:rPr>
      </w:pPr>
    </w:p>
    <w:p w:rsidR="00ED1DE0" w:rsidRDefault="00ED1DE0" w:rsidP="00AC1F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H.</w:t>
      </w:r>
      <w:r w:rsidRPr="00ED1DE0">
        <w:rPr>
          <w:lang w:val="fr-CH"/>
        </w:rPr>
        <w:tab/>
        <w:t>Travaux à mener conjointement avec le Sous-Comité SGH</w:t>
      </w:r>
    </w:p>
    <w:p w:rsidR="00AC1FDE" w:rsidRPr="00AC1FDE" w:rsidRDefault="00AC1FDE" w:rsidP="00AC1FDE">
      <w:pPr>
        <w:pStyle w:val="SingleTxt"/>
        <w:spacing w:after="0" w:line="120" w:lineRule="exact"/>
        <w:rPr>
          <w:sz w:val="10"/>
          <w:lang w:val="fr-CH"/>
        </w:rPr>
      </w:pPr>
    </w:p>
    <w:p w:rsidR="00AC1FDE" w:rsidRPr="00AC1FDE" w:rsidRDefault="00AC1FDE" w:rsidP="00AC1FDE">
      <w:pPr>
        <w:pStyle w:val="SingleTxt"/>
        <w:spacing w:after="0" w:line="120" w:lineRule="exact"/>
        <w:rPr>
          <w:sz w:val="10"/>
          <w:lang w:val="fr-CH"/>
        </w:rPr>
      </w:pPr>
    </w:p>
    <w:p w:rsidR="00ED1DE0" w:rsidRPr="00ED1DE0" w:rsidRDefault="00ED1DE0" w:rsidP="00AC1FDE">
      <w:pPr>
        <w:pStyle w:val="SingleTxt"/>
        <w:rPr>
          <w:lang w:val="fr-CH"/>
        </w:rPr>
      </w:pPr>
      <w:r w:rsidRPr="00ED1DE0">
        <w:rPr>
          <w:i/>
          <w:lang w:val="fr-CH"/>
        </w:rPr>
        <w:t>Document informel</w:t>
      </w:r>
      <w:r w:rsidR="00AC1FDE">
        <w:rPr>
          <w:i/>
          <w:lang w:val="fr-CH"/>
        </w:rPr>
        <w:t> </w:t>
      </w:r>
      <w:r w:rsidRPr="00ED1DE0">
        <w:rPr>
          <w:lang w:val="fr-CH"/>
        </w:rPr>
        <w:t>:</w:t>
      </w:r>
      <w:r w:rsidRPr="00ED1DE0">
        <w:rPr>
          <w:lang w:val="fr-CH"/>
        </w:rPr>
        <w:tab/>
      </w:r>
      <w:r w:rsidRPr="00ED1DE0">
        <w:rPr>
          <w:lang w:val="fr-CH"/>
        </w:rPr>
        <w:tab/>
        <w:t>INF.56 (</w:t>
      </w:r>
      <w:r w:rsidR="00892165">
        <w:rPr>
          <w:lang w:val="fr-CH"/>
        </w:rPr>
        <w:t>s</w:t>
      </w:r>
      <w:r w:rsidRPr="00ED1DE0">
        <w:rPr>
          <w:lang w:val="fr-CH"/>
        </w:rPr>
        <w:t>ecrétariat)</w:t>
      </w:r>
      <w:r w:rsidR="00AC1FDE">
        <w:rPr>
          <w:lang w:val="fr-CH"/>
        </w:rPr>
        <w:t>.</w:t>
      </w:r>
    </w:p>
    <w:p w:rsidR="00ED1DE0" w:rsidRPr="00ED1DE0" w:rsidRDefault="00ED1DE0" w:rsidP="00633201">
      <w:pPr>
        <w:pStyle w:val="SingleTxt"/>
        <w:numPr>
          <w:ilvl w:val="0"/>
          <w:numId w:val="8"/>
        </w:numPr>
        <w:ind w:left="1267" w:firstLine="0"/>
        <w:rPr>
          <w:lang w:val="fr-CH"/>
        </w:rPr>
      </w:pPr>
      <w:r w:rsidRPr="00ED1DE0">
        <w:rPr>
          <w:lang w:val="fr-CH"/>
        </w:rPr>
        <w:t>Le Sous-Comité a noté que les experts de la Belgique, de la France et du Royaume-Uni avaient soumis à la dernière session du Comité une proposition d’activité commune (document informel INF.3) qui avait été acceptée sous réserve de l’approbation des deux sous-comités (ST/SG/AC.10/42, par.</w:t>
      </w:r>
      <w:r w:rsidR="00AC1FDE">
        <w:rPr>
          <w:lang w:val="fr-CH"/>
        </w:rPr>
        <w:t> </w:t>
      </w:r>
      <w:r w:rsidRPr="00ED1DE0">
        <w:rPr>
          <w:lang w:val="fr-CH"/>
        </w:rPr>
        <w:t>16). Les arrangements possibles proposés en vue de la programmation de réunions dans le cadre de cette activité commune (ST/SG/AC.10/42, par.</w:t>
      </w:r>
      <w:r w:rsidR="00AC1FDE">
        <w:rPr>
          <w:lang w:val="fr-CH"/>
        </w:rPr>
        <w:t> </w:t>
      </w:r>
      <w:r w:rsidRPr="00ED1DE0">
        <w:rPr>
          <w:lang w:val="fr-CH"/>
        </w:rPr>
        <w:t>17) avaient aussi été approuvés par le Conseil.</w:t>
      </w:r>
    </w:p>
    <w:p w:rsidR="00ED1DE0" w:rsidRDefault="00ED1DE0" w:rsidP="00633201">
      <w:pPr>
        <w:pStyle w:val="SingleTxt"/>
        <w:numPr>
          <w:ilvl w:val="0"/>
          <w:numId w:val="8"/>
        </w:numPr>
        <w:ind w:left="1267" w:firstLine="0"/>
        <w:rPr>
          <w:lang w:val="fr-CH"/>
        </w:rPr>
      </w:pPr>
      <w:r w:rsidRPr="00ED1DE0">
        <w:rPr>
          <w:lang w:val="fr-CH"/>
        </w:rPr>
        <w:t>Le Sous-Comité a convenu qu’une telle activité commune renforcerait la coopération et que, sous réserve de l’approbation du Sous-Comité SGH, elle pourrait commencer lors de la prochaine session à titre d’essai. Les domaines d’intérêt commun</w:t>
      </w:r>
      <w:r w:rsidR="00FC6BB3">
        <w:rPr>
          <w:lang w:val="fr-CH"/>
        </w:rPr>
        <w:t xml:space="preserve"> </w:t>
      </w:r>
      <w:r w:rsidRPr="00ED1DE0">
        <w:rPr>
          <w:lang w:val="fr-CH"/>
        </w:rPr>
        <w:t>pourraient être les critères de corrosivité, les critères de classification relatifs aux gaz inflammables, les explosifs, le Manuel d’épreuves et de critères, les questions d’étiquetage/placardage et en général tous les documents portant une double cote. Le Sous-Comité a estimé que les sujets pourraient être choisis par les responsables des deux Sous-Comités juste après la date limite pour la soumission des documents. Les responsables pourraient aussi évaluer le temps nécessaire à cette activité commune (qui ne devrait en aucun cas dépasser une journée entière). Les méthodes de travail pourraient également faire l’objet de discussion</w:t>
      </w:r>
      <w:r w:rsidR="00892165">
        <w:rPr>
          <w:lang w:val="fr-CH"/>
        </w:rPr>
        <w:t>s</w:t>
      </w:r>
      <w:r w:rsidRPr="00ED1DE0">
        <w:rPr>
          <w:lang w:val="fr-CH"/>
        </w:rPr>
        <w:t xml:space="preserve"> lors de la première session et être adaptée</w:t>
      </w:r>
      <w:r w:rsidR="00892165">
        <w:rPr>
          <w:lang w:val="fr-CH"/>
        </w:rPr>
        <w:t>s</w:t>
      </w:r>
      <w:r w:rsidRPr="00ED1DE0">
        <w:rPr>
          <w:lang w:val="fr-CH"/>
        </w:rPr>
        <w:t xml:space="preserve"> ensuite en cas de besoin à la lumière de l’expérience acquise.</w:t>
      </w:r>
    </w:p>
    <w:p w:rsidR="00AC1FDE" w:rsidRPr="00AC1FDE" w:rsidRDefault="00AC1FDE" w:rsidP="00AC1FDE">
      <w:pPr>
        <w:pStyle w:val="SingleTxt"/>
        <w:spacing w:after="0" w:line="120" w:lineRule="exact"/>
        <w:rPr>
          <w:sz w:val="10"/>
          <w:lang w:val="fr-CH"/>
        </w:rPr>
      </w:pPr>
    </w:p>
    <w:p w:rsidR="00AC1FDE" w:rsidRPr="00AC1FDE" w:rsidRDefault="00AC1FDE" w:rsidP="00AC1FDE">
      <w:pPr>
        <w:pStyle w:val="SingleTxt"/>
        <w:spacing w:after="0" w:line="120" w:lineRule="exact"/>
        <w:rPr>
          <w:sz w:val="10"/>
          <w:lang w:val="fr-CH"/>
        </w:rPr>
      </w:pPr>
    </w:p>
    <w:p w:rsidR="00ED1DE0" w:rsidRDefault="00ED1DE0" w:rsidP="00AC1FD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I.</w:t>
      </w:r>
      <w:r w:rsidRPr="00ED1DE0">
        <w:rPr>
          <w:lang w:val="fr-CH"/>
        </w:rPr>
        <w:tab/>
        <w:t>Questions diverses</w:t>
      </w:r>
    </w:p>
    <w:p w:rsidR="00AC1FDE" w:rsidRPr="00AC1FDE" w:rsidRDefault="00AC1FDE" w:rsidP="00AC1FDE">
      <w:pPr>
        <w:pStyle w:val="SingleTxt"/>
        <w:spacing w:after="0" w:line="120" w:lineRule="exact"/>
        <w:rPr>
          <w:sz w:val="10"/>
          <w:lang w:val="fr-CH"/>
        </w:rPr>
      </w:pPr>
    </w:p>
    <w:p w:rsidR="00AC1FDE" w:rsidRPr="00AC1FDE" w:rsidRDefault="00AC1FDE" w:rsidP="00AC1FDE">
      <w:pPr>
        <w:pStyle w:val="SingleTxt"/>
        <w:spacing w:after="0" w:line="120" w:lineRule="exact"/>
        <w:rPr>
          <w:sz w:val="10"/>
          <w:lang w:val="fr-CH"/>
        </w:rPr>
      </w:pPr>
    </w:p>
    <w:p w:rsidR="00ED1DE0" w:rsidRDefault="00ED1DE0" w:rsidP="00AC1F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1.</w:t>
      </w:r>
      <w:r w:rsidRPr="00ED1DE0">
        <w:rPr>
          <w:lang w:val="fr-CH"/>
        </w:rPr>
        <w:tab/>
        <w:t xml:space="preserve">Interdiction d’utiliser, lors du transport, des pictogrammes du SGH non liés </w:t>
      </w:r>
      <w:r w:rsidR="00AC1FDE">
        <w:rPr>
          <w:lang w:val="fr-CH"/>
        </w:rPr>
        <w:br/>
      </w:r>
      <w:r w:rsidRPr="00ED1DE0">
        <w:rPr>
          <w:lang w:val="fr-CH"/>
        </w:rPr>
        <w:t>aux transports lorsqu’ils ne font pas partie d’une étiquette SGH complète</w:t>
      </w:r>
    </w:p>
    <w:p w:rsidR="00AC1FDE" w:rsidRPr="00AC1FDE" w:rsidRDefault="00AC1FDE" w:rsidP="00AC1FDE">
      <w:pPr>
        <w:pStyle w:val="SingleTxt"/>
        <w:spacing w:after="0" w:line="120" w:lineRule="exact"/>
        <w:rPr>
          <w:sz w:val="10"/>
          <w:lang w:val="fr-CH"/>
        </w:rPr>
      </w:pPr>
    </w:p>
    <w:p w:rsidR="00ED1DE0" w:rsidRPr="00ED1DE0" w:rsidRDefault="00ED1DE0" w:rsidP="00AC1FDE">
      <w:pPr>
        <w:pStyle w:val="SingleTxt"/>
        <w:rPr>
          <w:lang w:val="fr-CH"/>
        </w:rPr>
      </w:pPr>
      <w:r w:rsidRPr="00ED1DE0">
        <w:rPr>
          <w:i/>
          <w:lang w:val="fr-CH"/>
        </w:rPr>
        <w:t>Document</w:t>
      </w:r>
      <w:r w:rsidR="00AC1FDE">
        <w:rPr>
          <w:i/>
          <w:lang w:val="fr-CH"/>
        </w:rPr>
        <w:t> </w:t>
      </w:r>
      <w:r w:rsidR="00AC1FDE">
        <w:rPr>
          <w:lang w:val="fr-CH"/>
        </w:rPr>
        <w:t>:</w:t>
      </w:r>
      <w:r w:rsidR="00AC1FDE">
        <w:rPr>
          <w:lang w:val="fr-CH"/>
        </w:rPr>
        <w:tab/>
      </w:r>
      <w:r w:rsidR="00AC1FDE">
        <w:rPr>
          <w:lang w:val="fr-CH"/>
        </w:rPr>
        <w:tab/>
      </w:r>
      <w:r w:rsidR="00AC1FDE">
        <w:rPr>
          <w:lang w:val="fr-CH"/>
        </w:rPr>
        <w:tab/>
      </w:r>
      <w:r w:rsidRPr="00ED1DE0">
        <w:rPr>
          <w:lang w:val="fr-CH"/>
        </w:rPr>
        <w:t>ST/SG/AC.10/C.3/2015/23 (DGAC)</w:t>
      </w:r>
      <w:r w:rsidR="00AC1FDE">
        <w:rPr>
          <w:lang w:val="fr-CH"/>
        </w:rPr>
        <w:t>.</w:t>
      </w:r>
    </w:p>
    <w:p w:rsidR="00ED1DE0" w:rsidRDefault="00ED1DE0" w:rsidP="00633201">
      <w:pPr>
        <w:pStyle w:val="SingleTxt"/>
        <w:numPr>
          <w:ilvl w:val="0"/>
          <w:numId w:val="8"/>
        </w:numPr>
        <w:ind w:left="1267" w:firstLine="0"/>
        <w:rPr>
          <w:lang w:val="fr-CH"/>
        </w:rPr>
      </w:pPr>
      <w:r w:rsidRPr="00ED1DE0">
        <w:rPr>
          <w:lang w:val="fr-CH"/>
        </w:rPr>
        <w:t>Plusieurs experts ont apporté leur appui à la proposition du DGAC, ou au moins à son principe, car il serait hautement souhaitable d’éviter un placardage excessif des engins de transport susceptible d’induire en erreur les services d’intervention d’urgence. Plusieurs experts ont toutefois estimé qu’il ne serait pas approprié d’introduire dans le Règlement type des dispositions qui pourraient entrer en conflit avec les prescriptions légales d’autres secteurs. Ce problème pourrait être résolu par l’introduction d’un NOTA dans le texte du SGH. Il a également été indiqué que le problème soulevé pourrait être lié à des pratiques de mise en vigueur incorrectes et qu’il pourrait être utile d’introduire dans le SGH des directives applicables aux engins de transport analogues à celles qui figurent à l’annexe 7 en ce qui concerne l’étiquetage des emballages.</w:t>
      </w:r>
    </w:p>
    <w:p w:rsidR="00AC1FDE" w:rsidRPr="00AC1FDE" w:rsidRDefault="00AC1FDE" w:rsidP="00AC1FDE">
      <w:pPr>
        <w:pStyle w:val="SingleTxt"/>
        <w:spacing w:after="0" w:line="120" w:lineRule="exact"/>
        <w:rPr>
          <w:sz w:val="10"/>
          <w:lang w:val="fr-CH"/>
        </w:rPr>
      </w:pPr>
    </w:p>
    <w:p w:rsidR="00ED1DE0" w:rsidRDefault="00ED1DE0" w:rsidP="00AC1F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2.</w:t>
      </w:r>
      <w:r w:rsidRPr="00ED1DE0">
        <w:rPr>
          <w:lang w:val="fr-CH"/>
        </w:rPr>
        <w:tab/>
        <w:t xml:space="preserve">Étiquettes SGH utilisées pour le transport sur des emballages combinés </w:t>
      </w:r>
      <w:r w:rsidR="00AC1FDE">
        <w:rPr>
          <w:lang w:val="fr-CH"/>
        </w:rPr>
        <w:br/>
      </w:r>
      <w:r w:rsidRPr="00ED1DE0">
        <w:rPr>
          <w:lang w:val="fr-CH"/>
        </w:rPr>
        <w:t xml:space="preserve">contenant des marchandises diverses non visées par les règlements </w:t>
      </w:r>
      <w:r w:rsidR="001E53C7">
        <w:rPr>
          <w:lang w:val="fr-CH"/>
        </w:rPr>
        <w:br/>
      </w:r>
      <w:r w:rsidRPr="00ED1DE0">
        <w:rPr>
          <w:lang w:val="fr-CH"/>
        </w:rPr>
        <w:t>de transport des marchandises dangereuses</w:t>
      </w:r>
    </w:p>
    <w:p w:rsidR="00AC1FDE" w:rsidRPr="00AC1FDE" w:rsidRDefault="00AC1FDE" w:rsidP="00AC1FDE">
      <w:pPr>
        <w:pStyle w:val="SingleTxt"/>
        <w:spacing w:after="0" w:line="120" w:lineRule="exact"/>
        <w:rPr>
          <w:sz w:val="10"/>
          <w:lang w:val="fr-CH"/>
        </w:rPr>
      </w:pPr>
    </w:p>
    <w:p w:rsidR="00ED1DE0" w:rsidRPr="00ED1DE0" w:rsidRDefault="00ED1DE0" w:rsidP="00ED1DE0">
      <w:pPr>
        <w:pStyle w:val="SingleTxt"/>
        <w:rPr>
          <w:lang w:val="fr-CH"/>
        </w:rPr>
      </w:pPr>
      <w:r w:rsidRPr="00ED1DE0">
        <w:rPr>
          <w:i/>
          <w:lang w:val="fr-CH"/>
        </w:rPr>
        <w:t>Document informel</w:t>
      </w:r>
      <w:r w:rsidR="001E53C7">
        <w:rPr>
          <w:i/>
          <w:lang w:val="fr-CH"/>
        </w:rPr>
        <w:t> </w:t>
      </w:r>
      <w:r w:rsidRPr="00ED1DE0">
        <w:rPr>
          <w:lang w:val="fr-CH"/>
        </w:rPr>
        <w:t>:</w:t>
      </w:r>
      <w:r w:rsidRPr="00ED1DE0">
        <w:rPr>
          <w:lang w:val="fr-CH"/>
        </w:rPr>
        <w:tab/>
      </w:r>
      <w:r w:rsidRPr="00ED1DE0">
        <w:rPr>
          <w:lang w:val="fr-CH"/>
        </w:rPr>
        <w:tab/>
        <w:t>INF.17 (DGAC)</w:t>
      </w:r>
      <w:r w:rsidR="001E53C7">
        <w:rPr>
          <w:lang w:val="fr-CH"/>
        </w:rPr>
        <w:t>.</w:t>
      </w:r>
    </w:p>
    <w:p w:rsidR="00ED1DE0" w:rsidRDefault="00ED1DE0" w:rsidP="00633201">
      <w:pPr>
        <w:pStyle w:val="SingleTxt"/>
        <w:numPr>
          <w:ilvl w:val="0"/>
          <w:numId w:val="8"/>
        </w:numPr>
        <w:ind w:left="1267" w:firstLine="0"/>
        <w:rPr>
          <w:lang w:val="fr-CH"/>
        </w:rPr>
      </w:pPr>
      <w:r w:rsidRPr="00ED1DE0">
        <w:rPr>
          <w:lang w:val="fr-CH"/>
        </w:rPr>
        <w:t xml:space="preserve">Le Sous-Comité a noté que le DGAC avait soumis une proposition au Sous-Comité SGH à ce </w:t>
      </w:r>
      <w:r w:rsidR="001E53C7">
        <w:rPr>
          <w:lang w:val="fr-CH"/>
        </w:rPr>
        <w:t>sujet (ST/SG/AC.10/C.4/2015/4).</w:t>
      </w:r>
    </w:p>
    <w:p w:rsidR="001E53C7" w:rsidRPr="001E53C7" w:rsidRDefault="001E53C7" w:rsidP="001E53C7">
      <w:pPr>
        <w:pStyle w:val="SingleTxt"/>
        <w:spacing w:after="0" w:line="120" w:lineRule="exact"/>
        <w:rPr>
          <w:sz w:val="10"/>
          <w:lang w:val="fr-CH"/>
        </w:rPr>
      </w:pPr>
    </w:p>
    <w:p w:rsidR="001E53C7" w:rsidRPr="001E53C7" w:rsidRDefault="001E53C7" w:rsidP="001E53C7">
      <w:pPr>
        <w:pStyle w:val="SingleTxt"/>
        <w:spacing w:after="0" w:line="120" w:lineRule="exact"/>
        <w:rPr>
          <w:sz w:val="10"/>
          <w:u w:val="single"/>
          <w:lang w:val="fr-CH"/>
        </w:rPr>
      </w:pPr>
    </w:p>
    <w:p w:rsidR="00ED1DE0" w:rsidRDefault="00ED1DE0" w:rsidP="001E53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XII.</w:t>
      </w:r>
      <w:r w:rsidRPr="00ED1DE0">
        <w:rPr>
          <w:lang w:val="fr-CH"/>
        </w:rPr>
        <w:tab/>
        <w:t xml:space="preserve">Questions diverses </w:t>
      </w:r>
      <w:r w:rsidR="001E53C7">
        <w:rPr>
          <w:lang w:val="fr-CH"/>
        </w:rPr>
        <w:br/>
      </w:r>
      <w:r w:rsidRPr="00ED1DE0">
        <w:rPr>
          <w:lang w:val="fr-CH"/>
        </w:rPr>
        <w:t>(point 11 de l’ordre du jour)</w:t>
      </w:r>
    </w:p>
    <w:p w:rsidR="001E53C7" w:rsidRPr="001E53C7" w:rsidRDefault="001E53C7" w:rsidP="001E53C7">
      <w:pPr>
        <w:pStyle w:val="SingleTxt"/>
        <w:spacing w:after="0" w:line="120" w:lineRule="exact"/>
        <w:rPr>
          <w:sz w:val="10"/>
          <w:lang w:val="fr-CH"/>
        </w:rPr>
      </w:pPr>
    </w:p>
    <w:p w:rsidR="001E53C7" w:rsidRPr="001E53C7" w:rsidRDefault="001E53C7" w:rsidP="001E53C7">
      <w:pPr>
        <w:pStyle w:val="SingleTxt"/>
        <w:spacing w:after="0" w:line="120" w:lineRule="exact"/>
        <w:rPr>
          <w:sz w:val="10"/>
          <w:lang w:val="fr-CH"/>
        </w:rPr>
      </w:pPr>
    </w:p>
    <w:p w:rsidR="00ED1DE0" w:rsidRDefault="00ED1DE0" w:rsidP="001E53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A.</w:t>
      </w:r>
      <w:r w:rsidRPr="00ED1DE0">
        <w:rPr>
          <w:lang w:val="fr-CH"/>
        </w:rPr>
        <w:tab/>
        <w:t>Résolution du Conseil économique et social</w:t>
      </w:r>
    </w:p>
    <w:p w:rsidR="001E53C7" w:rsidRPr="001E53C7" w:rsidRDefault="001E53C7" w:rsidP="001E53C7">
      <w:pPr>
        <w:pStyle w:val="SingleTxt"/>
        <w:spacing w:after="0" w:line="120" w:lineRule="exact"/>
        <w:rPr>
          <w:sz w:val="10"/>
          <w:lang w:val="fr-CH"/>
        </w:rPr>
      </w:pPr>
    </w:p>
    <w:p w:rsidR="001E53C7" w:rsidRPr="001E53C7" w:rsidRDefault="001E53C7" w:rsidP="001E53C7">
      <w:pPr>
        <w:pStyle w:val="SingleTxt"/>
        <w:spacing w:after="0" w:line="120" w:lineRule="exact"/>
        <w:rPr>
          <w:sz w:val="10"/>
          <w:lang w:val="fr-CH"/>
        </w:rPr>
      </w:pPr>
    </w:p>
    <w:p w:rsidR="00ED1DE0" w:rsidRPr="00ED1DE0" w:rsidRDefault="00ED1DE0" w:rsidP="00633201">
      <w:pPr>
        <w:pStyle w:val="SingleTxt"/>
        <w:numPr>
          <w:ilvl w:val="0"/>
          <w:numId w:val="8"/>
        </w:numPr>
        <w:ind w:left="1267" w:firstLine="0"/>
        <w:rPr>
          <w:lang w:val="fr-CH"/>
        </w:rPr>
      </w:pPr>
      <w:r w:rsidRPr="00ED1DE0">
        <w:rPr>
          <w:lang w:val="fr-CH"/>
        </w:rPr>
        <w:t>Le Sous-Comité a été informé que le Conseil économique et social avait adopté le 8</w:t>
      </w:r>
      <w:r w:rsidR="001E53C7">
        <w:rPr>
          <w:lang w:val="fr-CH"/>
        </w:rPr>
        <w:t> </w:t>
      </w:r>
      <w:r w:rsidRPr="00ED1DE0">
        <w:rPr>
          <w:lang w:val="fr-CH"/>
        </w:rPr>
        <w:t>juin 2015 la résolution que le Comité avait p</w:t>
      </w:r>
      <w:r w:rsidR="0001428B">
        <w:rPr>
          <w:lang w:val="fr-CH"/>
        </w:rPr>
        <w:t>réparé</w:t>
      </w:r>
      <w:r w:rsidR="00466E01">
        <w:rPr>
          <w:lang w:val="fr-CH"/>
        </w:rPr>
        <w:t>e</w:t>
      </w:r>
      <w:r w:rsidR="0001428B">
        <w:rPr>
          <w:lang w:val="fr-CH"/>
        </w:rPr>
        <w:t xml:space="preserve"> à sa septième session le </w:t>
      </w:r>
      <w:r w:rsidRPr="00ED1DE0">
        <w:rPr>
          <w:lang w:val="fr-CH"/>
        </w:rPr>
        <w:t>12</w:t>
      </w:r>
      <w:r w:rsidR="001E53C7">
        <w:rPr>
          <w:lang w:val="fr-CH"/>
        </w:rPr>
        <w:t> </w:t>
      </w:r>
      <w:r w:rsidRPr="00ED1DE0">
        <w:rPr>
          <w:lang w:val="fr-CH"/>
        </w:rPr>
        <w:t>décembre 2014 (telle que reproduite dans l’annexe IV du rapport ST/SG/AC.10/42 et dans la première partie du rapport du Secrétaire général au Conseil économique et social E/2015/66).</w:t>
      </w:r>
    </w:p>
    <w:p w:rsidR="00ED1DE0" w:rsidRDefault="00ED1DE0" w:rsidP="00633201">
      <w:pPr>
        <w:pStyle w:val="SingleTxt"/>
        <w:numPr>
          <w:ilvl w:val="0"/>
          <w:numId w:val="8"/>
        </w:numPr>
        <w:ind w:left="1267" w:firstLine="0"/>
        <w:rPr>
          <w:lang w:val="fr-CH"/>
        </w:rPr>
      </w:pPr>
      <w:r w:rsidRPr="00ED1DE0">
        <w:rPr>
          <w:lang w:val="fr-CH"/>
        </w:rPr>
        <w:t>Le Sous-Comité a remercié le secrétariat d’avoir déjà publié en français et en anglais la dix-neuvième édition révisée des Recommandations relatives au transport des marchandises dangereuses ainsi que la sixième édition révisée du SGH.</w:t>
      </w:r>
    </w:p>
    <w:p w:rsidR="001E53C7" w:rsidRPr="001E53C7" w:rsidRDefault="001E53C7" w:rsidP="001E53C7">
      <w:pPr>
        <w:pStyle w:val="SingleTxt"/>
        <w:spacing w:after="0" w:line="120" w:lineRule="exact"/>
        <w:rPr>
          <w:sz w:val="10"/>
          <w:lang w:val="fr-CH"/>
        </w:rPr>
      </w:pPr>
    </w:p>
    <w:p w:rsidR="001E53C7" w:rsidRPr="001E53C7" w:rsidRDefault="001E53C7" w:rsidP="001E53C7">
      <w:pPr>
        <w:pStyle w:val="SingleTxt"/>
        <w:spacing w:after="0" w:line="120" w:lineRule="exact"/>
        <w:rPr>
          <w:sz w:val="10"/>
          <w:lang w:val="fr-CH"/>
        </w:rPr>
      </w:pPr>
    </w:p>
    <w:p w:rsidR="00ED1DE0" w:rsidRDefault="00ED1DE0" w:rsidP="001E53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B.</w:t>
      </w:r>
      <w:r w:rsidRPr="00ED1DE0">
        <w:rPr>
          <w:lang w:val="fr-CH"/>
        </w:rPr>
        <w:tab/>
        <w:t xml:space="preserve">Évaluation de l’impact régional et global des règlements de la </w:t>
      </w:r>
      <w:r w:rsidRPr="001E53C7">
        <w:rPr>
          <w:spacing w:val="0"/>
          <w:lang w:val="fr-CH"/>
        </w:rPr>
        <w:t>Commission économique pour l’Europe et des Recommandations</w:t>
      </w:r>
      <w:r w:rsidRPr="00ED1DE0">
        <w:rPr>
          <w:lang w:val="fr-CH"/>
        </w:rPr>
        <w:t xml:space="preserve"> </w:t>
      </w:r>
      <w:r w:rsidR="001E53C7">
        <w:rPr>
          <w:lang w:val="fr-CH"/>
        </w:rPr>
        <w:br/>
      </w:r>
      <w:r w:rsidRPr="00ED1DE0">
        <w:rPr>
          <w:lang w:val="fr-CH"/>
        </w:rPr>
        <w:t>de l’ONU relatifs au transport des marchandises dangereuses</w:t>
      </w:r>
    </w:p>
    <w:p w:rsidR="001E53C7" w:rsidRPr="001E53C7" w:rsidRDefault="001E53C7" w:rsidP="001E53C7">
      <w:pPr>
        <w:pStyle w:val="SingleTxt"/>
        <w:spacing w:after="0" w:line="120" w:lineRule="exact"/>
        <w:rPr>
          <w:sz w:val="10"/>
          <w:lang w:val="fr-CH"/>
        </w:rPr>
      </w:pPr>
    </w:p>
    <w:p w:rsidR="001E53C7" w:rsidRPr="001E53C7" w:rsidRDefault="001E53C7" w:rsidP="001E53C7">
      <w:pPr>
        <w:pStyle w:val="SingleTxt"/>
        <w:spacing w:after="0" w:line="120" w:lineRule="exact"/>
        <w:rPr>
          <w:sz w:val="10"/>
          <w:lang w:val="fr-CH"/>
        </w:rPr>
      </w:pPr>
    </w:p>
    <w:p w:rsidR="00ED1DE0" w:rsidRPr="00ED1DE0" w:rsidRDefault="00ED1DE0" w:rsidP="007B34F1">
      <w:pPr>
        <w:pStyle w:val="SingleTxt"/>
        <w:rPr>
          <w:lang w:val="fr-CH"/>
        </w:rPr>
      </w:pPr>
      <w:r w:rsidRPr="00ED1DE0">
        <w:rPr>
          <w:i/>
          <w:lang w:val="fr-CH"/>
        </w:rPr>
        <w:t>Document informel</w:t>
      </w:r>
      <w:r w:rsidR="001E53C7">
        <w:rPr>
          <w:i/>
          <w:lang w:val="fr-CH"/>
        </w:rPr>
        <w:t> </w:t>
      </w:r>
      <w:r w:rsidRPr="00ED1DE0">
        <w:rPr>
          <w:lang w:val="fr-CH"/>
        </w:rPr>
        <w:t>:</w:t>
      </w:r>
      <w:r w:rsidRPr="00ED1DE0">
        <w:rPr>
          <w:lang w:val="fr-CH"/>
        </w:rPr>
        <w:tab/>
      </w:r>
      <w:r w:rsidRPr="00ED1DE0">
        <w:rPr>
          <w:lang w:val="fr-CH"/>
        </w:rPr>
        <w:tab/>
        <w:t>INF.44 (</w:t>
      </w:r>
      <w:r w:rsidR="00466E01">
        <w:rPr>
          <w:lang w:val="fr-CH"/>
        </w:rPr>
        <w:t>s</w:t>
      </w:r>
      <w:r w:rsidRPr="00ED1DE0">
        <w:rPr>
          <w:lang w:val="fr-CH"/>
        </w:rPr>
        <w:t>ecrétariat)</w:t>
      </w:r>
      <w:r w:rsidR="001E53C7">
        <w:rPr>
          <w:lang w:val="fr-CH"/>
        </w:rPr>
        <w:t>.</w:t>
      </w:r>
    </w:p>
    <w:p w:rsidR="00ED1DE0" w:rsidRPr="00ED1DE0" w:rsidRDefault="00ED1DE0" w:rsidP="00633201">
      <w:pPr>
        <w:pStyle w:val="SingleTxt"/>
        <w:numPr>
          <w:ilvl w:val="0"/>
          <w:numId w:val="8"/>
        </w:numPr>
        <w:ind w:left="1267" w:firstLine="0"/>
        <w:rPr>
          <w:lang w:val="fr-CH"/>
        </w:rPr>
      </w:pPr>
      <w:r w:rsidRPr="00ED1DE0">
        <w:rPr>
          <w:lang w:val="fr-CH"/>
        </w:rPr>
        <w:t>Le Sous-Comité a noté que le secrétariat, dans le cadre de ses activités d’évaluation de la pertinence, de l’efficacité et de l’impact de ses différents programmes de travail, avait choisi pour 2015 l’évaluation de ses activités relatives au transport des marchandises dangereuses, incluant les activités propres à la Commission économique pour l’Europe mais aussi celles du Sous-Comité, puisque les services de secrétariat ont été fournis par le secrétariat de la CEE. Le secrétariat avait recruté un consultant, M.</w:t>
      </w:r>
      <w:r w:rsidR="0001428B">
        <w:rPr>
          <w:lang w:val="fr-CH"/>
        </w:rPr>
        <w:t> </w:t>
      </w:r>
      <w:r w:rsidRPr="00ED1DE0">
        <w:rPr>
          <w:lang w:val="fr-CH"/>
        </w:rPr>
        <w:t>Robert Martin Castle, ancien membre de la délégation du Royaume-Uni, qui devra rendre son rapport pour la fin 2015.</w:t>
      </w:r>
    </w:p>
    <w:p w:rsidR="00ED1DE0" w:rsidRDefault="00ED1DE0" w:rsidP="00633201">
      <w:pPr>
        <w:pStyle w:val="SingleTxt"/>
        <w:numPr>
          <w:ilvl w:val="0"/>
          <w:numId w:val="8"/>
        </w:numPr>
        <w:ind w:left="1267" w:firstLine="0"/>
        <w:rPr>
          <w:lang w:val="fr-CH"/>
        </w:rPr>
      </w:pPr>
      <w:r w:rsidRPr="00ED1DE0">
        <w:rPr>
          <w:lang w:val="fr-CH"/>
        </w:rPr>
        <w:t>Tous les membres et les observateurs du Sous-Comité, ainsi que les représentants des organisations gouvernementales et non-gouvernementales, ont été invités à participer à l’évaluation en répondant aux questionnaires qui seront élaborés par le consultant et en fournissant, dans la mesure du possible, des statistiques ou des données permettant d’évaluer l’impact effectif des Recommandations de l’ONU.</w:t>
      </w:r>
    </w:p>
    <w:p w:rsidR="001E53C7" w:rsidRPr="001E53C7" w:rsidRDefault="001E53C7" w:rsidP="001E53C7">
      <w:pPr>
        <w:pStyle w:val="SingleTxt"/>
        <w:spacing w:after="0" w:line="120" w:lineRule="exact"/>
        <w:rPr>
          <w:sz w:val="10"/>
          <w:lang w:val="fr-CH"/>
        </w:rPr>
      </w:pPr>
    </w:p>
    <w:p w:rsidR="001E53C7" w:rsidRPr="001E53C7" w:rsidRDefault="001E53C7" w:rsidP="001E53C7">
      <w:pPr>
        <w:pStyle w:val="SingleTxt"/>
        <w:spacing w:after="0" w:line="120" w:lineRule="exact"/>
        <w:rPr>
          <w:sz w:val="10"/>
          <w:lang w:val="fr-CH"/>
        </w:rPr>
      </w:pPr>
    </w:p>
    <w:p w:rsidR="00ED1DE0" w:rsidRDefault="00ED1DE0" w:rsidP="001E53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C.</w:t>
      </w:r>
      <w:r w:rsidRPr="00ED1DE0">
        <w:rPr>
          <w:lang w:val="fr-CH"/>
        </w:rPr>
        <w:tab/>
        <w:t xml:space="preserve">Propositions de corrections à la </w:t>
      </w:r>
      <w:r w:rsidR="007B34F1">
        <w:rPr>
          <w:lang w:val="fr-CH"/>
        </w:rPr>
        <w:t>dix-neuvième</w:t>
      </w:r>
      <w:r w:rsidRPr="00ED1DE0">
        <w:rPr>
          <w:lang w:val="fr-CH"/>
        </w:rPr>
        <w:t xml:space="preserve"> édition révisée </w:t>
      </w:r>
      <w:r w:rsidR="001E53C7">
        <w:rPr>
          <w:lang w:val="fr-CH"/>
        </w:rPr>
        <w:br/>
      </w:r>
      <w:r w:rsidRPr="00ED1DE0">
        <w:rPr>
          <w:lang w:val="fr-CH"/>
        </w:rPr>
        <w:t>des Recommandations relatives au transport des marchandises dangereuses, Règlement type</w:t>
      </w:r>
    </w:p>
    <w:p w:rsidR="001E53C7" w:rsidRPr="001E53C7" w:rsidRDefault="001E53C7" w:rsidP="001E53C7">
      <w:pPr>
        <w:pStyle w:val="SingleTxt"/>
        <w:spacing w:after="0" w:line="120" w:lineRule="exact"/>
        <w:rPr>
          <w:sz w:val="10"/>
          <w:lang w:val="fr-CH"/>
        </w:rPr>
      </w:pPr>
    </w:p>
    <w:p w:rsidR="001E53C7" w:rsidRPr="001E53C7" w:rsidRDefault="001E53C7" w:rsidP="001E53C7">
      <w:pPr>
        <w:pStyle w:val="SingleTxt"/>
        <w:spacing w:after="0" w:line="120" w:lineRule="exact"/>
        <w:rPr>
          <w:sz w:val="10"/>
          <w:lang w:val="fr-CH"/>
        </w:rPr>
      </w:pPr>
    </w:p>
    <w:p w:rsidR="00ED1DE0" w:rsidRPr="00ED1DE0" w:rsidRDefault="00ED1DE0" w:rsidP="007B34F1">
      <w:pPr>
        <w:pStyle w:val="SingleTxt"/>
        <w:rPr>
          <w:i/>
          <w:lang w:val="fr-CH"/>
        </w:rPr>
      </w:pPr>
      <w:r w:rsidRPr="00ED1DE0">
        <w:rPr>
          <w:i/>
          <w:lang w:val="fr-CH"/>
        </w:rPr>
        <w:t>Document</w:t>
      </w:r>
      <w:r w:rsidR="007B34F1">
        <w:rPr>
          <w:i/>
          <w:lang w:val="fr-CH"/>
        </w:rPr>
        <w:t>s</w:t>
      </w:r>
      <w:r w:rsidRPr="00ED1DE0">
        <w:rPr>
          <w:i/>
          <w:lang w:val="fr-CH"/>
        </w:rPr>
        <w:t xml:space="preserve"> informel</w:t>
      </w:r>
      <w:r w:rsidR="007B34F1">
        <w:rPr>
          <w:i/>
          <w:lang w:val="fr-CH"/>
        </w:rPr>
        <w:t>s</w:t>
      </w:r>
      <w:r w:rsidR="001E53C7">
        <w:rPr>
          <w:i/>
          <w:lang w:val="fr-CH"/>
        </w:rPr>
        <w:t> </w:t>
      </w:r>
      <w:r w:rsidRPr="00680974">
        <w:rPr>
          <w:lang w:val="fr-CH"/>
        </w:rPr>
        <w:t>:</w:t>
      </w:r>
      <w:r w:rsidRPr="00ED1DE0">
        <w:rPr>
          <w:i/>
          <w:lang w:val="fr-CH"/>
        </w:rPr>
        <w:tab/>
      </w:r>
      <w:r w:rsidRPr="00ED1DE0">
        <w:rPr>
          <w:lang w:val="fr-CH"/>
        </w:rPr>
        <w:t>INF.4/Rev.1 et INF.57 (</w:t>
      </w:r>
      <w:r w:rsidR="007B34F1">
        <w:rPr>
          <w:lang w:val="fr-CH"/>
        </w:rPr>
        <w:t>s</w:t>
      </w:r>
      <w:r w:rsidRPr="00ED1DE0">
        <w:rPr>
          <w:lang w:val="fr-CH"/>
        </w:rPr>
        <w:t>ecrétariat)</w:t>
      </w:r>
      <w:r w:rsidR="001E53C7">
        <w:rPr>
          <w:lang w:val="fr-CH"/>
        </w:rPr>
        <w:t>.</w:t>
      </w:r>
    </w:p>
    <w:p w:rsidR="00ED1DE0" w:rsidRDefault="00ED1DE0" w:rsidP="00633201">
      <w:pPr>
        <w:pStyle w:val="SingleTxt"/>
        <w:numPr>
          <w:ilvl w:val="0"/>
          <w:numId w:val="8"/>
        </w:numPr>
        <w:ind w:left="1267" w:firstLine="0"/>
        <w:rPr>
          <w:lang w:val="fr-CH"/>
        </w:rPr>
      </w:pPr>
      <w:r w:rsidRPr="00ED1DE0">
        <w:rPr>
          <w:lang w:val="fr-CH"/>
        </w:rPr>
        <w:t>Le Sous-Comité a approuvé les corrections pro</w:t>
      </w:r>
      <w:r w:rsidR="001E53C7">
        <w:rPr>
          <w:lang w:val="fr-CH"/>
        </w:rPr>
        <w:t>posées par le secrétariat (voir </w:t>
      </w:r>
      <w:r w:rsidRPr="00ED1DE0">
        <w:rPr>
          <w:lang w:val="fr-CH"/>
        </w:rPr>
        <w:t>annexe 3).</w:t>
      </w:r>
    </w:p>
    <w:p w:rsidR="001E53C7" w:rsidRPr="001E53C7" w:rsidRDefault="001E53C7" w:rsidP="001E53C7">
      <w:pPr>
        <w:pStyle w:val="SingleTxt"/>
        <w:spacing w:after="0" w:line="120" w:lineRule="exact"/>
        <w:rPr>
          <w:sz w:val="10"/>
          <w:lang w:val="fr-CH"/>
        </w:rPr>
      </w:pPr>
    </w:p>
    <w:p w:rsidR="001E53C7" w:rsidRPr="001E53C7" w:rsidRDefault="001E53C7" w:rsidP="001E53C7">
      <w:pPr>
        <w:pStyle w:val="SingleTxt"/>
        <w:spacing w:after="0" w:line="120" w:lineRule="exact"/>
        <w:rPr>
          <w:sz w:val="10"/>
          <w:lang w:val="fr-CH"/>
        </w:rPr>
      </w:pPr>
    </w:p>
    <w:p w:rsidR="00ED1DE0" w:rsidRDefault="00ED1DE0" w:rsidP="001E53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D.</w:t>
      </w:r>
      <w:r w:rsidRPr="00ED1DE0">
        <w:rPr>
          <w:lang w:val="fr-CH"/>
        </w:rPr>
        <w:tab/>
        <w:t>Hommage à M.</w:t>
      </w:r>
      <w:r w:rsidR="001E53C7">
        <w:rPr>
          <w:lang w:val="fr-CH"/>
        </w:rPr>
        <w:t> </w:t>
      </w:r>
      <w:r w:rsidRPr="00ED1DE0">
        <w:rPr>
          <w:lang w:val="fr-CH"/>
        </w:rPr>
        <w:t>P.</w:t>
      </w:r>
      <w:r w:rsidR="001E53C7">
        <w:rPr>
          <w:lang w:val="fr-CH"/>
        </w:rPr>
        <w:t> </w:t>
      </w:r>
      <w:r w:rsidRPr="00ED1DE0">
        <w:rPr>
          <w:lang w:val="fr-CH"/>
        </w:rPr>
        <w:t>Huurdeman</w:t>
      </w:r>
    </w:p>
    <w:p w:rsidR="001E53C7" w:rsidRPr="001E53C7" w:rsidRDefault="001E53C7" w:rsidP="001E53C7">
      <w:pPr>
        <w:pStyle w:val="SingleTxt"/>
        <w:spacing w:after="0" w:line="120" w:lineRule="exact"/>
        <w:rPr>
          <w:sz w:val="10"/>
          <w:lang w:val="fr-CH"/>
        </w:rPr>
      </w:pPr>
    </w:p>
    <w:p w:rsidR="001E53C7" w:rsidRPr="001E53C7" w:rsidRDefault="001E53C7" w:rsidP="001E53C7">
      <w:pPr>
        <w:pStyle w:val="SingleTxt"/>
        <w:spacing w:after="0" w:line="120" w:lineRule="exact"/>
        <w:rPr>
          <w:sz w:val="10"/>
          <w:lang w:val="fr-CH"/>
        </w:rPr>
      </w:pPr>
    </w:p>
    <w:p w:rsidR="00ED1DE0" w:rsidRDefault="00ED1DE0" w:rsidP="00633201">
      <w:pPr>
        <w:pStyle w:val="SingleTxt"/>
        <w:numPr>
          <w:ilvl w:val="0"/>
          <w:numId w:val="8"/>
        </w:numPr>
        <w:ind w:left="1267" w:firstLine="0"/>
        <w:rPr>
          <w:lang w:val="fr-CH"/>
        </w:rPr>
      </w:pPr>
      <w:r w:rsidRPr="00ED1DE0">
        <w:rPr>
          <w:lang w:val="fr-CH"/>
        </w:rPr>
        <w:t>Le Sous-Comité a appris que M.</w:t>
      </w:r>
      <w:r w:rsidR="0001428B">
        <w:rPr>
          <w:lang w:val="fr-CH"/>
        </w:rPr>
        <w:t> </w:t>
      </w:r>
      <w:r w:rsidRPr="00ED1DE0">
        <w:rPr>
          <w:lang w:val="fr-CH"/>
        </w:rPr>
        <w:t>Huurdeman (Pays-Bas) prendrait prochainement sa retraite et que la présente session serait sa dernière. Il avait participé aux travaux du Sous-Comité</w:t>
      </w:r>
      <w:r w:rsidR="001E53C7">
        <w:rPr>
          <w:lang w:val="fr-CH"/>
        </w:rPr>
        <w:t xml:space="preserve"> depuis 1985, ainsi qu’à ceux </w:t>
      </w:r>
      <w:r w:rsidRPr="00ED1DE0">
        <w:rPr>
          <w:lang w:val="fr-CH"/>
        </w:rPr>
        <w:t>d’autres organismes concernés par le transport des marchandises dangereuses, notamment à la Réunion commune RID/ADR/ADN. Le Sous-Comité l’a remercié chaleureusement de sa remarquable contribution et lui a souhaité une longue et heureuse retraite.</w:t>
      </w:r>
    </w:p>
    <w:p w:rsidR="001E53C7" w:rsidRPr="001E53C7" w:rsidRDefault="001E53C7" w:rsidP="001E53C7">
      <w:pPr>
        <w:pStyle w:val="SingleTxt"/>
        <w:spacing w:after="0" w:line="120" w:lineRule="exact"/>
        <w:rPr>
          <w:sz w:val="10"/>
          <w:lang w:val="fr-CH"/>
        </w:rPr>
      </w:pPr>
    </w:p>
    <w:p w:rsidR="001E53C7" w:rsidRPr="001E53C7" w:rsidRDefault="001E53C7" w:rsidP="001E53C7">
      <w:pPr>
        <w:pStyle w:val="SingleTxt"/>
        <w:spacing w:after="0" w:line="120" w:lineRule="exact"/>
        <w:rPr>
          <w:sz w:val="10"/>
          <w:lang w:val="fr-CH"/>
        </w:rPr>
      </w:pPr>
    </w:p>
    <w:p w:rsidR="00ED1DE0" w:rsidRDefault="00ED1DE0" w:rsidP="001E53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t>XIII.</w:t>
      </w:r>
      <w:r w:rsidRPr="00ED1DE0">
        <w:rPr>
          <w:lang w:val="fr-CH"/>
        </w:rPr>
        <w:tab/>
        <w:t xml:space="preserve">Adoption du rapport </w:t>
      </w:r>
      <w:r w:rsidR="001E53C7">
        <w:rPr>
          <w:lang w:val="fr-CH"/>
        </w:rPr>
        <w:br/>
      </w:r>
      <w:r w:rsidRPr="00ED1DE0">
        <w:rPr>
          <w:lang w:val="fr-CH"/>
        </w:rPr>
        <w:t>(point 12 de l’ordre du jour)</w:t>
      </w:r>
    </w:p>
    <w:p w:rsidR="001E53C7" w:rsidRPr="001E53C7" w:rsidRDefault="001E53C7" w:rsidP="001E53C7">
      <w:pPr>
        <w:pStyle w:val="SingleTxt"/>
        <w:spacing w:after="0" w:line="120" w:lineRule="exact"/>
        <w:rPr>
          <w:sz w:val="10"/>
          <w:lang w:val="fr-CH"/>
        </w:rPr>
      </w:pPr>
    </w:p>
    <w:p w:rsidR="001E53C7" w:rsidRPr="001E53C7" w:rsidRDefault="001E53C7" w:rsidP="001E53C7">
      <w:pPr>
        <w:pStyle w:val="SingleTxt"/>
        <w:spacing w:after="0" w:line="120" w:lineRule="exact"/>
        <w:rPr>
          <w:sz w:val="10"/>
          <w:lang w:val="fr-CH"/>
        </w:rPr>
      </w:pPr>
    </w:p>
    <w:p w:rsidR="00ED1DE0" w:rsidRDefault="00ED1DE0" w:rsidP="00633201">
      <w:pPr>
        <w:pStyle w:val="SingleTxt"/>
        <w:numPr>
          <w:ilvl w:val="0"/>
          <w:numId w:val="8"/>
        </w:numPr>
        <w:ind w:left="1267" w:firstLine="0"/>
        <w:rPr>
          <w:lang w:val="fr-CH"/>
        </w:rPr>
      </w:pPr>
      <w:r w:rsidRPr="00ED1DE0">
        <w:rPr>
          <w:lang w:val="fr-CH"/>
        </w:rPr>
        <w:t>Le Sous-Comité a adopté le rapport de sa quarante-septième session et ses annexes en se fondant sur un projet établi par le secrétariat.</w:t>
      </w:r>
    </w:p>
    <w:p w:rsidR="001E53C7" w:rsidRDefault="001E53C7" w:rsidP="00ED1DE0">
      <w:pPr>
        <w:pStyle w:val="SingleTxt"/>
        <w:rPr>
          <w:lang w:val="fr-CH"/>
        </w:rPr>
      </w:pPr>
    </w:p>
    <w:p w:rsidR="001E53C7" w:rsidRDefault="001E53C7">
      <w:pPr>
        <w:spacing w:line="240" w:lineRule="auto"/>
        <w:rPr>
          <w:lang w:val="fr-CH"/>
        </w:rPr>
      </w:pPr>
      <w:r>
        <w:rPr>
          <w:lang w:val="fr-CH"/>
        </w:rPr>
        <w:br w:type="page"/>
      </w:r>
    </w:p>
    <w:p w:rsidR="00ED1DE0" w:rsidRDefault="00ED1DE0" w:rsidP="001E53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Annexe I</w:t>
      </w:r>
    </w:p>
    <w:p w:rsidR="001E53C7" w:rsidRPr="001E53C7" w:rsidRDefault="001E53C7" w:rsidP="001E53C7">
      <w:pPr>
        <w:pStyle w:val="SingleTxt"/>
        <w:spacing w:after="0" w:line="120" w:lineRule="exact"/>
        <w:rPr>
          <w:sz w:val="10"/>
          <w:lang w:val="fr-CH"/>
        </w:rPr>
      </w:pPr>
    </w:p>
    <w:p w:rsidR="00ED1DE0" w:rsidRDefault="00ED1DE0" w:rsidP="001E53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r>
      <w:r w:rsidRPr="00ED1DE0">
        <w:rPr>
          <w:lang w:val="fr-CH"/>
        </w:rPr>
        <w:tab/>
        <w:t>Projet d’amendements aux chapitres 1.3 et 2.1 du SGH devant être proposés au Sous-Comité SGH</w:t>
      </w:r>
    </w:p>
    <w:p w:rsidR="001E53C7" w:rsidRPr="001E53C7" w:rsidRDefault="001E53C7" w:rsidP="001E53C7">
      <w:pPr>
        <w:pStyle w:val="SingleTxt"/>
        <w:spacing w:after="0" w:line="120" w:lineRule="exact"/>
        <w:rPr>
          <w:sz w:val="10"/>
          <w:lang w:val="fr-CH"/>
        </w:rPr>
      </w:pPr>
    </w:p>
    <w:p w:rsidR="001E53C7" w:rsidRPr="001E53C7" w:rsidRDefault="001E53C7" w:rsidP="001E53C7">
      <w:pPr>
        <w:pStyle w:val="SingleTxt"/>
        <w:spacing w:after="0" w:line="120" w:lineRule="exact"/>
        <w:rPr>
          <w:sz w:val="10"/>
          <w:lang w:val="fr-CH"/>
        </w:rPr>
      </w:pPr>
    </w:p>
    <w:p w:rsidR="00ED1DE0" w:rsidRDefault="00ED1DE0" w:rsidP="009838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r>
      <w:r w:rsidRPr="00ED1DE0">
        <w:rPr>
          <w:lang w:val="fr-CH"/>
        </w:rPr>
        <w:tab/>
        <w:t>Amendement 1</w:t>
      </w:r>
    </w:p>
    <w:p w:rsidR="0098382F" w:rsidRPr="0098382F" w:rsidRDefault="0098382F" w:rsidP="0098382F">
      <w:pPr>
        <w:pStyle w:val="SingleTxt"/>
        <w:spacing w:after="0" w:line="120" w:lineRule="exact"/>
        <w:rPr>
          <w:sz w:val="10"/>
          <w:lang w:val="fr-CH"/>
        </w:rPr>
      </w:pPr>
    </w:p>
    <w:p w:rsidR="0098382F" w:rsidRPr="0098382F" w:rsidRDefault="0098382F" w:rsidP="0098382F">
      <w:pPr>
        <w:pStyle w:val="SingleTxt"/>
        <w:spacing w:after="0" w:line="120" w:lineRule="exact"/>
        <w:rPr>
          <w:sz w:val="10"/>
          <w:lang w:val="fr-CH"/>
        </w:rPr>
      </w:pPr>
    </w:p>
    <w:p w:rsidR="00ED1DE0" w:rsidRDefault="0098382F" w:rsidP="009838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D1DE0" w:rsidRPr="00ED1DE0">
        <w:rPr>
          <w:lang w:val="fr-CH"/>
        </w:rPr>
        <w:t>Chapitre 1.3</w:t>
      </w:r>
    </w:p>
    <w:p w:rsidR="0098382F" w:rsidRPr="0098382F" w:rsidRDefault="0098382F" w:rsidP="0098382F">
      <w:pPr>
        <w:pStyle w:val="SingleTxt"/>
        <w:spacing w:after="0" w:line="120" w:lineRule="exact"/>
        <w:rPr>
          <w:sz w:val="10"/>
          <w:lang w:val="fr-CH"/>
        </w:rPr>
      </w:pPr>
    </w:p>
    <w:p w:rsidR="00ED1DE0" w:rsidRPr="00ED1DE0" w:rsidRDefault="00ED1DE0" w:rsidP="0031542B">
      <w:pPr>
        <w:pStyle w:val="SingleTxt"/>
        <w:rPr>
          <w:lang w:val="fr-CH"/>
        </w:rPr>
      </w:pPr>
      <w:r w:rsidRPr="00ED1DE0">
        <w:rPr>
          <w:lang w:val="fr-CH"/>
        </w:rPr>
        <w:t>[1.3.2.2.1</w:t>
      </w:r>
      <w:r w:rsidRPr="00ED1DE0">
        <w:rPr>
          <w:lang w:val="fr-CH"/>
        </w:rPr>
        <w:tab/>
        <w:t>Ajouter une nouvelle dernière phrase ainsi conçue</w:t>
      </w:r>
      <w:r w:rsidR="00712DA4">
        <w:rPr>
          <w:lang w:val="fr-CH"/>
        </w:rPr>
        <w:t> </w:t>
      </w:r>
      <w:r w:rsidRPr="00ED1DE0">
        <w:rPr>
          <w:lang w:val="fr-CH"/>
        </w:rPr>
        <w:t xml:space="preserve">: </w:t>
      </w:r>
      <w:r w:rsidR="00712DA4">
        <w:rPr>
          <w:lang w:val="fr-CH"/>
        </w:rPr>
        <w:t>« </w:t>
      </w:r>
      <w:r w:rsidRPr="00ED1DE0">
        <w:rPr>
          <w:lang w:val="fr-CH"/>
        </w:rPr>
        <w:t>Dans certains cas particuliers, comme celui des explosifs, d’autres principes de classificat</w:t>
      </w:r>
      <w:r w:rsidR="00F06FC4">
        <w:rPr>
          <w:lang w:val="fr-CH"/>
        </w:rPr>
        <w:t>ion peuvent être appliqués. ».]</w:t>
      </w:r>
    </w:p>
    <w:p w:rsidR="00ED1DE0" w:rsidRDefault="00ED1DE0" w:rsidP="00ED1DE0">
      <w:pPr>
        <w:pStyle w:val="SingleTxt"/>
        <w:rPr>
          <w:i/>
          <w:lang w:val="fr-CH"/>
        </w:rPr>
      </w:pPr>
      <w:bookmarkStart w:id="3" w:name="OLE_LINK2"/>
      <w:bookmarkStart w:id="4" w:name="OLE_LINK1"/>
      <w:r w:rsidRPr="00ED1DE0">
        <w:rPr>
          <w:i/>
          <w:lang w:val="fr-CH"/>
        </w:rPr>
        <w:t>(Documents de référence</w:t>
      </w:r>
      <w:r w:rsidR="00712DA4">
        <w:rPr>
          <w:i/>
          <w:lang w:val="fr-CH"/>
        </w:rPr>
        <w:t> </w:t>
      </w:r>
      <w:r w:rsidRPr="00ED1DE0">
        <w:rPr>
          <w:i/>
          <w:lang w:val="fr-CH"/>
        </w:rPr>
        <w:t>: ST/SG/AC.10/C.3/2015/27, par.</w:t>
      </w:r>
      <w:r w:rsidR="00712DA4">
        <w:rPr>
          <w:i/>
          <w:lang w:val="fr-CH"/>
        </w:rPr>
        <w:t xml:space="preserve"> 9 et document informel </w:t>
      </w:r>
      <w:r w:rsidRPr="00ED1DE0">
        <w:rPr>
          <w:i/>
          <w:lang w:val="fr-CH"/>
        </w:rPr>
        <w:t>INF.53, par.</w:t>
      </w:r>
      <w:r w:rsidR="00712DA4">
        <w:rPr>
          <w:i/>
          <w:lang w:val="fr-CH"/>
        </w:rPr>
        <w:t> </w:t>
      </w:r>
      <w:r w:rsidRPr="00ED1DE0">
        <w:rPr>
          <w:i/>
          <w:lang w:val="fr-CH"/>
        </w:rPr>
        <w:t>13</w:t>
      </w:r>
      <w:bookmarkEnd w:id="3"/>
      <w:bookmarkEnd w:id="4"/>
      <w:r w:rsidRPr="00ED1DE0">
        <w:rPr>
          <w:i/>
          <w:lang w:val="fr-CH"/>
        </w:rPr>
        <w:t>)</w:t>
      </w:r>
    </w:p>
    <w:p w:rsidR="00712DA4" w:rsidRPr="00712DA4" w:rsidRDefault="00712DA4" w:rsidP="00712DA4">
      <w:pPr>
        <w:pStyle w:val="SingleTxt"/>
        <w:spacing w:after="0" w:line="120" w:lineRule="exact"/>
        <w:rPr>
          <w:i/>
          <w:sz w:val="10"/>
          <w:lang w:val="fr-CH"/>
        </w:rPr>
      </w:pPr>
    </w:p>
    <w:p w:rsidR="00712DA4" w:rsidRPr="00712DA4" w:rsidRDefault="00712DA4" w:rsidP="00712DA4">
      <w:pPr>
        <w:pStyle w:val="SingleTxt"/>
        <w:spacing w:after="0" w:line="120" w:lineRule="exact"/>
        <w:rPr>
          <w:i/>
          <w:sz w:val="10"/>
          <w:lang w:val="fr-CH"/>
        </w:rPr>
      </w:pPr>
    </w:p>
    <w:p w:rsidR="00ED1DE0" w:rsidRDefault="00ED1DE0" w:rsidP="00712DA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r>
      <w:r w:rsidRPr="00ED1DE0">
        <w:rPr>
          <w:lang w:val="fr-CH"/>
        </w:rPr>
        <w:tab/>
        <w:t>Amendement 2</w:t>
      </w:r>
    </w:p>
    <w:p w:rsidR="00712DA4" w:rsidRPr="00712DA4" w:rsidRDefault="00712DA4" w:rsidP="00712DA4">
      <w:pPr>
        <w:pStyle w:val="SingleTxt"/>
        <w:spacing w:after="0" w:line="120" w:lineRule="exact"/>
        <w:rPr>
          <w:sz w:val="10"/>
          <w:lang w:val="fr-CH"/>
        </w:rPr>
      </w:pPr>
    </w:p>
    <w:p w:rsidR="00712DA4" w:rsidRPr="00712DA4" w:rsidRDefault="00712DA4" w:rsidP="00712DA4">
      <w:pPr>
        <w:pStyle w:val="SingleTxt"/>
        <w:spacing w:after="0" w:line="120" w:lineRule="exact"/>
        <w:rPr>
          <w:sz w:val="10"/>
          <w:lang w:val="fr-CH"/>
        </w:rPr>
      </w:pPr>
    </w:p>
    <w:p w:rsidR="00ED1DE0" w:rsidRDefault="00712DA4" w:rsidP="00712D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D1DE0" w:rsidRPr="00ED1DE0">
        <w:rPr>
          <w:lang w:val="fr-CH"/>
        </w:rPr>
        <w:t>Section 2.1.4</w:t>
      </w:r>
    </w:p>
    <w:p w:rsidR="00712DA4" w:rsidRPr="00712DA4" w:rsidRDefault="00712DA4" w:rsidP="00712DA4">
      <w:pPr>
        <w:pStyle w:val="SingleTxt"/>
        <w:spacing w:after="0" w:line="120" w:lineRule="exact"/>
        <w:rPr>
          <w:sz w:val="10"/>
          <w:lang w:val="fr-CH"/>
        </w:rPr>
      </w:pPr>
    </w:p>
    <w:p w:rsidR="00ED1DE0" w:rsidRPr="00ED1DE0" w:rsidRDefault="00F06FC4" w:rsidP="00ED1DE0">
      <w:pPr>
        <w:pStyle w:val="SingleTxt"/>
        <w:rPr>
          <w:lang w:val="fr-CH"/>
        </w:rPr>
      </w:pPr>
      <w:r>
        <w:rPr>
          <w:lang w:val="fr-CH"/>
        </w:rPr>
        <w:t>2.1</w:t>
      </w:r>
      <w:r w:rsidR="0031542B">
        <w:rPr>
          <w:lang w:val="fr-CH"/>
        </w:rPr>
        <w:t>.</w:t>
      </w:r>
      <w:r>
        <w:rPr>
          <w:lang w:val="fr-CH"/>
        </w:rPr>
        <w:t>4</w:t>
      </w:r>
      <w:r>
        <w:rPr>
          <w:lang w:val="fr-CH"/>
        </w:rPr>
        <w:tab/>
      </w:r>
      <w:r w:rsidR="0031542B">
        <w:rPr>
          <w:lang w:val="fr-CH"/>
        </w:rPr>
        <w:tab/>
      </w:r>
      <w:r w:rsidR="00ED1DE0" w:rsidRPr="00ED1DE0">
        <w:rPr>
          <w:lang w:val="fr-CH"/>
        </w:rPr>
        <w:t>Modifier la première phrase comme suit</w:t>
      </w:r>
      <w:r w:rsidR="00712DA4">
        <w:rPr>
          <w:lang w:val="fr-CH"/>
        </w:rPr>
        <w:t> </w:t>
      </w:r>
      <w:r w:rsidR="00ED1DE0" w:rsidRPr="00ED1DE0">
        <w:rPr>
          <w:lang w:val="fr-CH"/>
        </w:rPr>
        <w:t xml:space="preserve">: </w:t>
      </w:r>
      <w:r w:rsidR="00712DA4">
        <w:rPr>
          <w:lang w:val="fr-CH"/>
        </w:rPr>
        <w:t>« </w:t>
      </w:r>
      <w:r w:rsidR="00ED1DE0" w:rsidRPr="00ED1DE0">
        <w:rPr>
          <w:lang w:val="fr-CH"/>
        </w:rPr>
        <w:t xml:space="preserve">La procédure de décision et les conseils figurant dans les </w:t>
      </w:r>
      <w:r w:rsidR="00ED1DE0" w:rsidRPr="00ED1DE0">
        <w:rPr>
          <w:i/>
          <w:lang w:val="fr-CH"/>
        </w:rPr>
        <w:t>Recommandations relatives au transport des marchandises dangereuses, Manuel d’épreuves et de critères</w:t>
      </w:r>
      <w:r w:rsidR="00ED1DE0" w:rsidRPr="00ED1DE0">
        <w:rPr>
          <w:lang w:val="fr-CH"/>
        </w:rPr>
        <w:t xml:space="preserve"> de l’ONU, sont applicables. ».</w:t>
      </w:r>
    </w:p>
    <w:p w:rsidR="00ED1DE0" w:rsidRDefault="00ED1DE0" w:rsidP="00ED1DE0">
      <w:pPr>
        <w:pStyle w:val="SingleTxt"/>
        <w:rPr>
          <w:i/>
          <w:lang w:val="fr-CH"/>
        </w:rPr>
      </w:pPr>
      <w:r w:rsidRPr="00ED1DE0">
        <w:rPr>
          <w:i/>
          <w:lang w:val="fr-CH"/>
        </w:rPr>
        <w:t>(Documents de référence</w:t>
      </w:r>
      <w:r w:rsidR="00712DA4">
        <w:rPr>
          <w:i/>
          <w:lang w:val="fr-CH"/>
        </w:rPr>
        <w:t> </w:t>
      </w:r>
      <w:r w:rsidRPr="00ED1DE0">
        <w:rPr>
          <w:i/>
          <w:lang w:val="fr-CH"/>
        </w:rPr>
        <w:t>: ST/SG/AC.10/C.3/2015/27, par.</w:t>
      </w:r>
      <w:r w:rsidR="00712DA4">
        <w:rPr>
          <w:i/>
          <w:lang w:val="fr-CH"/>
        </w:rPr>
        <w:t> </w:t>
      </w:r>
      <w:r w:rsidRPr="00ED1DE0">
        <w:rPr>
          <w:i/>
          <w:lang w:val="fr-CH"/>
        </w:rPr>
        <w:t>10 et document informel INF.53, par.</w:t>
      </w:r>
      <w:r w:rsidR="00712DA4">
        <w:rPr>
          <w:i/>
          <w:lang w:val="fr-CH"/>
        </w:rPr>
        <w:t> </w:t>
      </w:r>
      <w:r w:rsidRPr="00ED1DE0">
        <w:rPr>
          <w:i/>
          <w:lang w:val="fr-CH"/>
        </w:rPr>
        <w:t>13)</w:t>
      </w:r>
    </w:p>
    <w:p w:rsidR="00712DA4" w:rsidRPr="00712DA4" w:rsidRDefault="00712DA4" w:rsidP="00712DA4">
      <w:pPr>
        <w:pStyle w:val="SingleTxt"/>
        <w:spacing w:after="0" w:line="120" w:lineRule="exact"/>
        <w:rPr>
          <w:i/>
          <w:sz w:val="10"/>
          <w:lang w:val="fr-CH"/>
        </w:rPr>
      </w:pPr>
    </w:p>
    <w:p w:rsidR="00712DA4" w:rsidRPr="00712DA4" w:rsidRDefault="00712DA4" w:rsidP="00712DA4">
      <w:pPr>
        <w:pStyle w:val="SingleTxt"/>
        <w:spacing w:after="0" w:line="120" w:lineRule="exact"/>
        <w:rPr>
          <w:i/>
          <w:sz w:val="10"/>
          <w:lang w:val="fr-CH"/>
        </w:rPr>
      </w:pPr>
    </w:p>
    <w:p w:rsidR="00ED1DE0" w:rsidRDefault="00ED1DE0" w:rsidP="00712DA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1DE0">
        <w:rPr>
          <w:lang w:val="fr-CH"/>
        </w:rPr>
        <w:tab/>
      </w:r>
      <w:r w:rsidRPr="00ED1DE0">
        <w:rPr>
          <w:lang w:val="fr-CH"/>
        </w:rPr>
        <w:tab/>
        <w:t>Amendement 3</w:t>
      </w:r>
    </w:p>
    <w:p w:rsidR="00712DA4" w:rsidRPr="00712DA4" w:rsidRDefault="00712DA4" w:rsidP="00712DA4">
      <w:pPr>
        <w:pStyle w:val="SingleTxt"/>
        <w:spacing w:after="0" w:line="120" w:lineRule="exact"/>
        <w:rPr>
          <w:sz w:val="10"/>
          <w:lang w:val="fr-CH"/>
        </w:rPr>
      </w:pPr>
    </w:p>
    <w:p w:rsidR="00712DA4" w:rsidRPr="00712DA4" w:rsidRDefault="00712DA4" w:rsidP="00712DA4">
      <w:pPr>
        <w:pStyle w:val="SingleTxt"/>
        <w:spacing w:after="0" w:line="120" w:lineRule="exact"/>
        <w:rPr>
          <w:sz w:val="10"/>
          <w:lang w:val="fr-CH"/>
        </w:rPr>
      </w:pPr>
    </w:p>
    <w:p w:rsidR="00ED1DE0" w:rsidRDefault="00712DA4" w:rsidP="00712D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D1DE0" w:rsidRPr="00ED1DE0">
        <w:rPr>
          <w:lang w:val="fr-CH"/>
        </w:rPr>
        <w:t>Paragraphe 2.1.4.1</w:t>
      </w:r>
    </w:p>
    <w:p w:rsidR="00712DA4" w:rsidRPr="00712DA4" w:rsidRDefault="00712DA4" w:rsidP="00712DA4">
      <w:pPr>
        <w:pStyle w:val="SingleTxt"/>
        <w:spacing w:after="0" w:line="120" w:lineRule="exact"/>
        <w:rPr>
          <w:sz w:val="10"/>
          <w:lang w:val="fr-CH"/>
        </w:rPr>
      </w:pPr>
    </w:p>
    <w:p w:rsidR="00ED1DE0" w:rsidRPr="00ED1DE0" w:rsidRDefault="00ED1DE0" w:rsidP="00ED1DE0">
      <w:pPr>
        <w:pStyle w:val="SingleTxt"/>
        <w:rPr>
          <w:lang w:val="fr-CH"/>
        </w:rPr>
      </w:pPr>
      <w:r w:rsidRPr="00ED1DE0">
        <w:rPr>
          <w:lang w:val="fr-CH"/>
        </w:rPr>
        <w:t>Supprimer la dernière phrase.</w:t>
      </w:r>
    </w:p>
    <w:p w:rsidR="00ED1DE0" w:rsidRPr="00ED1DE0" w:rsidRDefault="00ED1DE0" w:rsidP="00ED1DE0">
      <w:pPr>
        <w:pStyle w:val="SingleTxt"/>
        <w:rPr>
          <w:lang w:val="fr-CH"/>
        </w:rPr>
      </w:pPr>
      <w:r w:rsidRPr="00ED1DE0">
        <w:rPr>
          <w:lang w:val="fr-CH"/>
        </w:rPr>
        <w:t>Ajouter un deuxième paragraphe ainsi conçu</w:t>
      </w:r>
      <w:r w:rsidR="00712DA4">
        <w:rPr>
          <w:lang w:val="fr-CH"/>
        </w:rPr>
        <w:t> </w:t>
      </w:r>
      <w:r w:rsidRPr="00ED1DE0">
        <w:rPr>
          <w:lang w:val="fr-CH"/>
        </w:rPr>
        <w:t>:</w:t>
      </w:r>
    </w:p>
    <w:p w:rsidR="00ED1DE0" w:rsidRPr="00ED1DE0" w:rsidRDefault="00712DA4" w:rsidP="00ED1DE0">
      <w:pPr>
        <w:pStyle w:val="SingleTxt"/>
        <w:rPr>
          <w:lang w:val="fr-CH"/>
        </w:rPr>
      </w:pPr>
      <w:r>
        <w:rPr>
          <w:lang w:val="fr-CH"/>
        </w:rPr>
        <w:t>« </w:t>
      </w:r>
      <w:r w:rsidR="00ED1DE0" w:rsidRPr="00ED1DE0">
        <w:rPr>
          <w:lang w:val="fr-CH"/>
        </w:rPr>
        <w:t xml:space="preserve">Les diagrammes de décision actuels pour la classification des matières et objets explosibles se trouvent dans les sections 10.3 et 10.4 des </w:t>
      </w:r>
      <w:r w:rsidR="00ED1DE0" w:rsidRPr="00ED1DE0">
        <w:rPr>
          <w:i/>
          <w:lang w:val="fr-CH"/>
        </w:rPr>
        <w:t>Recommandations relatives au transport des marchandises dangereuses, Manuel d’épreuves et de critères</w:t>
      </w:r>
      <w:r w:rsidR="00ED1DE0" w:rsidRPr="00ED1DE0">
        <w:rPr>
          <w:lang w:val="fr-CH"/>
        </w:rPr>
        <w:t>. Ils ne sont pas fournis dans le présent document afin de s’assurer que la dernière version en vigueur des diagrammes de décision est appliquée. ».</w:t>
      </w:r>
    </w:p>
    <w:p w:rsidR="00ED1DE0" w:rsidRPr="00ED1DE0" w:rsidRDefault="00ED1DE0" w:rsidP="00ED1DE0">
      <w:pPr>
        <w:pStyle w:val="SingleTxt"/>
        <w:rPr>
          <w:lang w:val="fr-CH"/>
        </w:rPr>
      </w:pPr>
      <w:r w:rsidRPr="00ED1DE0">
        <w:rPr>
          <w:lang w:val="fr-CH"/>
        </w:rPr>
        <w:t>Supprimer les figures 2.1.1, 2.1.2 et 2.1.3.</w:t>
      </w:r>
    </w:p>
    <w:p w:rsidR="00AF53E1" w:rsidRDefault="00ED1DE0" w:rsidP="00ED1DE0">
      <w:pPr>
        <w:pStyle w:val="SingleTxt"/>
        <w:rPr>
          <w:i/>
          <w:lang w:val="fr-CH"/>
        </w:rPr>
      </w:pPr>
      <w:r w:rsidRPr="00ED1DE0">
        <w:rPr>
          <w:i/>
          <w:lang w:val="fr-CH"/>
        </w:rPr>
        <w:t>(Documents de référence</w:t>
      </w:r>
      <w:r w:rsidR="00712DA4">
        <w:rPr>
          <w:i/>
          <w:lang w:val="fr-CH"/>
        </w:rPr>
        <w:t> </w:t>
      </w:r>
      <w:r w:rsidRPr="00ED1DE0">
        <w:rPr>
          <w:i/>
          <w:lang w:val="fr-CH"/>
        </w:rPr>
        <w:t>: ST/SG/AC.10/C.3/2015/27, par.</w:t>
      </w:r>
      <w:r w:rsidR="00712DA4">
        <w:rPr>
          <w:i/>
          <w:lang w:val="fr-CH"/>
        </w:rPr>
        <w:t> </w:t>
      </w:r>
      <w:r w:rsidRPr="00ED1DE0">
        <w:rPr>
          <w:i/>
          <w:lang w:val="fr-CH"/>
        </w:rPr>
        <w:t>11 et document informel INF.53, par.</w:t>
      </w:r>
      <w:r w:rsidR="00712DA4">
        <w:rPr>
          <w:i/>
          <w:lang w:val="fr-CH"/>
        </w:rPr>
        <w:t> </w:t>
      </w:r>
      <w:r w:rsidRPr="00ED1DE0">
        <w:rPr>
          <w:i/>
          <w:lang w:val="fr-CH"/>
        </w:rPr>
        <w:t>13)</w:t>
      </w:r>
    </w:p>
    <w:p w:rsidR="00ED1DE0" w:rsidRDefault="00ED1DE0" w:rsidP="00ED1DE0">
      <w:pPr>
        <w:pStyle w:val="SingleTxt"/>
        <w:rPr>
          <w:i/>
          <w:lang w:val="fr-CH"/>
        </w:rPr>
      </w:pPr>
    </w:p>
    <w:p w:rsidR="00ED1DE0" w:rsidRDefault="00ED1DE0" w:rsidP="00ED1DE0">
      <w:pPr>
        <w:pStyle w:val="SingleTxt"/>
        <w:rPr>
          <w:i/>
          <w:lang w:val="fr-CH"/>
        </w:rPr>
      </w:pPr>
    </w:p>
    <w:p w:rsidR="00ED1DE0" w:rsidRDefault="00ED1DE0">
      <w:pPr>
        <w:spacing w:line="240" w:lineRule="auto"/>
        <w:rPr>
          <w:i/>
          <w:lang w:val="fr-CH"/>
        </w:rPr>
      </w:pPr>
      <w:r>
        <w:rPr>
          <w:i/>
          <w:lang w:val="fr-CH"/>
        </w:rPr>
        <w:br w:type="page"/>
      </w:r>
    </w:p>
    <w:p w:rsidR="00E36427" w:rsidRDefault="00E36427" w:rsidP="00E3642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Annexe II</w:t>
      </w:r>
    </w:p>
    <w:p w:rsidR="00E36427" w:rsidRPr="00E36427" w:rsidRDefault="00E36427" w:rsidP="00E36427">
      <w:pPr>
        <w:pStyle w:val="SingleTxt"/>
        <w:spacing w:after="0" w:line="120" w:lineRule="exact"/>
        <w:rPr>
          <w:sz w:val="10"/>
          <w:lang w:val="fr-CH"/>
        </w:rPr>
      </w:pPr>
    </w:p>
    <w:p w:rsidR="00E36427" w:rsidRDefault="00E36427" w:rsidP="00E3642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36427">
        <w:rPr>
          <w:lang w:val="fr-CH"/>
        </w:rPr>
        <w:tab/>
      </w:r>
      <w:r w:rsidRPr="00E36427">
        <w:rPr>
          <w:lang w:val="fr-CH"/>
        </w:rPr>
        <w:tab/>
        <w:t xml:space="preserve">Projet d’amendements à la dix-neuvième édition </w:t>
      </w:r>
      <w:r>
        <w:rPr>
          <w:lang w:val="fr-CH"/>
        </w:rPr>
        <w:br/>
      </w:r>
      <w:r w:rsidRPr="00E36427">
        <w:rPr>
          <w:lang w:val="fr-CH"/>
        </w:rPr>
        <w:t xml:space="preserve">révisée des Recommandations relatives au transport </w:t>
      </w:r>
      <w:r>
        <w:rPr>
          <w:lang w:val="fr-CH"/>
        </w:rPr>
        <w:br/>
      </w:r>
      <w:r w:rsidRPr="00E36427">
        <w:rPr>
          <w:spacing w:val="-4"/>
          <w:lang w:val="fr-CH"/>
        </w:rPr>
        <w:t>des marchandises dangereuses, Règlement type</w:t>
      </w:r>
      <w:r w:rsidRPr="00E36427">
        <w:rPr>
          <w:lang w:val="fr-CH"/>
        </w:rPr>
        <w:t xml:space="preserve"> (ST/SG/AC.10/1/Rev.19)</w:t>
      </w:r>
    </w:p>
    <w:p w:rsidR="00E36427" w:rsidRPr="00E36427" w:rsidRDefault="00E36427" w:rsidP="00E36427">
      <w:pPr>
        <w:pStyle w:val="SingleTxt"/>
        <w:spacing w:after="0" w:line="120" w:lineRule="exact"/>
        <w:rPr>
          <w:sz w:val="10"/>
          <w:lang w:val="fr-CH"/>
        </w:rPr>
      </w:pPr>
    </w:p>
    <w:p w:rsidR="00E36427" w:rsidRPr="00E36427" w:rsidRDefault="00E36427" w:rsidP="00E36427">
      <w:pPr>
        <w:pStyle w:val="SingleTxt"/>
        <w:spacing w:after="0" w:line="120" w:lineRule="exact"/>
        <w:rPr>
          <w:sz w:val="10"/>
          <w:lang w:val="fr-CH"/>
        </w:rPr>
      </w:pPr>
    </w:p>
    <w:p w:rsidR="00E36427" w:rsidRDefault="00E36427" w:rsidP="00E364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36427">
        <w:rPr>
          <w:lang w:val="fr-CH"/>
        </w:rPr>
        <w:tab/>
      </w:r>
      <w:r w:rsidRPr="00E36427">
        <w:rPr>
          <w:lang w:val="fr-CH"/>
        </w:rPr>
        <w:tab/>
        <w:t>Chapitre 3.3</w:t>
      </w:r>
    </w:p>
    <w:p w:rsidR="00E36427" w:rsidRPr="00E36427" w:rsidRDefault="00E36427" w:rsidP="00E36427">
      <w:pPr>
        <w:pStyle w:val="SingleTxt"/>
        <w:spacing w:after="0" w:line="120" w:lineRule="exact"/>
        <w:rPr>
          <w:sz w:val="10"/>
          <w:lang w:val="fr-CH"/>
        </w:rPr>
      </w:pPr>
    </w:p>
    <w:p w:rsidR="00E36427" w:rsidRPr="00E36427" w:rsidRDefault="00E36427" w:rsidP="00E36427">
      <w:pPr>
        <w:pStyle w:val="SingleTxt"/>
        <w:rPr>
          <w:lang w:val="fr-CH"/>
        </w:rPr>
      </w:pPr>
      <w:r w:rsidRPr="00E36427">
        <w:rPr>
          <w:lang w:val="fr-CH"/>
        </w:rPr>
        <w:t>Disposition spéciale 310</w:t>
      </w:r>
      <w:r>
        <w:rPr>
          <w:lang w:val="fr-CH"/>
        </w:rPr>
        <w:t xml:space="preserve"> : </w:t>
      </w:r>
      <w:r w:rsidRPr="00E36427">
        <w:rPr>
          <w:lang w:val="fr-CH"/>
        </w:rPr>
        <w:t xml:space="preserve">Dans le premier paragraphe, remplacer </w:t>
      </w:r>
      <w:r>
        <w:rPr>
          <w:lang w:val="fr-CH"/>
        </w:rPr>
        <w:t>« </w:t>
      </w:r>
      <w:r w:rsidRPr="00E36427">
        <w:rPr>
          <w:lang w:val="fr-CH"/>
        </w:rPr>
        <w:t xml:space="preserve">piles et batteries » par </w:t>
      </w:r>
      <w:r>
        <w:rPr>
          <w:lang w:val="fr-CH"/>
        </w:rPr>
        <w:t>« </w:t>
      </w:r>
      <w:r w:rsidRPr="00E36427">
        <w:rPr>
          <w:lang w:val="fr-CH"/>
        </w:rPr>
        <w:t>piles ou batteries » (deux fois).</w:t>
      </w:r>
    </w:p>
    <w:p w:rsidR="00E36427" w:rsidRDefault="00E36427" w:rsidP="00E36427">
      <w:pPr>
        <w:pStyle w:val="SingleTxt"/>
        <w:rPr>
          <w:i/>
          <w:lang w:val="fr-CH"/>
        </w:rPr>
      </w:pPr>
      <w:r w:rsidRPr="00E36427">
        <w:rPr>
          <w:i/>
          <w:lang w:val="fr-CH"/>
        </w:rPr>
        <w:t>(Document de référence</w:t>
      </w:r>
      <w:r>
        <w:rPr>
          <w:i/>
          <w:lang w:val="fr-CH"/>
        </w:rPr>
        <w:t> </w:t>
      </w:r>
      <w:r w:rsidRPr="00E36427">
        <w:rPr>
          <w:i/>
          <w:lang w:val="fr-CH"/>
        </w:rPr>
        <w:t>: ST/SG/AC.10/C.3/2015/28)</w:t>
      </w:r>
    </w:p>
    <w:p w:rsidR="00E36427" w:rsidRPr="00E36427" w:rsidRDefault="00E36427" w:rsidP="00E36427">
      <w:pPr>
        <w:pStyle w:val="SingleTxt"/>
        <w:spacing w:after="0" w:line="120" w:lineRule="exact"/>
        <w:rPr>
          <w:i/>
          <w:sz w:val="10"/>
          <w:lang w:val="fr-CH"/>
        </w:rPr>
      </w:pPr>
    </w:p>
    <w:p w:rsidR="00E36427" w:rsidRDefault="00E36427" w:rsidP="00E364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36427">
        <w:rPr>
          <w:lang w:val="fr-CH"/>
        </w:rPr>
        <w:tab/>
      </w:r>
      <w:r w:rsidRPr="00E36427">
        <w:rPr>
          <w:lang w:val="fr-CH"/>
        </w:rPr>
        <w:tab/>
        <w:t>Chapitre 4.1</w:t>
      </w:r>
    </w:p>
    <w:p w:rsidR="00E36427" w:rsidRPr="00E36427" w:rsidRDefault="00E36427" w:rsidP="00E36427">
      <w:pPr>
        <w:pStyle w:val="SingleTxt"/>
        <w:spacing w:after="0" w:line="120" w:lineRule="exact"/>
        <w:rPr>
          <w:sz w:val="10"/>
          <w:lang w:val="fr-CH"/>
        </w:rPr>
      </w:pPr>
    </w:p>
    <w:p w:rsidR="00E36427" w:rsidRPr="00E36427" w:rsidRDefault="00E36427" w:rsidP="00E36427">
      <w:pPr>
        <w:pStyle w:val="SingleTxt"/>
        <w:rPr>
          <w:iCs/>
          <w:lang w:val="fr-CH"/>
        </w:rPr>
      </w:pPr>
      <w:r w:rsidRPr="00E36427">
        <w:rPr>
          <w:iCs/>
          <w:lang w:val="fr-CH"/>
        </w:rPr>
        <w:t>4.1.4.1, instruction d’emballage P910</w:t>
      </w:r>
      <w:r>
        <w:rPr>
          <w:iCs/>
          <w:lang w:val="fr-CH"/>
        </w:rPr>
        <w:t xml:space="preserve"> : </w:t>
      </w:r>
      <w:r w:rsidRPr="00E36427">
        <w:rPr>
          <w:iCs/>
          <w:lang w:val="fr-CH"/>
        </w:rPr>
        <w:t xml:space="preserve">Dans la première phrase, remplacer </w:t>
      </w:r>
      <w:r>
        <w:rPr>
          <w:iCs/>
          <w:lang w:val="fr-CH"/>
        </w:rPr>
        <w:t>« </w:t>
      </w:r>
      <w:r w:rsidRPr="00E36427">
        <w:rPr>
          <w:iCs/>
          <w:lang w:val="fr-CH"/>
        </w:rPr>
        <w:t xml:space="preserve">piles et batteries » par </w:t>
      </w:r>
      <w:r>
        <w:rPr>
          <w:iCs/>
          <w:lang w:val="fr-CH"/>
        </w:rPr>
        <w:t>« </w:t>
      </w:r>
      <w:r w:rsidRPr="00E36427">
        <w:rPr>
          <w:iCs/>
          <w:lang w:val="fr-CH"/>
        </w:rPr>
        <w:t>piles ou batteries » (deux fois).</w:t>
      </w:r>
    </w:p>
    <w:p w:rsidR="00E36427" w:rsidRDefault="00E36427" w:rsidP="00E36427">
      <w:pPr>
        <w:pStyle w:val="SingleTxt"/>
        <w:rPr>
          <w:i/>
          <w:iCs/>
          <w:lang w:val="fr-CH"/>
        </w:rPr>
      </w:pPr>
      <w:r w:rsidRPr="00E36427">
        <w:rPr>
          <w:i/>
          <w:iCs/>
          <w:lang w:val="fr-CH"/>
        </w:rPr>
        <w:t>(</w:t>
      </w:r>
      <w:r w:rsidRPr="00E36427">
        <w:rPr>
          <w:i/>
          <w:iCs/>
          <w:lang w:val="fr-FR"/>
        </w:rPr>
        <w:t>Document de référence</w:t>
      </w:r>
      <w:r>
        <w:rPr>
          <w:i/>
          <w:iCs/>
          <w:lang w:val="fr-FR"/>
        </w:rPr>
        <w:t> </w:t>
      </w:r>
      <w:r w:rsidRPr="00E36427">
        <w:rPr>
          <w:i/>
          <w:iCs/>
          <w:lang w:val="fr-CH"/>
        </w:rPr>
        <w:t>: ST/SG/AC.10/C.3/2015/28)</w:t>
      </w:r>
    </w:p>
    <w:p w:rsidR="00E36427" w:rsidRPr="00E36427" w:rsidRDefault="00E36427" w:rsidP="00E36427">
      <w:pPr>
        <w:pStyle w:val="SingleTxt"/>
        <w:spacing w:after="0" w:line="120" w:lineRule="exact"/>
        <w:rPr>
          <w:i/>
          <w:iCs/>
          <w:sz w:val="10"/>
          <w:lang w:val="fr-CH"/>
        </w:rPr>
      </w:pPr>
    </w:p>
    <w:p w:rsidR="00E36427" w:rsidRDefault="00E36427" w:rsidP="00E364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36427">
        <w:rPr>
          <w:lang w:val="fr-CH"/>
        </w:rPr>
        <w:tab/>
      </w:r>
      <w:r w:rsidRPr="00E36427">
        <w:rPr>
          <w:lang w:val="fr-CH"/>
        </w:rPr>
        <w:tab/>
        <w:t>Chapitre 6.1</w:t>
      </w:r>
    </w:p>
    <w:p w:rsidR="00E36427" w:rsidRPr="00E36427" w:rsidRDefault="00E36427" w:rsidP="00E36427">
      <w:pPr>
        <w:pStyle w:val="SingleTxt"/>
        <w:spacing w:after="0" w:line="120" w:lineRule="exact"/>
        <w:rPr>
          <w:sz w:val="10"/>
          <w:lang w:val="fr-CH"/>
        </w:rPr>
      </w:pPr>
    </w:p>
    <w:p w:rsidR="00E36427" w:rsidRPr="00E36427" w:rsidRDefault="00E36427" w:rsidP="00E36427">
      <w:pPr>
        <w:pStyle w:val="SingleTxt"/>
        <w:rPr>
          <w:lang w:val="fr-CH"/>
        </w:rPr>
      </w:pPr>
      <w:r w:rsidRPr="00E36427">
        <w:rPr>
          <w:lang w:val="fr-CH"/>
        </w:rPr>
        <w:t xml:space="preserve">Dans le titre du chapitre 6.1 supprimer </w:t>
      </w:r>
      <w:r>
        <w:rPr>
          <w:lang w:val="fr-CH"/>
        </w:rPr>
        <w:t>« </w:t>
      </w:r>
      <w:r w:rsidRPr="00E36427">
        <w:rPr>
          <w:lang w:val="fr-CH"/>
        </w:rPr>
        <w:t>(AUTRES QUE LES EMBALLAGES POUR LES MATIÈRES DE LA DIVISION 6.2) ».</w:t>
      </w:r>
    </w:p>
    <w:p w:rsidR="00E36427" w:rsidRPr="00E36427" w:rsidRDefault="00E36427" w:rsidP="00E36427">
      <w:pPr>
        <w:pStyle w:val="SingleTxt"/>
        <w:rPr>
          <w:lang w:val="fr-CH"/>
        </w:rPr>
      </w:pPr>
      <w:r w:rsidRPr="00E36427">
        <w:rPr>
          <w:lang w:val="fr-CH"/>
        </w:rPr>
        <w:t>6.1.1.1</w:t>
      </w:r>
      <w:r w:rsidRPr="00E36427">
        <w:rPr>
          <w:lang w:val="fr-CH"/>
        </w:rPr>
        <w:tab/>
        <w:t>Ajouter un nouvel alinéa</w:t>
      </w:r>
      <w:r>
        <w:rPr>
          <w:lang w:val="fr-CH"/>
        </w:rPr>
        <w:t> </w:t>
      </w:r>
      <w:r w:rsidRPr="00E36427">
        <w:rPr>
          <w:lang w:val="fr-CH"/>
        </w:rPr>
        <w:t>e) ainsi conçu</w:t>
      </w:r>
      <w:r>
        <w:rPr>
          <w:lang w:val="fr-CH"/>
        </w:rPr>
        <w:t> </w:t>
      </w:r>
      <w:r w:rsidRPr="00E36427">
        <w:rPr>
          <w:lang w:val="fr-CH"/>
        </w:rPr>
        <w:t>:</w:t>
      </w:r>
    </w:p>
    <w:p w:rsidR="00E36427" w:rsidRPr="00E36427" w:rsidRDefault="00E36427" w:rsidP="00E36427">
      <w:pPr>
        <w:pStyle w:val="SingleTxt"/>
        <w:rPr>
          <w:lang w:val="fr-CH"/>
        </w:rPr>
      </w:pPr>
      <w:r>
        <w:rPr>
          <w:lang w:val="fr-CH"/>
        </w:rPr>
        <w:t>« </w:t>
      </w:r>
      <w:r w:rsidRPr="00E36427">
        <w:rPr>
          <w:lang w:val="fr-CH"/>
        </w:rPr>
        <w:t>e)</w:t>
      </w:r>
      <w:r w:rsidRPr="00E36427">
        <w:rPr>
          <w:lang w:val="fr-CH"/>
        </w:rPr>
        <w:tab/>
        <w:t>aux emballages pour les matières infectieuses de la division 6.2 catégorie A. ».</w:t>
      </w:r>
    </w:p>
    <w:p w:rsidR="00E36427" w:rsidRDefault="00E36427" w:rsidP="00E36427">
      <w:pPr>
        <w:pStyle w:val="SingleTxt"/>
        <w:rPr>
          <w:i/>
          <w:iCs/>
          <w:lang w:val="fr-CH"/>
        </w:rPr>
      </w:pPr>
      <w:r w:rsidRPr="00E36427">
        <w:rPr>
          <w:i/>
          <w:iCs/>
          <w:lang w:val="fr-CH"/>
        </w:rPr>
        <w:t>(</w:t>
      </w:r>
      <w:r w:rsidRPr="00E36427">
        <w:rPr>
          <w:i/>
          <w:iCs/>
          <w:lang w:val="fr-FR"/>
        </w:rPr>
        <w:t>Document de référence</w:t>
      </w:r>
      <w:r>
        <w:rPr>
          <w:i/>
          <w:iCs/>
          <w:lang w:val="fr-FR"/>
        </w:rPr>
        <w:t> </w:t>
      </w:r>
      <w:r w:rsidRPr="00E36427">
        <w:rPr>
          <w:i/>
          <w:iCs/>
          <w:lang w:val="fr-CH"/>
        </w:rPr>
        <w:t>: document informel INF.51)</w:t>
      </w:r>
    </w:p>
    <w:p w:rsidR="00E36427" w:rsidRPr="00E36427" w:rsidRDefault="00E36427" w:rsidP="00E36427">
      <w:pPr>
        <w:pStyle w:val="SingleTxt"/>
        <w:spacing w:after="0" w:line="120" w:lineRule="exact"/>
        <w:rPr>
          <w:i/>
          <w:iCs/>
          <w:sz w:val="10"/>
          <w:lang w:val="fr-CH"/>
        </w:rPr>
      </w:pPr>
    </w:p>
    <w:p w:rsidR="00E36427" w:rsidRDefault="00E36427" w:rsidP="00E364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36427">
        <w:rPr>
          <w:lang w:val="fr-CH"/>
        </w:rPr>
        <w:tab/>
      </w:r>
      <w:r w:rsidRPr="00E36427">
        <w:rPr>
          <w:lang w:val="fr-CH"/>
        </w:rPr>
        <w:tab/>
        <w:t>Chapitre 6.2</w:t>
      </w:r>
    </w:p>
    <w:p w:rsidR="00E36427" w:rsidRPr="00E36427" w:rsidRDefault="00E36427" w:rsidP="00E36427">
      <w:pPr>
        <w:pStyle w:val="SingleTxt"/>
        <w:spacing w:after="0" w:line="120" w:lineRule="exact"/>
        <w:rPr>
          <w:sz w:val="10"/>
          <w:lang w:val="fr-CH"/>
        </w:rPr>
      </w:pPr>
    </w:p>
    <w:p w:rsidR="00ED1DE0" w:rsidRDefault="00E36427" w:rsidP="00E36427">
      <w:pPr>
        <w:pStyle w:val="SingleTxt"/>
        <w:rPr>
          <w:lang w:val="fr-CH"/>
        </w:rPr>
      </w:pPr>
      <w:r w:rsidRPr="00E36427">
        <w:rPr>
          <w:lang w:val="fr-CH"/>
        </w:rPr>
        <w:t>6.2.2.3</w:t>
      </w:r>
      <w:r>
        <w:rPr>
          <w:lang w:val="fr-CH"/>
        </w:rPr>
        <w:tab/>
      </w:r>
      <w:r w:rsidR="0031542B">
        <w:rPr>
          <w:lang w:val="fr-CH"/>
        </w:rPr>
        <w:t>À</w:t>
      </w:r>
      <w:r w:rsidRPr="00E36427">
        <w:rPr>
          <w:lang w:val="fr-CH"/>
        </w:rPr>
        <w:t xml:space="preserve"> la fin du premier tableau ajouter une nouvelle ligne ainsi conçue</w:t>
      </w:r>
      <w:r>
        <w:rPr>
          <w:lang w:val="fr-CH"/>
        </w:rPr>
        <w:t> </w:t>
      </w:r>
      <w:r w:rsidRPr="00E36427">
        <w:rPr>
          <w:lang w:val="fr-CH"/>
        </w:rPr>
        <w:t>:</w:t>
      </w:r>
    </w:p>
    <w:p w:rsidR="006B7817" w:rsidRPr="006B7817" w:rsidRDefault="006B7817" w:rsidP="006B7817">
      <w:pPr>
        <w:pStyle w:val="SingleTxt"/>
        <w:spacing w:after="0" w:line="120" w:lineRule="exact"/>
        <w:rPr>
          <w:sz w:val="10"/>
          <w:lang w:val="fr-CH"/>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9"/>
        <w:gridCol w:w="4320"/>
        <w:gridCol w:w="1579"/>
      </w:tblGrid>
      <w:tr w:rsidR="006B7817" w:rsidRPr="006B7817" w:rsidTr="002A75A6">
        <w:tc>
          <w:tcPr>
            <w:tcW w:w="1589" w:type="dxa"/>
            <w:shd w:val="clear" w:color="auto" w:fill="auto"/>
          </w:tcPr>
          <w:p w:rsidR="006B7817" w:rsidRPr="006B7817" w:rsidRDefault="006B7817" w:rsidP="0031542B">
            <w:pPr>
              <w:spacing w:before="40" w:after="80"/>
              <w:ind w:left="43" w:right="43"/>
            </w:pPr>
            <w:r>
              <w:t>ISO 14246:2014</w:t>
            </w:r>
          </w:p>
        </w:tc>
        <w:tc>
          <w:tcPr>
            <w:tcW w:w="4320" w:type="dxa"/>
            <w:shd w:val="clear" w:color="auto" w:fill="auto"/>
          </w:tcPr>
          <w:p w:rsidR="006B7817" w:rsidRPr="006B7817" w:rsidRDefault="006B7817" w:rsidP="0001428B">
            <w:pPr>
              <w:spacing w:before="40" w:after="80"/>
              <w:ind w:left="43" w:right="43"/>
            </w:pPr>
            <w:r>
              <w:t>Bouteilles à gaz – Robinets de bouteille à gaz – Essais de fabrication et contrôles</w:t>
            </w:r>
          </w:p>
        </w:tc>
        <w:tc>
          <w:tcPr>
            <w:tcW w:w="1579" w:type="dxa"/>
            <w:shd w:val="clear" w:color="auto" w:fill="auto"/>
          </w:tcPr>
          <w:p w:rsidR="006B7817" w:rsidRPr="006B7817" w:rsidRDefault="006B7817" w:rsidP="0031542B">
            <w:pPr>
              <w:spacing w:before="40" w:after="80"/>
              <w:ind w:left="43" w:right="43"/>
            </w:pPr>
            <w:r>
              <w:t>Jusqu’à nouvel ordre</w:t>
            </w:r>
          </w:p>
        </w:tc>
      </w:tr>
    </w:tbl>
    <w:p w:rsidR="006B7817" w:rsidRPr="0001428B" w:rsidRDefault="006B7817" w:rsidP="0001428B">
      <w:pPr>
        <w:pStyle w:val="SingleTxt"/>
        <w:spacing w:after="0" w:line="120" w:lineRule="exact"/>
        <w:rPr>
          <w:sz w:val="10"/>
        </w:rPr>
      </w:pPr>
    </w:p>
    <w:p w:rsidR="008333CF" w:rsidRPr="008333CF" w:rsidRDefault="008333CF" w:rsidP="008333CF">
      <w:pPr>
        <w:pStyle w:val="SingleTxt"/>
        <w:rPr>
          <w:i/>
          <w:iCs/>
          <w:lang w:val="fr-CH"/>
        </w:rPr>
      </w:pPr>
      <w:r w:rsidRPr="008333CF">
        <w:rPr>
          <w:i/>
          <w:iCs/>
          <w:lang w:val="fr-CH"/>
        </w:rPr>
        <w:t>(Document de référence</w:t>
      </w:r>
      <w:r>
        <w:rPr>
          <w:i/>
          <w:iCs/>
          <w:lang w:val="fr-CH"/>
        </w:rPr>
        <w:t> </w:t>
      </w:r>
      <w:r w:rsidRPr="008333CF">
        <w:rPr>
          <w:i/>
          <w:iCs/>
          <w:lang w:val="fr-CH"/>
        </w:rPr>
        <w:t>: ST/SG/AC.10/C.3/2015/9)</w:t>
      </w:r>
    </w:p>
    <w:p w:rsidR="008333CF" w:rsidRPr="008333CF" w:rsidRDefault="008333CF" w:rsidP="008333CF">
      <w:pPr>
        <w:pStyle w:val="SingleTxt"/>
        <w:rPr>
          <w:iCs/>
          <w:lang w:val="fr-CH"/>
        </w:rPr>
      </w:pPr>
      <w:r w:rsidRPr="008333CF">
        <w:rPr>
          <w:iCs/>
          <w:lang w:val="fr-CH"/>
        </w:rPr>
        <w:t>6.2.2.4</w:t>
      </w:r>
      <w:r w:rsidRPr="008333CF">
        <w:rPr>
          <w:iCs/>
          <w:lang w:val="fr-CH"/>
        </w:rPr>
        <w:tab/>
        <w:t>Modifier la fin de la première phrase comme suit</w:t>
      </w:r>
      <w:r>
        <w:rPr>
          <w:iCs/>
          <w:lang w:val="fr-CH"/>
        </w:rPr>
        <w:t> </w:t>
      </w:r>
      <w:r w:rsidRPr="008333CF">
        <w:rPr>
          <w:iCs/>
          <w:lang w:val="fr-CH"/>
        </w:rPr>
        <w:t xml:space="preserve">: </w:t>
      </w:r>
      <w:r>
        <w:rPr>
          <w:iCs/>
          <w:lang w:val="fr-CH"/>
        </w:rPr>
        <w:t>« </w:t>
      </w:r>
      <w:r w:rsidRPr="008333CF">
        <w:rPr>
          <w:iCs/>
          <w:lang w:val="fr-CH"/>
        </w:rPr>
        <w:t>…</w:t>
      </w:r>
      <w:r w:rsidR="00381398">
        <w:rPr>
          <w:iCs/>
          <w:lang w:val="fr-CH"/>
        </w:rPr>
        <w:t xml:space="preserve"> </w:t>
      </w:r>
      <w:r w:rsidRPr="008333CF">
        <w:rPr>
          <w:iCs/>
          <w:lang w:val="fr-CH"/>
        </w:rPr>
        <w:t>les bouteilles “UN” et leurs fermetures ».</w:t>
      </w:r>
    </w:p>
    <w:p w:rsidR="008333CF" w:rsidRPr="008333CF" w:rsidRDefault="008333CF" w:rsidP="008333CF">
      <w:pPr>
        <w:pStyle w:val="SingleTxt"/>
        <w:rPr>
          <w:iCs/>
          <w:lang w:val="fr-CH"/>
        </w:rPr>
      </w:pPr>
      <w:r w:rsidRPr="008333CF">
        <w:rPr>
          <w:iCs/>
          <w:lang w:val="fr-CH"/>
        </w:rPr>
        <w:t>Transférer la dernière ligne du tableau dans un nouveau tableau avec les mêmes titres et avec la nouvelle phrase d’introduction suivante</w:t>
      </w:r>
      <w:r>
        <w:rPr>
          <w:iCs/>
          <w:lang w:val="fr-CH"/>
        </w:rPr>
        <w:t> </w:t>
      </w:r>
      <w:r w:rsidRPr="008333CF">
        <w:rPr>
          <w:iCs/>
          <w:lang w:val="fr-CH"/>
        </w:rPr>
        <w:t xml:space="preserve">: </w:t>
      </w:r>
      <w:r>
        <w:rPr>
          <w:iCs/>
          <w:lang w:val="fr-CH"/>
        </w:rPr>
        <w:t>« </w:t>
      </w:r>
      <w:r w:rsidRPr="008333CF">
        <w:rPr>
          <w:iCs/>
          <w:lang w:val="fr-CH"/>
        </w:rPr>
        <w:t>La norme ci-après s’applique aux contrôles et épreuves périodiques que doivent subir les dispositifs de stockage à hydrure métallique “UN” ».</w:t>
      </w:r>
    </w:p>
    <w:p w:rsidR="008333CF" w:rsidRPr="008333CF" w:rsidRDefault="008333CF" w:rsidP="008333CF">
      <w:pPr>
        <w:pStyle w:val="SingleTxt"/>
        <w:rPr>
          <w:lang w:val="fr-CH"/>
        </w:rPr>
      </w:pPr>
      <w:r w:rsidRPr="008333CF">
        <w:rPr>
          <w:i/>
          <w:iCs/>
          <w:lang w:val="fr-CH"/>
        </w:rPr>
        <w:t>(Documents de référence</w:t>
      </w:r>
      <w:r>
        <w:rPr>
          <w:i/>
          <w:iCs/>
          <w:lang w:val="fr-CH"/>
        </w:rPr>
        <w:t> </w:t>
      </w:r>
      <w:r w:rsidRPr="008333CF">
        <w:rPr>
          <w:i/>
          <w:iCs/>
          <w:lang w:val="fr-CH"/>
        </w:rPr>
        <w:t>: ST/SG/AC.10/C</w:t>
      </w:r>
      <w:r>
        <w:rPr>
          <w:i/>
          <w:iCs/>
          <w:lang w:val="fr-CH"/>
        </w:rPr>
        <w:t xml:space="preserve">.3/2015/9 et document informel </w:t>
      </w:r>
      <w:r w:rsidRPr="008333CF">
        <w:rPr>
          <w:i/>
          <w:iCs/>
          <w:lang w:val="fr-CH"/>
        </w:rPr>
        <w:t>INF.54)</w:t>
      </w:r>
    </w:p>
    <w:p w:rsidR="008333CF" w:rsidRDefault="008333CF" w:rsidP="008333CF">
      <w:pPr>
        <w:pStyle w:val="SingleTxt"/>
        <w:rPr>
          <w:lang w:val="fr-CH"/>
        </w:rPr>
      </w:pPr>
      <w:r w:rsidRPr="008333CF">
        <w:rPr>
          <w:lang w:val="fr-CH"/>
        </w:rPr>
        <w:t>6.2.2.4</w:t>
      </w:r>
      <w:r w:rsidRPr="008333CF">
        <w:rPr>
          <w:lang w:val="fr-CH"/>
        </w:rPr>
        <w:tab/>
        <w:t>À la fin du premier tableau ajouter une nouvelle ligne ainsi conçue</w:t>
      </w:r>
      <w:r>
        <w:rPr>
          <w:lang w:val="fr-CH"/>
        </w:rPr>
        <w:t> </w:t>
      </w:r>
      <w:r w:rsidRPr="008333CF">
        <w:rPr>
          <w:lang w:val="fr-CH"/>
        </w:rPr>
        <w:t>:</w:t>
      </w:r>
    </w:p>
    <w:p w:rsidR="008333CF" w:rsidRPr="008333CF" w:rsidRDefault="008333CF" w:rsidP="008333CF">
      <w:pPr>
        <w:pStyle w:val="SingleTxt"/>
        <w:spacing w:after="0" w:line="120" w:lineRule="exact"/>
        <w:rPr>
          <w:sz w:val="10"/>
          <w:lang w:val="fr-CH"/>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9"/>
        <w:gridCol w:w="4320"/>
        <w:gridCol w:w="1584"/>
      </w:tblGrid>
      <w:tr w:rsidR="000065AB" w:rsidRPr="000065AB" w:rsidTr="002A75A6">
        <w:tc>
          <w:tcPr>
            <w:tcW w:w="1589" w:type="dxa"/>
            <w:shd w:val="clear" w:color="auto" w:fill="auto"/>
          </w:tcPr>
          <w:p w:rsidR="000065AB" w:rsidRPr="000065AB" w:rsidRDefault="000065AB" w:rsidP="0031542B">
            <w:pPr>
              <w:spacing w:before="40" w:after="80"/>
              <w:ind w:left="43" w:right="43"/>
            </w:pPr>
            <w:r>
              <w:t>ISO 22434:2006</w:t>
            </w:r>
          </w:p>
        </w:tc>
        <w:tc>
          <w:tcPr>
            <w:tcW w:w="4320" w:type="dxa"/>
            <w:shd w:val="clear" w:color="auto" w:fill="auto"/>
          </w:tcPr>
          <w:p w:rsidR="000065AB" w:rsidRPr="000065AB" w:rsidRDefault="000065AB" w:rsidP="0031542B">
            <w:pPr>
              <w:spacing w:before="40" w:after="80"/>
              <w:ind w:left="43" w:right="43"/>
              <w:rPr>
                <w:lang w:val="fr-CH"/>
              </w:rPr>
            </w:pPr>
            <w:r>
              <w:t xml:space="preserve">Bouteilles à gaz transportables – </w:t>
            </w:r>
            <w:r w:rsidRPr="000065AB">
              <w:rPr>
                <w:lang w:val="fr-CH"/>
              </w:rPr>
              <w:t xml:space="preserve">Contrôle et </w:t>
            </w:r>
            <w:r w:rsidRPr="0031542B">
              <w:t>maintenance</w:t>
            </w:r>
            <w:r w:rsidRPr="000065AB">
              <w:rPr>
                <w:lang w:val="fr-CH"/>
              </w:rPr>
              <w:t xml:space="preserve"> des robinets de</w:t>
            </w:r>
            <w:r>
              <w:rPr>
                <w:lang w:val="fr-CH"/>
              </w:rPr>
              <w:t xml:space="preserve"> </w:t>
            </w:r>
            <w:r w:rsidRPr="000065AB">
              <w:rPr>
                <w:lang w:val="fr-CH"/>
              </w:rPr>
              <w:t>bouteilles</w:t>
            </w:r>
          </w:p>
          <w:p w:rsidR="000065AB" w:rsidRPr="000065AB" w:rsidRDefault="000065AB" w:rsidP="002A75A6">
            <w:pPr>
              <w:spacing w:before="40" w:after="80"/>
              <w:ind w:left="43" w:right="43"/>
            </w:pPr>
            <w:r w:rsidRPr="002A75A6">
              <w:rPr>
                <w:b/>
                <w:i/>
                <w:lang w:val="fr-CH"/>
              </w:rPr>
              <w:t>NOTA</w:t>
            </w:r>
            <w:r>
              <w:rPr>
                <w:lang w:val="fr-CH"/>
              </w:rPr>
              <w:t> </w:t>
            </w:r>
            <w:r w:rsidRPr="000065AB">
              <w:rPr>
                <w:lang w:val="fr-CH"/>
              </w:rPr>
              <w:t>: Il peut être satisfait à ces prescriptions à</w:t>
            </w:r>
            <w:r w:rsidR="002A75A6">
              <w:rPr>
                <w:lang w:val="fr-CH"/>
              </w:rPr>
              <w:t> </w:t>
            </w:r>
            <w:r w:rsidRPr="000065AB">
              <w:rPr>
                <w:lang w:val="fr-CH"/>
              </w:rPr>
              <w:t xml:space="preserve">d’autres </w:t>
            </w:r>
            <w:r w:rsidRPr="0031542B">
              <w:t>moments</w:t>
            </w:r>
            <w:r w:rsidRPr="000065AB">
              <w:rPr>
                <w:lang w:val="fr-CH"/>
              </w:rPr>
              <w:t xml:space="preserve"> que lors des contrôles et épreuves périodiques des bouteilles </w:t>
            </w:r>
            <w:r>
              <w:rPr>
                <w:lang w:val="fr-CH"/>
              </w:rPr>
              <w:t>« </w:t>
            </w:r>
            <w:r w:rsidRPr="000065AB">
              <w:rPr>
                <w:lang w:val="fr-CH"/>
              </w:rPr>
              <w:t>UN</w:t>
            </w:r>
            <w:r>
              <w:rPr>
                <w:lang w:val="fr-CH"/>
              </w:rPr>
              <w:t> »</w:t>
            </w:r>
            <w:r w:rsidRPr="000065AB">
              <w:rPr>
                <w:lang w:val="fr-CH"/>
              </w:rPr>
              <w:t>.</w:t>
            </w:r>
          </w:p>
        </w:tc>
        <w:tc>
          <w:tcPr>
            <w:tcW w:w="1584" w:type="dxa"/>
            <w:shd w:val="clear" w:color="auto" w:fill="auto"/>
          </w:tcPr>
          <w:p w:rsidR="000065AB" w:rsidRPr="000065AB" w:rsidRDefault="000065AB" w:rsidP="0031542B">
            <w:pPr>
              <w:spacing w:before="40" w:after="80"/>
              <w:ind w:left="43" w:right="43"/>
            </w:pPr>
            <w:r>
              <w:t>Jusqu’à nouvel ordre</w:t>
            </w:r>
          </w:p>
        </w:tc>
      </w:tr>
    </w:tbl>
    <w:p w:rsidR="002A75A6" w:rsidRPr="002A75A6" w:rsidRDefault="002A75A6" w:rsidP="002A75A6">
      <w:pPr>
        <w:pStyle w:val="SingleTxt"/>
        <w:spacing w:after="0" w:line="120" w:lineRule="exact"/>
        <w:rPr>
          <w:i/>
          <w:iCs/>
          <w:sz w:val="10"/>
          <w:lang w:val="fr-CH"/>
        </w:rPr>
      </w:pPr>
    </w:p>
    <w:p w:rsidR="000065AB" w:rsidRPr="000065AB" w:rsidRDefault="000065AB" w:rsidP="000065AB">
      <w:pPr>
        <w:pStyle w:val="SingleTxt"/>
        <w:rPr>
          <w:i/>
          <w:iCs/>
          <w:lang w:val="fr-CH"/>
        </w:rPr>
      </w:pPr>
      <w:r w:rsidRPr="000065AB">
        <w:rPr>
          <w:i/>
          <w:iCs/>
          <w:lang w:val="fr-CH"/>
        </w:rPr>
        <w:t>(Documents de référence</w:t>
      </w:r>
      <w:r w:rsidR="00E55162">
        <w:rPr>
          <w:i/>
          <w:iCs/>
          <w:lang w:val="fr-CH"/>
        </w:rPr>
        <w:t> </w:t>
      </w:r>
      <w:r w:rsidRPr="000065AB">
        <w:rPr>
          <w:i/>
          <w:iCs/>
          <w:lang w:val="fr-CH"/>
        </w:rPr>
        <w:t>: ST/SG/AC.10/</w:t>
      </w:r>
      <w:r w:rsidR="00E55162">
        <w:rPr>
          <w:i/>
          <w:iCs/>
          <w:lang w:val="fr-CH"/>
        </w:rPr>
        <w:t>C.3/2015/9 et document informel</w:t>
      </w:r>
      <w:r w:rsidRPr="000065AB">
        <w:rPr>
          <w:i/>
          <w:iCs/>
          <w:lang w:val="fr-CH"/>
        </w:rPr>
        <w:t xml:space="preserve"> INF.54)</w:t>
      </w:r>
    </w:p>
    <w:p w:rsidR="000065AB" w:rsidRPr="000065AB" w:rsidRDefault="000065AB" w:rsidP="000065AB">
      <w:pPr>
        <w:pStyle w:val="SingleTxt"/>
        <w:rPr>
          <w:lang w:val="fr-CH"/>
        </w:rPr>
      </w:pPr>
      <w:r w:rsidRPr="000065AB">
        <w:rPr>
          <w:lang w:val="fr-CH"/>
        </w:rPr>
        <w:t>6.2.2.7.4</w:t>
      </w:r>
      <w:r w:rsidRPr="000065AB">
        <w:rPr>
          <w:lang w:val="fr-CH"/>
        </w:rPr>
        <w:tab/>
        <w:t>Ajouter le ajouter le nouveau N</w:t>
      </w:r>
      <w:r w:rsidR="002A75A6">
        <w:rPr>
          <w:lang w:val="fr-CH"/>
        </w:rPr>
        <w:t>OTA</w:t>
      </w:r>
      <w:r w:rsidRPr="000065AB">
        <w:rPr>
          <w:lang w:val="fr-CH"/>
        </w:rPr>
        <w:t xml:space="preserve"> suivant sous l’alinéa</w:t>
      </w:r>
      <w:r w:rsidR="00E55162">
        <w:rPr>
          <w:lang w:val="fr-CH"/>
        </w:rPr>
        <w:t> </w:t>
      </w:r>
      <w:r w:rsidRPr="000065AB">
        <w:rPr>
          <w:lang w:val="fr-CH"/>
        </w:rPr>
        <w:t>m)</w:t>
      </w:r>
      <w:r w:rsidR="00E55162">
        <w:rPr>
          <w:lang w:val="fr-CH"/>
        </w:rPr>
        <w:t> :</w:t>
      </w:r>
    </w:p>
    <w:p w:rsidR="000065AB" w:rsidRPr="000065AB" w:rsidRDefault="00E55162" w:rsidP="000065AB">
      <w:pPr>
        <w:pStyle w:val="SingleTxt"/>
        <w:rPr>
          <w:i/>
          <w:lang w:val="fr-CH"/>
        </w:rPr>
      </w:pPr>
      <w:r w:rsidRPr="00E55162">
        <w:rPr>
          <w:lang w:val="fr-CH"/>
        </w:rPr>
        <w:t>« </w:t>
      </w:r>
      <w:r w:rsidR="000065AB" w:rsidRPr="000065AB">
        <w:rPr>
          <w:b/>
          <w:i/>
          <w:lang w:val="fr-CH"/>
        </w:rPr>
        <w:t>NOTA</w:t>
      </w:r>
      <w:r w:rsidRPr="00E55162">
        <w:rPr>
          <w:i/>
          <w:lang w:val="fr-CH"/>
        </w:rPr>
        <w:t> </w:t>
      </w:r>
      <w:r w:rsidR="000065AB" w:rsidRPr="00E55162">
        <w:rPr>
          <w:i/>
          <w:lang w:val="fr-CH"/>
        </w:rPr>
        <w:t xml:space="preserve">: </w:t>
      </w:r>
      <w:r w:rsidR="000065AB" w:rsidRPr="00E55162">
        <w:rPr>
          <w:i/>
          <w:lang w:val="fr-CH"/>
        </w:rPr>
        <w:tab/>
      </w:r>
      <w:r w:rsidR="000065AB" w:rsidRPr="000065AB">
        <w:rPr>
          <w:i/>
          <w:lang w:val="fr-CH"/>
        </w:rPr>
        <w:t xml:space="preserve">Des informations sur les marques qui peuvent être utilisées pour identifier les filetages des bouteilles figurent dans le rapport ISO/TR 11364, Bouteilles à gaz </w:t>
      </w:r>
      <w:r>
        <w:rPr>
          <w:i/>
          <w:lang w:val="fr-CH"/>
        </w:rPr>
        <w:t>–</w:t>
      </w:r>
      <w:r w:rsidR="000065AB" w:rsidRPr="000065AB">
        <w:rPr>
          <w:i/>
          <w:lang w:val="fr-CH"/>
        </w:rPr>
        <w:t xml:space="preserve"> Compilation des filetages nationaux et internationaux des queues de robinets/goulots de bouteilles et leur système d’identification et de marquage.</w:t>
      </w:r>
      <w:r w:rsidR="000065AB" w:rsidRPr="00E55162">
        <w:rPr>
          <w:lang w:val="fr-CH"/>
        </w:rPr>
        <w:t> ».</w:t>
      </w:r>
    </w:p>
    <w:p w:rsidR="000065AB" w:rsidRDefault="000065AB" w:rsidP="000065AB">
      <w:pPr>
        <w:pStyle w:val="SingleTxt"/>
        <w:rPr>
          <w:i/>
          <w:iCs/>
          <w:lang w:val="fr-CH"/>
        </w:rPr>
      </w:pPr>
      <w:r w:rsidRPr="000065AB">
        <w:rPr>
          <w:i/>
          <w:iCs/>
          <w:lang w:val="fr-CH"/>
        </w:rPr>
        <w:t>(Documents de référence</w:t>
      </w:r>
      <w:r w:rsidR="00E55162">
        <w:rPr>
          <w:i/>
          <w:iCs/>
          <w:lang w:val="fr-CH"/>
        </w:rPr>
        <w:t> </w:t>
      </w:r>
      <w:r w:rsidRPr="000065AB">
        <w:rPr>
          <w:i/>
          <w:iCs/>
          <w:lang w:val="fr-CH"/>
        </w:rPr>
        <w:t>: ST/SG/AC.10/C.3/2015/9 et document informel INF.54)</w:t>
      </w:r>
    </w:p>
    <w:p w:rsidR="00E55162" w:rsidRDefault="00E55162" w:rsidP="000065AB">
      <w:pPr>
        <w:pStyle w:val="SingleTxt"/>
        <w:rPr>
          <w:i/>
          <w:iCs/>
          <w:lang w:val="fr-CH"/>
        </w:rPr>
      </w:pPr>
    </w:p>
    <w:p w:rsidR="00E55162" w:rsidRDefault="00E55162">
      <w:pPr>
        <w:spacing w:line="240" w:lineRule="auto"/>
        <w:rPr>
          <w:i/>
          <w:iCs/>
          <w:lang w:val="fr-CH"/>
        </w:rPr>
      </w:pPr>
      <w:r>
        <w:rPr>
          <w:i/>
          <w:iCs/>
          <w:lang w:val="fr-CH"/>
        </w:rPr>
        <w:br w:type="page"/>
      </w:r>
    </w:p>
    <w:p w:rsidR="000065AB" w:rsidRDefault="000065AB" w:rsidP="00E551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065AB">
        <w:rPr>
          <w:lang w:val="fr-CH"/>
        </w:rPr>
        <w:t>Annexe III</w:t>
      </w:r>
    </w:p>
    <w:p w:rsidR="00E55162" w:rsidRPr="00E55162" w:rsidRDefault="00E55162" w:rsidP="00E55162">
      <w:pPr>
        <w:pStyle w:val="SingleTxt"/>
        <w:spacing w:after="0" w:line="120" w:lineRule="exact"/>
        <w:rPr>
          <w:sz w:val="10"/>
          <w:lang w:val="fr-CH"/>
        </w:rPr>
      </w:pPr>
    </w:p>
    <w:p w:rsidR="000065AB" w:rsidRDefault="000065AB" w:rsidP="00E551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065AB">
        <w:rPr>
          <w:lang w:val="fr-CH"/>
        </w:rPr>
        <w:tab/>
      </w:r>
      <w:r w:rsidRPr="000065AB">
        <w:rPr>
          <w:lang w:val="fr-CH"/>
        </w:rPr>
        <w:tab/>
        <w:t xml:space="preserve">Corrections à la dix-neuvième édition révisée </w:t>
      </w:r>
      <w:r w:rsidR="00E55162">
        <w:rPr>
          <w:lang w:val="fr-CH"/>
        </w:rPr>
        <w:br/>
      </w:r>
      <w:r w:rsidRPr="000065AB">
        <w:rPr>
          <w:lang w:val="fr-CH"/>
        </w:rPr>
        <w:t xml:space="preserve">des Recommandations relatives au transport </w:t>
      </w:r>
      <w:r w:rsidR="00E55162">
        <w:rPr>
          <w:lang w:val="fr-CH"/>
        </w:rPr>
        <w:br/>
      </w:r>
      <w:r w:rsidRPr="000065AB">
        <w:rPr>
          <w:lang w:val="fr-CH"/>
        </w:rPr>
        <w:t>des marchandises dangereuses, Règlement type</w:t>
      </w:r>
    </w:p>
    <w:p w:rsidR="00E55162" w:rsidRPr="00E55162" w:rsidRDefault="00E55162" w:rsidP="00E55162">
      <w:pPr>
        <w:pStyle w:val="SingleTxt"/>
        <w:spacing w:after="0" w:line="120" w:lineRule="exact"/>
        <w:rPr>
          <w:sz w:val="10"/>
          <w:lang w:val="fr-CH"/>
        </w:rPr>
      </w:pPr>
    </w:p>
    <w:p w:rsidR="00E55162" w:rsidRPr="00E55162" w:rsidRDefault="00E55162" w:rsidP="00E55162">
      <w:pPr>
        <w:pStyle w:val="SingleTxt"/>
        <w:spacing w:after="0" w:line="120" w:lineRule="exact"/>
        <w:rPr>
          <w:sz w:val="10"/>
          <w:lang w:val="fr-CH"/>
        </w:rPr>
      </w:pPr>
    </w:p>
    <w:p w:rsidR="000065AB" w:rsidRDefault="000065AB" w:rsidP="00E551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065AB">
        <w:rPr>
          <w:lang w:val="fr-CH"/>
        </w:rPr>
        <w:tab/>
      </w:r>
      <w:r w:rsidRPr="000065AB">
        <w:rPr>
          <w:lang w:val="fr-CH"/>
        </w:rPr>
        <w:tab/>
        <w:t>Chapitre 1.5, paragraphe 1.5.1.1, troisième phrase</w:t>
      </w:r>
    </w:p>
    <w:p w:rsidR="00E55162" w:rsidRPr="00E55162" w:rsidRDefault="00E55162" w:rsidP="00E55162">
      <w:pPr>
        <w:pStyle w:val="SingleTxt"/>
        <w:spacing w:after="0" w:line="120" w:lineRule="exact"/>
        <w:rPr>
          <w:sz w:val="10"/>
          <w:lang w:val="fr-CH"/>
        </w:rPr>
      </w:pPr>
    </w:p>
    <w:p w:rsidR="000065AB" w:rsidRPr="000065AB" w:rsidRDefault="009910F5" w:rsidP="000065AB">
      <w:pPr>
        <w:pStyle w:val="SingleTxt"/>
        <w:rPr>
          <w:lang w:val="fr-CH"/>
        </w:rPr>
      </w:pPr>
      <w:r>
        <w:rPr>
          <w:i/>
          <w:lang w:val="fr-CH"/>
        </w:rPr>
        <w:tab/>
      </w:r>
      <w:r w:rsidR="000065AB" w:rsidRPr="000065AB">
        <w:rPr>
          <w:i/>
          <w:lang w:val="fr-CH"/>
        </w:rPr>
        <w:t>Substituer</w:t>
      </w:r>
      <w:r w:rsidR="000065AB" w:rsidRPr="000065AB">
        <w:rPr>
          <w:lang w:val="fr-CH"/>
        </w:rPr>
        <w:t xml:space="preserve"> au texte existant</w:t>
      </w:r>
      <w:r w:rsidR="00DD2931">
        <w:rPr>
          <w:lang w:val="fr-CH"/>
        </w:rPr>
        <w:t>.</w:t>
      </w:r>
    </w:p>
    <w:p w:rsidR="000065AB" w:rsidRDefault="009910F5" w:rsidP="000065AB">
      <w:pPr>
        <w:pStyle w:val="SingleTxt"/>
        <w:rPr>
          <w:lang w:val="fr-CH"/>
        </w:rPr>
      </w:pPr>
      <w:r>
        <w:rPr>
          <w:lang w:val="fr-CH"/>
        </w:rPr>
        <w:tab/>
      </w:r>
      <w:r w:rsidR="000065AB" w:rsidRPr="000065AB">
        <w:rPr>
          <w:lang w:val="fr-CH"/>
        </w:rPr>
        <w:t xml:space="preserve">Les notes d’information figurent dans le document </w:t>
      </w:r>
      <w:r w:rsidR="00E55162">
        <w:rPr>
          <w:lang w:val="fr-CH"/>
        </w:rPr>
        <w:t>« </w:t>
      </w:r>
      <w:r w:rsidR="000065AB" w:rsidRPr="000065AB">
        <w:rPr>
          <w:lang w:val="fr-CH"/>
        </w:rPr>
        <w:t>Advisory Material for the IAEA Regulations for the Safe Transport of Radioactive Material (2012 Edition)</w:t>
      </w:r>
      <w:r w:rsidR="00E55162">
        <w:rPr>
          <w:lang w:val="fr-CH"/>
        </w:rPr>
        <w:t> »</w:t>
      </w:r>
      <w:r w:rsidR="000065AB" w:rsidRPr="000065AB">
        <w:rPr>
          <w:lang w:val="fr-CH"/>
        </w:rPr>
        <w:t>, collection Normes de sûreté n</w:t>
      </w:r>
      <w:r w:rsidR="00E55162" w:rsidRPr="00E55162">
        <w:rPr>
          <w:vertAlign w:val="superscript"/>
          <w:lang w:val="fr-CH"/>
        </w:rPr>
        <w:t>o</w:t>
      </w:r>
      <w:r w:rsidR="00E55162">
        <w:rPr>
          <w:lang w:val="fr-CH"/>
        </w:rPr>
        <w:t> </w:t>
      </w:r>
      <w:r w:rsidR="000065AB" w:rsidRPr="000065AB">
        <w:rPr>
          <w:lang w:val="fr-CH"/>
        </w:rPr>
        <w:t>SSG-26, AIEA, Vienne (2014).</w:t>
      </w:r>
    </w:p>
    <w:p w:rsidR="00E55162" w:rsidRPr="00E55162" w:rsidRDefault="00E55162" w:rsidP="00E55162">
      <w:pPr>
        <w:pStyle w:val="SingleTxt"/>
        <w:spacing w:after="0" w:line="120" w:lineRule="exact"/>
        <w:rPr>
          <w:sz w:val="10"/>
          <w:lang w:val="fr-CH"/>
        </w:rPr>
      </w:pPr>
    </w:p>
    <w:p w:rsidR="000065AB" w:rsidRDefault="000065AB" w:rsidP="00E551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065AB">
        <w:rPr>
          <w:lang w:val="fr-CH"/>
        </w:rPr>
        <w:tab/>
      </w:r>
      <w:r w:rsidRPr="000065AB">
        <w:rPr>
          <w:lang w:val="fr-CH"/>
        </w:rPr>
        <w:tab/>
        <w:t>Chapitre 2.9, paragraphe 2.9.2.2</w:t>
      </w:r>
    </w:p>
    <w:p w:rsidR="00E55162" w:rsidRPr="00E55162" w:rsidRDefault="00E55162" w:rsidP="00E55162">
      <w:pPr>
        <w:pStyle w:val="SingleTxt"/>
        <w:spacing w:after="0" w:line="120" w:lineRule="exact"/>
        <w:rPr>
          <w:sz w:val="10"/>
          <w:lang w:val="fr-CH"/>
        </w:rPr>
      </w:pPr>
    </w:p>
    <w:p w:rsidR="000065AB" w:rsidRDefault="009910F5" w:rsidP="000065AB">
      <w:pPr>
        <w:pStyle w:val="SingleTxt"/>
        <w:rPr>
          <w:lang w:val="fr-CH"/>
        </w:rPr>
      </w:pPr>
      <w:r>
        <w:rPr>
          <w:lang w:val="fr-CH"/>
        </w:rPr>
        <w:tab/>
      </w:r>
      <w:r w:rsidR="000065AB" w:rsidRPr="000065AB">
        <w:rPr>
          <w:lang w:val="fr-CH"/>
        </w:rPr>
        <w:t>Sans objet en français.</w:t>
      </w:r>
    </w:p>
    <w:p w:rsidR="00E55162" w:rsidRPr="00E55162" w:rsidRDefault="00E55162" w:rsidP="00E55162">
      <w:pPr>
        <w:pStyle w:val="SingleTxt"/>
        <w:spacing w:after="0" w:line="120" w:lineRule="exact"/>
        <w:rPr>
          <w:sz w:val="10"/>
          <w:lang w:val="fr-CH"/>
        </w:rPr>
      </w:pPr>
    </w:p>
    <w:p w:rsidR="000065AB" w:rsidRDefault="000065AB" w:rsidP="00E551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065AB">
        <w:rPr>
          <w:lang w:val="fr-CH"/>
        </w:rPr>
        <w:tab/>
      </w:r>
      <w:r w:rsidRPr="000065AB">
        <w:rPr>
          <w:lang w:val="fr-CH"/>
        </w:rPr>
        <w:tab/>
        <w:t>Chapit</w:t>
      </w:r>
      <w:r w:rsidR="00E55162">
        <w:rPr>
          <w:lang w:val="fr-CH"/>
        </w:rPr>
        <w:t>re 3.3, disposition spéciale 29</w:t>
      </w:r>
    </w:p>
    <w:p w:rsidR="00E55162" w:rsidRPr="00E55162" w:rsidRDefault="00E55162" w:rsidP="00E55162">
      <w:pPr>
        <w:pStyle w:val="SingleTxt"/>
        <w:spacing w:after="0" w:line="120" w:lineRule="exact"/>
        <w:rPr>
          <w:sz w:val="10"/>
          <w:lang w:val="fr-CH"/>
        </w:rPr>
      </w:pPr>
    </w:p>
    <w:p w:rsidR="000065AB" w:rsidRPr="000065AB" w:rsidRDefault="009910F5" w:rsidP="000065AB">
      <w:pPr>
        <w:pStyle w:val="SingleTxt"/>
        <w:rPr>
          <w:lang w:val="fr-CH"/>
        </w:rPr>
      </w:pPr>
      <w:r>
        <w:rPr>
          <w:i/>
          <w:lang w:val="fr-CH"/>
        </w:rPr>
        <w:tab/>
      </w:r>
      <w:r w:rsidR="000065AB" w:rsidRPr="000065AB">
        <w:rPr>
          <w:i/>
          <w:lang w:val="fr-CH"/>
        </w:rPr>
        <w:t>Après</w:t>
      </w:r>
      <w:r w:rsidR="000065AB" w:rsidRPr="000065AB">
        <w:rPr>
          <w:lang w:val="fr-CH"/>
        </w:rPr>
        <w:t xml:space="preserve"> de la classe </w:t>
      </w:r>
      <w:r w:rsidR="000065AB" w:rsidRPr="000065AB">
        <w:rPr>
          <w:i/>
          <w:lang w:val="fr-CH"/>
        </w:rPr>
        <w:t>insérer</w:t>
      </w:r>
      <w:r w:rsidR="000065AB" w:rsidRPr="000065AB">
        <w:rPr>
          <w:lang w:val="fr-CH"/>
        </w:rPr>
        <w:t xml:space="preserve"> ou de la division.</w:t>
      </w:r>
    </w:p>
    <w:p w:rsidR="000065AB" w:rsidRPr="00E55162" w:rsidRDefault="000065AB" w:rsidP="00E55162">
      <w:pPr>
        <w:pStyle w:val="SingleTxt"/>
        <w:spacing w:after="0" w:line="120" w:lineRule="exact"/>
        <w:rPr>
          <w:i/>
          <w:sz w:val="10"/>
          <w:lang w:val="fr-CH"/>
        </w:rPr>
      </w:pPr>
    </w:p>
    <w:p w:rsidR="000065AB" w:rsidRDefault="000065AB" w:rsidP="00E551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065AB">
        <w:rPr>
          <w:lang w:val="fr-CH"/>
        </w:rPr>
        <w:tab/>
      </w:r>
      <w:r w:rsidRPr="000065AB">
        <w:rPr>
          <w:lang w:val="fr-CH"/>
        </w:rPr>
        <w:tab/>
        <w:t>Chapitre 3.3, disposition spéciale 172 b)</w:t>
      </w:r>
    </w:p>
    <w:p w:rsidR="00E55162" w:rsidRPr="00E55162" w:rsidRDefault="00E55162" w:rsidP="00E55162">
      <w:pPr>
        <w:pStyle w:val="SingleTxt"/>
        <w:spacing w:after="0" w:line="120" w:lineRule="exact"/>
        <w:rPr>
          <w:sz w:val="10"/>
          <w:lang w:val="fr-CH"/>
        </w:rPr>
      </w:pPr>
    </w:p>
    <w:p w:rsidR="000065AB" w:rsidRDefault="009910F5" w:rsidP="000065AB">
      <w:pPr>
        <w:pStyle w:val="SingleTxt"/>
        <w:rPr>
          <w:lang w:val="fr-CH"/>
        </w:rPr>
      </w:pPr>
      <w:r>
        <w:rPr>
          <w:lang w:val="fr-CH"/>
        </w:rPr>
        <w:tab/>
      </w:r>
      <w:r w:rsidR="000065AB" w:rsidRPr="000065AB">
        <w:rPr>
          <w:lang w:val="fr-CH"/>
        </w:rPr>
        <w:t>Sans objet en français.</w:t>
      </w:r>
    </w:p>
    <w:p w:rsidR="00E55162" w:rsidRPr="00E55162" w:rsidRDefault="00E55162" w:rsidP="00E55162">
      <w:pPr>
        <w:pStyle w:val="SingleTxt"/>
        <w:spacing w:after="0" w:line="120" w:lineRule="exact"/>
        <w:rPr>
          <w:sz w:val="10"/>
          <w:lang w:val="fr-CH"/>
        </w:rPr>
      </w:pPr>
    </w:p>
    <w:p w:rsidR="000065AB" w:rsidRDefault="000065AB" w:rsidP="00E551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065AB">
        <w:rPr>
          <w:lang w:val="fr-CH"/>
        </w:rPr>
        <w:tab/>
      </w:r>
      <w:r w:rsidRPr="000065AB">
        <w:rPr>
          <w:lang w:val="fr-CH"/>
        </w:rPr>
        <w:tab/>
        <w:t>Chapitre 3.3, disposition spéciale 295</w:t>
      </w:r>
    </w:p>
    <w:p w:rsidR="00E55162" w:rsidRPr="00E55162" w:rsidRDefault="00E55162" w:rsidP="00E55162">
      <w:pPr>
        <w:pStyle w:val="SingleTxt"/>
        <w:spacing w:after="0" w:line="120" w:lineRule="exact"/>
        <w:rPr>
          <w:sz w:val="10"/>
          <w:lang w:val="fr-CH"/>
        </w:rPr>
      </w:pPr>
    </w:p>
    <w:p w:rsidR="000065AB" w:rsidRDefault="009910F5" w:rsidP="000065AB">
      <w:pPr>
        <w:pStyle w:val="SingleTxt"/>
        <w:rPr>
          <w:lang w:val="fr-CH"/>
        </w:rPr>
      </w:pPr>
      <w:r>
        <w:rPr>
          <w:i/>
          <w:lang w:val="fr-CH"/>
        </w:rPr>
        <w:tab/>
      </w:r>
      <w:r w:rsidR="000065AB" w:rsidRPr="000065AB">
        <w:rPr>
          <w:i/>
          <w:lang w:val="fr-CH"/>
        </w:rPr>
        <w:t>Remplacer</w:t>
      </w:r>
      <w:r w:rsidR="000065AB" w:rsidRPr="000065AB">
        <w:rPr>
          <w:lang w:val="fr-CH"/>
        </w:rPr>
        <w:t xml:space="preserve"> le marquage et l’étiquette appropriés </w:t>
      </w:r>
      <w:r w:rsidR="000065AB" w:rsidRPr="000065AB">
        <w:rPr>
          <w:i/>
          <w:lang w:val="fr-CH"/>
        </w:rPr>
        <w:t>par</w:t>
      </w:r>
      <w:r w:rsidR="000065AB" w:rsidRPr="000065AB">
        <w:rPr>
          <w:lang w:val="fr-CH"/>
        </w:rPr>
        <w:t xml:space="preserve"> la marque et l’étiquette appropriées</w:t>
      </w:r>
      <w:r w:rsidR="00DD2931">
        <w:rPr>
          <w:lang w:val="fr-CH"/>
        </w:rPr>
        <w:t>.</w:t>
      </w:r>
    </w:p>
    <w:p w:rsidR="00E55162" w:rsidRPr="00E55162" w:rsidRDefault="00E55162" w:rsidP="00E55162">
      <w:pPr>
        <w:pStyle w:val="SingleTxt"/>
        <w:spacing w:after="0" w:line="120" w:lineRule="exact"/>
        <w:rPr>
          <w:sz w:val="10"/>
          <w:lang w:val="fr-CH"/>
        </w:rPr>
      </w:pPr>
    </w:p>
    <w:p w:rsidR="000065AB" w:rsidRDefault="000065AB" w:rsidP="00E551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065AB">
        <w:rPr>
          <w:lang w:val="fr-CH"/>
        </w:rPr>
        <w:tab/>
      </w:r>
      <w:r w:rsidRPr="000065AB">
        <w:rPr>
          <w:lang w:val="fr-CH"/>
        </w:rPr>
        <w:tab/>
        <w:t>Chapitre 3.3, disposition spéciale 339</w:t>
      </w:r>
    </w:p>
    <w:p w:rsidR="00E55162" w:rsidRPr="00E55162" w:rsidRDefault="00E55162" w:rsidP="00E55162">
      <w:pPr>
        <w:pStyle w:val="SingleTxt"/>
        <w:spacing w:after="0" w:line="120" w:lineRule="exact"/>
        <w:rPr>
          <w:sz w:val="10"/>
          <w:lang w:val="fr-CH"/>
        </w:rPr>
      </w:pPr>
    </w:p>
    <w:p w:rsidR="000065AB" w:rsidRDefault="009910F5" w:rsidP="000065AB">
      <w:pPr>
        <w:pStyle w:val="SingleTxt"/>
        <w:rPr>
          <w:lang w:val="fr-CH"/>
        </w:rPr>
      </w:pPr>
      <w:r>
        <w:rPr>
          <w:i/>
          <w:lang w:val="fr-CH"/>
        </w:rPr>
        <w:tab/>
      </w:r>
      <w:r w:rsidR="000065AB" w:rsidRPr="000065AB">
        <w:rPr>
          <w:i/>
          <w:lang w:val="fr-CH"/>
        </w:rPr>
        <w:t>Sous</w:t>
      </w:r>
      <w:r w:rsidR="000065AB" w:rsidRPr="000065AB">
        <w:rPr>
          <w:lang w:val="fr-CH"/>
        </w:rPr>
        <w:t xml:space="preserve"> </w:t>
      </w:r>
      <w:r w:rsidR="000065AB" w:rsidRPr="000065AB">
        <w:rPr>
          <w:b/>
          <w:bCs/>
          <w:lang w:val="fr-CH"/>
        </w:rPr>
        <w:t>Épreuve d’étanchéité en production</w:t>
      </w:r>
      <w:r w:rsidR="000065AB" w:rsidRPr="000065AB">
        <w:rPr>
          <w:lang w:val="fr-CH"/>
        </w:rPr>
        <w:t xml:space="preserve">, au deuxième paragraphe, </w:t>
      </w:r>
      <w:r w:rsidR="000065AB" w:rsidRPr="000065AB">
        <w:rPr>
          <w:i/>
          <w:lang w:val="fr-CH"/>
        </w:rPr>
        <w:t>remplacer</w:t>
      </w:r>
      <w:r w:rsidR="000065AB" w:rsidRPr="000065AB">
        <w:rPr>
          <w:lang w:val="fr-CH"/>
        </w:rPr>
        <w:t xml:space="preserve"> un marquage permanent </w:t>
      </w:r>
      <w:r w:rsidR="000065AB" w:rsidRPr="000065AB">
        <w:rPr>
          <w:i/>
          <w:lang w:val="fr-CH"/>
        </w:rPr>
        <w:t xml:space="preserve">par </w:t>
      </w:r>
      <w:r w:rsidR="000065AB" w:rsidRPr="000065AB">
        <w:rPr>
          <w:lang w:val="fr-CH"/>
        </w:rPr>
        <w:t>une marque permanente.</w:t>
      </w:r>
    </w:p>
    <w:p w:rsidR="00E55162" w:rsidRPr="00E55162" w:rsidRDefault="00E55162" w:rsidP="00E55162">
      <w:pPr>
        <w:pStyle w:val="SingleTxt"/>
        <w:spacing w:after="0" w:line="120" w:lineRule="exact"/>
        <w:rPr>
          <w:sz w:val="10"/>
          <w:lang w:val="fr-CH"/>
        </w:rPr>
      </w:pPr>
    </w:p>
    <w:p w:rsidR="000065AB" w:rsidRDefault="000065AB" w:rsidP="00E551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065AB">
        <w:rPr>
          <w:lang w:val="fr-CH"/>
        </w:rPr>
        <w:tab/>
      </w:r>
      <w:r w:rsidRPr="000065AB">
        <w:rPr>
          <w:lang w:val="fr-CH"/>
        </w:rPr>
        <w:tab/>
        <w:t xml:space="preserve">Chapitre 3.3, disposition spéciale </w:t>
      </w:r>
      <w:r w:rsidR="00E55162">
        <w:rPr>
          <w:lang w:val="fr-CH"/>
        </w:rPr>
        <w:t>363 a)</w:t>
      </w:r>
    </w:p>
    <w:p w:rsidR="00E55162" w:rsidRPr="00E55162" w:rsidRDefault="00E55162" w:rsidP="00E55162">
      <w:pPr>
        <w:pStyle w:val="SingleTxt"/>
        <w:spacing w:after="0" w:line="120" w:lineRule="exact"/>
        <w:rPr>
          <w:sz w:val="10"/>
          <w:lang w:val="fr-CH"/>
        </w:rPr>
      </w:pPr>
    </w:p>
    <w:p w:rsidR="000065AB" w:rsidRDefault="009910F5" w:rsidP="000065AB">
      <w:pPr>
        <w:pStyle w:val="SingleTxt"/>
        <w:rPr>
          <w:lang w:val="fr-CH"/>
        </w:rPr>
      </w:pPr>
      <w:r>
        <w:rPr>
          <w:i/>
          <w:lang w:val="fr-CH"/>
        </w:rPr>
        <w:tab/>
      </w:r>
      <w:r w:rsidR="000065AB" w:rsidRPr="000065AB">
        <w:rPr>
          <w:i/>
          <w:lang w:val="fr-CH"/>
        </w:rPr>
        <w:t xml:space="preserve">Remplacer </w:t>
      </w:r>
      <w:r w:rsidR="000065AB" w:rsidRPr="000065AB">
        <w:rPr>
          <w:lang w:val="fr-CH"/>
        </w:rPr>
        <w:t>alimentés par des carburants</w:t>
      </w:r>
      <w:r w:rsidR="000065AB" w:rsidRPr="000065AB">
        <w:rPr>
          <w:i/>
          <w:lang w:val="fr-CH"/>
        </w:rPr>
        <w:t xml:space="preserve"> par </w:t>
      </w:r>
      <w:r w:rsidR="000065AB" w:rsidRPr="000065AB">
        <w:rPr>
          <w:lang w:val="fr-CH"/>
        </w:rPr>
        <w:t>fonctionnant à l’aide de combustibles</w:t>
      </w:r>
      <w:r w:rsidR="00DD2931">
        <w:rPr>
          <w:lang w:val="fr-CH"/>
        </w:rPr>
        <w:t>.</w:t>
      </w:r>
    </w:p>
    <w:p w:rsidR="00E55162" w:rsidRPr="00E55162" w:rsidRDefault="00E55162" w:rsidP="00E55162">
      <w:pPr>
        <w:pStyle w:val="SingleTxt"/>
        <w:spacing w:after="0" w:line="120" w:lineRule="exact"/>
        <w:rPr>
          <w:sz w:val="10"/>
          <w:lang w:val="fr-CH"/>
        </w:rPr>
      </w:pPr>
    </w:p>
    <w:p w:rsidR="000065AB" w:rsidRDefault="000065AB" w:rsidP="00E551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065AB">
        <w:rPr>
          <w:lang w:val="fr-CH"/>
        </w:rPr>
        <w:tab/>
      </w:r>
      <w:r w:rsidRPr="000065AB">
        <w:rPr>
          <w:lang w:val="fr-CH"/>
        </w:rPr>
        <w:tab/>
        <w:t>Chapitre 3.3, disposition spéciale 363 b) à g)</w:t>
      </w:r>
    </w:p>
    <w:p w:rsidR="00E55162" w:rsidRPr="00E55162" w:rsidRDefault="00E55162" w:rsidP="00E55162">
      <w:pPr>
        <w:pStyle w:val="SingleTxt"/>
        <w:spacing w:after="0" w:line="120" w:lineRule="exact"/>
        <w:rPr>
          <w:sz w:val="10"/>
          <w:lang w:val="fr-CH"/>
        </w:rPr>
      </w:pPr>
    </w:p>
    <w:p w:rsidR="000065AB" w:rsidRDefault="009910F5" w:rsidP="000065AB">
      <w:pPr>
        <w:pStyle w:val="SingleTxt"/>
        <w:rPr>
          <w:lang w:val="fr-CH"/>
        </w:rPr>
      </w:pPr>
      <w:r>
        <w:rPr>
          <w:i/>
          <w:lang w:val="fr-CH"/>
        </w:rPr>
        <w:tab/>
      </w:r>
      <w:r w:rsidR="000065AB" w:rsidRPr="000065AB">
        <w:rPr>
          <w:i/>
          <w:lang w:val="fr-CH"/>
        </w:rPr>
        <w:t>Remplacer</w:t>
      </w:r>
      <w:r w:rsidR="000065AB" w:rsidRPr="000065AB">
        <w:rPr>
          <w:lang w:val="fr-CH"/>
        </w:rPr>
        <w:t xml:space="preserve"> carburant/carburants </w:t>
      </w:r>
      <w:r w:rsidR="000065AB" w:rsidRPr="000065AB">
        <w:rPr>
          <w:i/>
          <w:lang w:val="fr-CH"/>
        </w:rPr>
        <w:t xml:space="preserve">par </w:t>
      </w:r>
      <w:r w:rsidR="000065AB" w:rsidRPr="000065AB">
        <w:rPr>
          <w:lang w:val="fr-CH"/>
        </w:rPr>
        <w:t>combustible/combustibles</w:t>
      </w:r>
      <w:r w:rsidR="00DD2931">
        <w:rPr>
          <w:lang w:val="fr-CH"/>
        </w:rPr>
        <w:t>.</w:t>
      </w:r>
    </w:p>
    <w:p w:rsidR="00D34FD9" w:rsidRPr="00D34FD9" w:rsidRDefault="00D34FD9" w:rsidP="00D34FD9">
      <w:pPr>
        <w:pStyle w:val="SingleTxt"/>
        <w:spacing w:after="0" w:line="120" w:lineRule="exact"/>
        <w:rPr>
          <w:sz w:val="10"/>
          <w:lang w:val="fr-CH"/>
        </w:rPr>
      </w:pPr>
    </w:p>
    <w:p w:rsidR="000065AB" w:rsidRDefault="000065AB" w:rsidP="00D34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065AB">
        <w:rPr>
          <w:lang w:val="fr-CH"/>
        </w:rPr>
        <w:tab/>
      </w:r>
      <w:r w:rsidRPr="000065AB">
        <w:rPr>
          <w:lang w:val="fr-CH"/>
        </w:rPr>
        <w:tab/>
        <w:t>Chapitre 3.4, titre de la section 3.4.7</w:t>
      </w:r>
    </w:p>
    <w:p w:rsidR="00D34FD9" w:rsidRPr="00D34FD9" w:rsidRDefault="00D34FD9" w:rsidP="00D34FD9">
      <w:pPr>
        <w:pStyle w:val="SingleTxt"/>
        <w:spacing w:after="0" w:line="120" w:lineRule="exact"/>
        <w:rPr>
          <w:sz w:val="10"/>
          <w:lang w:val="fr-CH"/>
        </w:rPr>
      </w:pPr>
    </w:p>
    <w:p w:rsidR="000065AB" w:rsidRDefault="009910F5" w:rsidP="000065AB">
      <w:pPr>
        <w:pStyle w:val="SingleTxt"/>
        <w:rPr>
          <w:lang w:val="fr-CH"/>
        </w:rPr>
      </w:pPr>
      <w:r>
        <w:rPr>
          <w:lang w:val="fr-CH"/>
        </w:rPr>
        <w:tab/>
      </w:r>
      <w:r w:rsidR="000065AB" w:rsidRPr="000065AB">
        <w:rPr>
          <w:lang w:val="fr-CH"/>
        </w:rPr>
        <w:t>Sans objet en français.</w:t>
      </w:r>
    </w:p>
    <w:p w:rsidR="00D34FD9" w:rsidRPr="00D34FD9" w:rsidRDefault="00D34FD9" w:rsidP="00D34FD9">
      <w:pPr>
        <w:pStyle w:val="SingleTxt"/>
        <w:spacing w:after="0" w:line="120" w:lineRule="exact"/>
        <w:rPr>
          <w:sz w:val="10"/>
          <w:lang w:val="fr-CH"/>
        </w:rPr>
      </w:pPr>
    </w:p>
    <w:p w:rsidR="000065AB" w:rsidRDefault="00D34FD9" w:rsidP="00D34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Chapitre 3.4, </w:t>
      </w:r>
      <w:r w:rsidR="000065AB" w:rsidRPr="000065AB">
        <w:rPr>
          <w:lang w:val="fr-CH"/>
        </w:rPr>
        <w:t>titre de la section 3.4.8</w:t>
      </w:r>
    </w:p>
    <w:p w:rsidR="00D34FD9" w:rsidRPr="00D34FD9" w:rsidRDefault="00D34FD9" w:rsidP="00D34FD9">
      <w:pPr>
        <w:pStyle w:val="SingleTxt"/>
        <w:spacing w:after="0" w:line="120" w:lineRule="exact"/>
        <w:rPr>
          <w:sz w:val="10"/>
          <w:lang w:val="fr-CH"/>
        </w:rPr>
      </w:pPr>
    </w:p>
    <w:p w:rsidR="000065AB" w:rsidRDefault="009910F5" w:rsidP="000065AB">
      <w:pPr>
        <w:pStyle w:val="SingleTxt"/>
        <w:rPr>
          <w:lang w:val="fr-CH"/>
        </w:rPr>
      </w:pPr>
      <w:r>
        <w:rPr>
          <w:lang w:val="fr-CH"/>
        </w:rPr>
        <w:tab/>
      </w:r>
      <w:r w:rsidR="000065AB" w:rsidRPr="000065AB">
        <w:rPr>
          <w:lang w:val="fr-CH"/>
        </w:rPr>
        <w:t>Sans objet en français.</w:t>
      </w:r>
    </w:p>
    <w:p w:rsidR="00D34FD9" w:rsidRPr="00D34FD9" w:rsidRDefault="00D34FD9" w:rsidP="00D34FD9">
      <w:pPr>
        <w:pStyle w:val="SingleTxt"/>
        <w:spacing w:after="0" w:line="120" w:lineRule="exact"/>
        <w:rPr>
          <w:sz w:val="10"/>
          <w:lang w:val="fr-CH"/>
        </w:rPr>
      </w:pPr>
    </w:p>
    <w:p w:rsidR="000065AB" w:rsidRDefault="000065AB" w:rsidP="00D34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065AB">
        <w:rPr>
          <w:lang w:val="fr-CH"/>
        </w:rPr>
        <w:tab/>
      </w:r>
      <w:r w:rsidRPr="000065AB">
        <w:rPr>
          <w:lang w:val="fr-CH"/>
        </w:rPr>
        <w:tab/>
        <w:t>Chapitre 3.5,</w:t>
      </w:r>
      <w:r w:rsidR="00FC6BB3">
        <w:rPr>
          <w:lang w:val="fr-CH"/>
        </w:rPr>
        <w:t xml:space="preserve"> </w:t>
      </w:r>
      <w:r w:rsidRPr="000065AB">
        <w:rPr>
          <w:lang w:val="fr-CH"/>
        </w:rPr>
        <w:t>titre de la section 3.5.5</w:t>
      </w:r>
    </w:p>
    <w:p w:rsidR="00D34FD9" w:rsidRPr="00D34FD9" w:rsidRDefault="00D34FD9" w:rsidP="00D34FD9">
      <w:pPr>
        <w:pStyle w:val="SingleTxt"/>
        <w:spacing w:after="0" w:line="120" w:lineRule="exact"/>
        <w:rPr>
          <w:sz w:val="10"/>
          <w:lang w:val="fr-CH"/>
        </w:rPr>
      </w:pPr>
    </w:p>
    <w:p w:rsidR="000065AB" w:rsidRDefault="009910F5" w:rsidP="000065AB">
      <w:pPr>
        <w:pStyle w:val="SingleTxt"/>
        <w:rPr>
          <w:lang w:val="fr-FR"/>
        </w:rPr>
      </w:pPr>
      <w:r>
        <w:rPr>
          <w:i/>
          <w:lang w:val="fr-FR"/>
        </w:rPr>
        <w:tab/>
      </w:r>
      <w:r w:rsidR="000065AB" w:rsidRPr="000065AB">
        <w:rPr>
          <w:i/>
          <w:lang w:val="fr-FR"/>
        </w:rPr>
        <w:t xml:space="preserve">Remplacer </w:t>
      </w:r>
      <w:r w:rsidR="000065AB" w:rsidRPr="000065AB">
        <w:rPr>
          <w:lang w:val="fr-FR"/>
        </w:rPr>
        <w:t xml:space="preserve">véhicule routier de transport de marchandises, wagon de marchandises ou conteneur multimodal </w:t>
      </w:r>
      <w:r w:rsidR="000065AB" w:rsidRPr="000065AB">
        <w:rPr>
          <w:i/>
          <w:lang w:val="fr-FR"/>
        </w:rPr>
        <w:t xml:space="preserve">par </w:t>
      </w:r>
      <w:r w:rsidR="000065AB" w:rsidRPr="000065AB">
        <w:rPr>
          <w:lang w:val="fr-FR"/>
        </w:rPr>
        <w:t>engin de transport.</w:t>
      </w:r>
    </w:p>
    <w:p w:rsidR="00D34FD9" w:rsidRPr="00D34FD9" w:rsidRDefault="00D34FD9" w:rsidP="00D34FD9">
      <w:pPr>
        <w:pStyle w:val="SingleTxt"/>
        <w:spacing w:after="0" w:line="120" w:lineRule="exact"/>
        <w:rPr>
          <w:sz w:val="10"/>
          <w:lang w:val="fr-FR"/>
        </w:rPr>
      </w:pPr>
    </w:p>
    <w:p w:rsidR="000065AB" w:rsidRDefault="000065AB" w:rsidP="000110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065AB">
        <w:rPr>
          <w:lang w:val="fr-CH"/>
        </w:rPr>
        <w:tab/>
      </w:r>
      <w:r w:rsidRPr="000065AB">
        <w:rPr>
          <w:lang w:val="fr-CH"/>
        </w:rPr>
        <w:tab/>
        <w:t>Chapitre 3.5, section 3.5.5</w:t>
      </w:r>
    </w:p>
    <w:p w:rsidR="00D34FD9" w:rsidRPr="00D34FD9" w:rsidRDefault="00D34FD9" w:rsidP="000110EC">
      <w:pPr>
        <w:pStyle w:val="SingleTxt"/>
        <w:keepNext/>
        <w:keepLines/>
        <w:spacing w:after="0" w:line="120" w:lineRule="exact"/>
        <w:rPr>
          <w:sz w:val="10"/>
          <w:lang w:val="fr-CH"/>
        </w:rPr>
      </w:pPr>
    </w:p>
    <w:p w:rsidR="000065AB" w:rsidRDefault="009910F5" w:rsidP="000065AB">
      <w:pPr>
        <w:pStyle w:val="SingleTxt"/>
        <w:rPr>
          <w:lang w:val="fr-FR"/>
        </w:rPr>
      </w:pPr>
      <w:r>
        <w:rPr>
          <w:i/>
          <w:lang w:val="fr-FR"/>
        </w:rPr>
        <w:tab/>
      </w:r>
      <w:r w:rsidR="000065AB" w:rsidRPr="000065AB">
        <w:rPr>
          <w:i/>
          <w:lang w:val="fr-FR"/>
        </w:rPr>
        <w:t xml:space="preserve">Remplacer </w:t>
      </w:r>
      <w:r w:rsidR="000065AB" w:rsidRPr="000065AB">
        <w:rPr>
          <w:lang w:val="fr-FR"/>
        </w:rPr>
        <w:t xml:space="preserve">véhicule routier de transport de marchandises, wagon de marchandises ou conteneur multimodal </w:t>
      </w:r>
      <w:r w:rsidR="000065AB" w:rsidRPr="000065AB">
        <w:rPr>
          <w:i/>
          <w:lang w:val="fr-FR"/>
        </w:rPr>
        <w:t xml:space="preserve">par </w:t>
      </w:r>
      <w:r w:rsidR="000065AB" w:rsidRPr="000065AB">
        <w:rPr>
          <w:lang w:val="fr-FR"/>
        </w:rPr>
        <w:t>engin de transport.</w:t>
      </w:r>
    </w:p>
    <w:p w:rsidR="00D34FD9" w:rsidRPr="00D34FD9" w:rsidRDefault="00D34FD9" w:rsidP="00D34FD9">
      <w:pPr>
        <w:pStyle w:val="SingleTxt"/>
        <w:spacing w:after="0" w:line="120" w:lineRule="exact"/>
        <w:rPr>
          <w:sz w:val="10"/>
          <w:lang w:val="fr-FR"/>
        </w:rPr>
      </w:pPr>
    </w:p>
    <w:p w:rsidR="000065AB" w:rsidRDefault="000065AB" w:rsidP="00D34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065AB">
        <w:rPr>
          <w:lang w:val="fr-CH"/>
        </w:rPr>
        <w:tab/>
      </w:r>
      <w:r w:rsidRPr="000065AB">
        <w:rPr>
          <w:lang w:val="fr-CH"/>
        </w:rPr>
        <w:tab/>
        <w:t>Chapitre 6.1, paragraphe 6.1.3.1 d)</w:t>
      </w:r>
    </w:p>
    <w:p w:rsidR="00D34FD9" w:rsidRPr="00D34FD9" w:rsidRDefault="00D34FD9" w:rsidP="00D34FD9">
      <w:pPr>
        <w:pStyle w:val="SingleTxt"/>
        <w:spacing w:after="0" w:line="120" w:lineRule="exact"/>
        <w:rPr>
          <w:sz w:val="10"/>
          <w:lang w:val="fr-CH"/>
        </w:rPr>
      </w:pPr>
    </w:p>
    <w:p w:rsidR="000065AB" w:rsidRDefault="009910F5" w:rsidP="000065AB">
      <w:pPr>
        <w:pStyle w:val="SingleTxt"/>
        <w:rPr>
          <w:lang w:val="fr-CH"/>
        </w:rPr>
      </w:pPr>
      <w:r>
        <w:rPr>
          <w:i/>
          <w:lang w:val="fr-CH"/>
        </w:rPr>
        <w:tab/>
      </w:r>
      <w:r w:rsidR="000065AB" w:rsidRPr="000065AB">
        <w:rPr>
          <w:i/>
          <w:lang w:val="fr-CH"/>
        </w:rPr>
        <w:t xml:space="preserve">Remplacer </w:t>
      </w:r>
      <w:r w:rsidR="000065AB" w:rsidRPr="000065AB">
        <w:rPr>
          <w:lang w:val="fr-CH"/>
        </w:rPr>
        <w:t xml:space="preserve">dizaine la plus proche </w:t>
      </w:r>
      <w:r w:rsidR="000065AB" w:rsidRPr="000065AB">
        <w:rPr>
          <w:i/>
          <w:lang w:val="fr-CH"/>
        </w:rPr>
        <w:t>par</w:t>
      </w:r>
      <w:r w:rsidR="000065AB" w:rsidRPr="000065AB">
        <w:rPr>
          <w:lang w:val="fr-CH"/>
        </w:rPr>
        <w:t xml:space="preserve"> dizaine inférieure</w:t>
      </w:r>
      <w:r w:rsidR="00DD2931">
        <w:rPr>
          <w:lang w:val="fr-CH"/>
        </w:rPr>
        <w:t>.</w:t>
      </w:r>
    </w:p>
    <w:p w:rsidR="00D34FD9" w:rsidRPr="00D34FD9" w:rsidRDefault="00D34FD9" w:rsidP="00D34FD9">
      <w:pPr>
        <w:pStyle w:val="SingleTxt"/>
        <w:spacing w:after="0" w:line="120" w:lineRule="exact"/>
        <w:rPr>
          <w:sz w:val="10"/>
          <w:lang w:val="fr-CH"/>
        </w:rPr>
      </w:pPr>
    </w:p>
    <w:p w:rsidR="000065AB" w:rsidRDefault="000065AB" w:rsidP="00D34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065AB">
        <w:rPr>
          <w:lang w:val="fr-CH"/>
        </w:rPr>
        <w:tab/>
      </w:r>
      <w:r w:rsidRPr="000065AB">
        <w:rPr>
          <w:lang w:val="fr-CH"/>
        </w:rPr>
        <w:tab/>
        <w:t>Chapitre 6.1, paragraphe 6.1.4.1.1</w:t>
      </w:r>
    </w:p>
    <w:p w:rsidR="00D34FD9" w:rsidRPr="00D34FD9" w:rsidRDefault="00D34FD9" w:rsidP="00D34FD9">
      <w:pPr>
        <w:pStyle w:val="SingleTxt"/>
        <w:spacing w:after="0" w:line="120" w:lineRule="exact"/>
        <w:rPr>
          <w:sz w:val="10"/>
          <w:lang w:val="fr-CH"/>
        </w:rPr>
      </w:pPr>
    </w:p>
    <w:p w:rsidR="000065AB" w:rsidRDefault="009910F5" w:rsidP="000065AB">
      <w:pPr>
        <w:pStyle w:val="SingleTxt"/>
        <w:rPr>
          <w:lang w:val="fr-CH"/>
        </w:rPr>
      </w:pPr>
      <w:r>
        <w:rPr>
          <w:lang w:val="fr-CH"/>
        </w:rPr>
        <w:tab/>
      </w:r>
      <w:r w:rsidR="000065AB" w:rsidRPr="000065AB">
        <w:rPr>
          <w:lang w:val="fr-CH"/>
        </w:rPr>
        <w:t>Sans objet en français.</w:t>
      </w:r>
    </w:p>
    <w:p w:rsidR="000065AB" w:rsidRPr="000065AB" w:rsidRDefault="000065AB" w:rsidP="000065AB">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065AB" w:rsidRPr="000065AB" w:rsidSect="007A6FE3">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3-04T12:30:00Z" w:initials="Start">
    <w:p w:rsidR="007B34F1" w:rsidRDefault="007B34F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NO&gt;&gt;N1515683F&lt;&lt;ODS JOB NO&gt;&gt;</w:t>
      </w:r>
    </w:p>
    <w:p w:rsidR="007B34F1" w:rsidRDefault="007B34F1">
      <w:pPr>
        <w:pStyle w:val="CommentText"/>
      </w:pPr>
      <w:r>
        <w:t>&lt;&lt;ODS DOC SYMBOL1&gt;&gt;ST/SG/AC.10/C.3/94&lt;&lt;ODS DOC SYMBOL1&gt;&gt;</w:t>
      </w:r>
    </w:p>
    <w:p w:rsidR="007B34F1" w:rsidRDefault="007B34F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4F1" w:rsidRDefault="007B34F1" w:rsidP="00F3330B">
      <w:pPr>
        <w:spacing w:line="240" w:lineRule="auto"/>
      </w:pPr>
      <w:r>
        <w:separator/>
      </w:r>
    </w:p>
  </w:endnote>
  <w:endnote w:type="continuationSeparator" w:id="0">
    <w:p w:rsidR="007B34F1" w:rsidRDefault="007B34F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B34F1" w:rsidTr="007A6FE3">
      <w:trPr>
        <w:jc w:val="center"/>
      </w:trPr>
      <w:tc>
        <w:tcPr>
          <w:tcW w:w="5126" w:type="dxa"/>
          <w:shd w:val="clear" w:color="auto" w:fill="auto"/>
        </w:tcPr>
        <w:p w:rsidR="007B34F1" w:rsidRPr="007A6FE3" w:rsidRDefault="007B34F1" w:rsidP="007A6FE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E2D39">
            <w:rPr>
              <w:b w:val="0"/>
              <w:w w:val="103"/>
              <w:sz w:val="14"/>
            </w:rPr>
            <w:t>GE.15-11807</w:t>
          </w:r>
          <w:r>
            <w:rPr>
              <w:b w:val="0"/>
              <w:w w:val="103"/>
              <w:sz w:val="14"/>
            </w:rPr>
            <w:fldChar w:fldCharType="end"/>
          </w:r>
        </w:p>
      </w:tc>
      <w:tc>
        <w:tcPr>
          <w:tcW w:w="5127" w:type="dxa"/>
          <w:shd w:val="clear" w:color="auto" w:fill="auto"/>
        </w:tcPr>
        <w:p w:rsidR="007B34F1" w:rsidRPr="007A6FE3" w:rsidRDefault="007B34F1" w:rsidP="007A6FE3">
          <w:pPr>
            <w:pStyle w:val="Footer"/>
            <w:rPr>
              <w:w w:val="103"/>
            </w:rPr>
          </w:pPr>
          <w:r>
            <w:rPr>
              <w:w w:val="103"/>
            </w:rPr>
            <w:fldChar w:fldCharType="begin"/>
          </w:r>
          <w:r>
            <w:rPr>
              <w:w w:val="103"/>
            </w:rPr>
            <w:instrText xml:space="preserve"> PAGE  \* Arabic  \* MERGEFORMAT </w:instrText>
          </w:r>
          <w:r>
            <w:rPr>
              <w:w w:val="103"/>
            </w:rPr>
            <w:fldChar w:fldCharType="separate"/>
          </w:r>
          <w:r w:rsidR="007E2D39">
            <w:rPr>
              <w:noProof/>
              <w:w w:val="103"/>
            </w:rPr>
            <w:t>30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E2D39">
            <w:rPr>
              <w:noProof/>
              <w:w w:val="103"/>
            </w:rPr>
            <w:t>30</w:t>
          </w:r>
          <w:r>
            <w:rPr>
              <w:w w:val="103"/>
            </w:rPr>
            <w:fldChar w:fldCharType="end"/>
          </w:r>
        </w:p>
      </w:tc>
    </w:tr>
  </w:tbl>
  <w:p w:rsidR="007B34F1" w:rsidRPr="007A6FE3" w:rsidRDefault="007B34F1" w:rsidP="007A6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B34F1" w:rsidTr="007A6FE3">
      <w:trPr>
        <w:jc w:val="center"/>
      </w:trPr>
      <w:tc>
        <w:tcPr>
          <w:tcW w:w="5126" w:type="dxa"/>
          <w:shd w:val="clear" w:color="auto" w:fill="auto"/>
        </w:tcPr>
        <w:p w:rsidR="007B34F1" w:rsidRPr="007A6FE3" w:rsidRDefault="007B34F1" w:rsidP="007A6FE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E2D39">
            <w:rPr>
              <w:noProof/>
              <w:w w:val="103"/>
            </w:rPr>
            <w:t>29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E2D39">
            <w:rPr>
              <w:noProof/>
              <w:w w:val="103"/>
            </w:rPr>
            <w:t>30</w:t>
          </w:r>
          <w:r>
            <w:rPr>
              <w:w w:val="103"/>
            </w:rPr>
            <w:fldChar w:fldCharType="end"/>
          </w:r>
        </w:p>
      </w:tc>
      <w:tc>
        <w:tcPr>
          <w:tcW w:w="5127" w:type="dxa"/>
          <w:shd w:val="clear" w:color="auto" w:fill="auto"/>
        </w:tcPr>
        <w:p w:rsidR="007B34F1" w:rsidRPr="007A6FE3" w:rsidRDefault="007B34F1" w:rsidP="007A6FE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E2D39">
            <w:rPr>
              <w:b w:val="0"/>
              <w:w w:val="103"/>
              <w:sz w:val="14"/>
            </w:rPr>
            <w:t>GE.15-11807</w:t>
          </w:r>
          <w:r>
            <w:rPr>
              <w:b w:val="0"/>
              <w:w w:val="103"/>
              <w:sz w:val="14"/>
            </w:rPr>
            <w:fldChar w:fldCharType="end"/>
          </w:r>
        </w:p>
      </w:tc>
    </w:tr>
  </w:tbl>
  <w:p w:rsidR="007B34F1" w:rsidRPr="007A6FE3" w:rsidRDefault="007B34F1" w:rsidP="007A6F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F1" w:rsidRDefault="007B34F1">
    <w:pPr>
      <w:pStyle w:val="Footer"/>
    </w:pPr>
    <w:r>
      <w:rPr>
        <w:noProof/>
        <w:lang w:val="en-GB" w:eastAsia="en-GB"/>
      </w:rPr>
      <w:drawing>
        <wp:anchor distT="0" distB="0" distL="114300" distR="114300" simplePos="0" relativeHeight="251658240" behindDoc="0" locked="0" layoutInCell="1" allowOverlap="1" wp14:anchorId="50E661A5" wp14:editId="313CC4F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9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9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7B34F1" w:rsidTr="007A6FE3">
      <w:tc>
        <w:tcPr>
          <w:tcW w:w="3859" w:type="dxa"/>
        </w:tcPr>
        <w:p w:rsidR="007B34F1" w:rsidRDefault="007B34F1" w:rsidP="007A6FE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E2D39">
            <w:rPr>
              <w:b w:val="0"/>
              <w:sz w:val="20"/>
            </w:rPr>
            <w:t>GE.15-11807 (F)</w:t>
          </w:r>
          <w:r>
            <w:rPr>
              <w:b w:val="0"/>
              <w:sz w:val="20"/>
            </w:rPr>
            <w:fldChar w:fldCharType="end"/>
          </w:r>
          <w:r>
            <w:rPr>
              <w:b w:val="0"/>
              <w:sz w:val="20"/>
            </w:rPr>
            <w:t xml:space="preserve">    040316    070316</w:t>
          </w:r>
        </w:p>
        <w:p w:rsidR="007B34F1" w:rsidRPr="007A6FE3" w:rsidRDefault="007B34F1" w:rsidP="007A6FE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E2D39">
            <w:rPr>
              <w:rFonts w:ascii="Barcode 3 of 9 by request" w:hAnsi="Barcode 3 of 9 by request"/>
              <w:b w:val="0"/>
              <w:spacing w:val="0"/>
              <w:w w:val="100"/>
              <w:sz w:val="24"/>
            </w:rPr>
            <w:t>*1511807*</w:t>
          </w:r>
          <w:r>
            <w:rPr>
              <w:rFonts w:ascii="Barcode 3 of 9 by request" w:hAnsi="Barcode 3 of 9 by request"/>
              <w:b w:val="0"/>
              <w:spacing w:val="0"/>
              <w:w w:val="100"/>
              <w:sz w:val="24"/>
            </w:rPr>
            <w:fldChar w:fldCharType="end"/>
          </w:r>
        </w:p>
      </w:tc>
      <w:tc>
        <w:tcPr>
          <w:tcW w:w="5127" w:type="dxa"/>
        </w:tcPr>
        <w:p w:rsidR="007B34F1" w:rsidRDefault="007B34F1" w:rsidP="007A6FE3">
          <w:pPr>
            <w:pStyle w:val="Footer"/>
            <w:spacing w:line="240" w:lineRule="atLeast"/>
            <w:jc w:val="right"/>
            <w:rPr>
              <w:b w:val="0"/>
              <w:sz w:val="20"/>
            </w:rPr>
          </w:pPr>
          <w:r>
            <w:rPr>
              <w:b w:val="0"/>
              <w:noProof/>
              <w:sz w:val="20"/>
              <w:lang w:val="en-GB" w:eastAsia="en-GB"/>
            </w:rPr>
            <w:drawing>
              <wp:inline distT="0" distB="0" distL="0" distR="0" wp14:anchorId="035C2EC4" wp14:editId="027AC72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B34F1" w:rsidRPr="007A6FE3" w:rsidRDefault="007B34F1" w:rsidP="007A6FE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4F1" w:rsidRPr="003E47D8" w:rsidRDefault="007B34F1" w:rsidP="003E47D8">
      <w:pPr>
        <w:pStyle w:val="Footer"/>
        <w:spacing w:after="80"/>
        <w:rPr>
          <w:sz w:val="16"/>
        </w:rPr>
      </w:pPr>
      <w:r w:rsidRPr="003E47D8">
        <w:rPr>
          <w:sz w:val="16"/>
        </w:rPr>
        <w:t>__________________</w:t>
      </w:r>
    </w:p>
  </w:footnote>
  <w:footnote w:type="continuationSeparator" w:id="0">
    <w:p w:rsidR="007B34F1" w:rsidRPr="003E47D8" w:rsidRDefault="007B34F1"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B34F1" w:rsidTr="007A6FE3">
      <w:trPr>
        <w:trHeight w:hRule="exact" w:val="864"/>
        <w:jc w:val="center"/>
      </w:trPr>
      <w:tc>
        <w:tcPr>
          <w:tcW w:w="4882" w:type="dxa"/>
          <w:shd w:val="clear" w:color="auto" w:fill="auto"/>
          <w:vAlign w:val="bottom"/>
        </w:tcPr>
        <w:p w:rsidR="007B34F1" w:rsidRPr="007A6FE3" w:rsidRDefault="007B34F1" w:rsidP="007A6FE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E2D39">
            <w:rPr>
              <w:b/>
              <w:color w:val="000000"/>
            </w:rPr>
            <w:t>ST/SG/AC.10/C.3/94</w:t>
          </w:r>
          <w:r>
            <w:rPr>
              <w:b/>
              <w:color w:val="000000"/>
            </w:rPr>
            <w:fldChar w:fldCharType="end"/>
          </w:r>
        </w:p>
      </w:tc>
      <w:tc>
        <w:tcPr>
          <w:tcW w:w="5127" w:type="dxa"/>
          <w:shd w:val="clear" w:color="auto" w:fill="auto"/>
          <w:vAlign w:val="bottom"/>
        </w:tcPr>
        <w:p w:rsidR="007B34F1" w:rsidRDefault="007B34F1" w:rsidP="007A6FE3">
          <w:pPr>
            <w:pStyle w:val="Header"/>
          </w:pPr>
        </w:p>
      </w:tc>
    </w:tr>
  </w:tbl>
  <w:p w:rsidR="007B34F1" w:rsidRPr="007A6FE3" w:rsidRDefault="007B34F1" w:rsidP="007A6FE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B34F1" w:rsidTr="007A6FE3">
      <w:trPr>
        <w:trHeight w:hRule="exact" w:val="864"/>
        <w:jc w:val="center"/>
      </w:trPr>
      <w:tc>
        <w:tcPr>
          <w:tcW w:w="4882" w:type="dxa"/>
          <w:shd w:val="clear" w:color="auto" w:fill="auto"/>
          <w:vAlign w:val="bottom"/>
        </w:tcPr>
        <w:p w:rsidR="007B34F1" w:rsidRDefault="007B34F1" w:rsidP="007A6FE3">
          <w:pPr>
            <w:pStyle w:val="Header"/>
          </w:pPr>
        </w:p>
      </w:tc>
      <w:tc>
        <w:tcPr>
          <w:tcW w:w="5127" w:type="dxa"/>
          <w:shd w:val="clear" w:color="auto" w:fill="auto"/>
          <w:vAlign w:val="bottom"/>
        </w:tcPr>
        <w:p w:rsidR="007B34F1" w:rsidRPr="007A6FE3" w:rsidRDefault="007B34F1" w:rsidP="007A6FE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E2D39">
            <w:rPr>
              <w:b/>
              <w:color w:val="000000"/>
            </w:rPr>
            <w:t>ST/SG/AC.10/C.3/94</w:t>
          </w:r>
          <w:r>
            <w:rPr>
              <w:b/>
              <w:color w:val="000000"/>
            </w:rPr>
            <w:fldChar w:fldCharType="end"/>
          </w:r>
        </w:p>
      </w:tc>
    </w:tr>
  </w:tbl>
  <w:p w:rsidR="007B34F1" w:rsidRPr="007A6FE3" w:rsidRDefault="007B34F1" w:rsidP="007A6FE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B34F1" w:rsidTr="007A6FE3">
      <w:trPr>
        <w:trHeight w:hRule="exact" w:val="864"/>
      </w:trPr>
      <w:tc>
        <w:tcPr>
          <w:tcW w:w="1267" w:type="dxa"/>
          <w:tcBorders>
            <w:bottom w:val="single" w:sz="4" w:space="0" w:color="auto"/>
          </w:tcBorders>
          <w:shd w:val="clear" w:color="auto" w:fill="auto"/>
          <w:vAlign w:val="bottom"/>
        </w:tcPr>
        <w:p w:rsidR="007B34F1" w:rsidRDefault="007B34F1" w:rsidP="007A6FE3">
          <w:pPr>
            <w:pStyle w:val="Header"/>
            <w:spacing w:after="120"/>
          </w:pPr>
        </w:p>
      </w:tc>
      <w:tc>
        <w:tcPr>
          <w:tcW w:w="2059" w:type="dxa"/>
          <w:tcBorders>
            <w:bottom w:val="single" w:sz="4" w:space="0" w:color="auto"/>
          </w:tcBorders>
          <w:shd w:val="clear" w:color="auto" w:fill="auto"/>
          <w:vAlign w:val="bottom"/>
        </w:tcPr>
        <w:p w:rsidR="007B34F1" w:rsidRPr="007A6FE3" w:rsidRDefault="007B34F1" w:rsidP="007A6FE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B34F1" w:rsidRDefault="007B34F1" w:rsidP="007A6FE3">
          <w:pPr>
            <w:pStyle w:val="Header"/>
            <w:spacing w:after="120"/>
          </w:pPr>
        </w:p>
      </w:tc>
      <w:tc>
        <w:tcPr>
          <w:tcW w:w="6653" w:type="dxa"/>
          <w:gridSpan w:val="4"/>
          <w:tcBorders>
            <w:bottom w:val="single" w:sz="4" w:space="0" w:color="auto"/>
          </w:tcBorders>
          <w:shd w:val="clear" w:color="auto" w:fill="auto"/>
          <w:vAlign w:val="bottom"/>
        </w:tcPr>
        <w:p w:rsidR="007B34F1" w:rsidRPr="007A6FE3" w:rsidRDefault="007B34F1" w:rsidP="007A6FE3">
          <w:pPr>
            <w:spacing w:after="80" w:line="240" w:lineRule="auto"/>
            <w:jc w:val="right"/>
            <w:rPr>
              <w:position w:val="-4"/>
            </w:rPr>
          </w:pPr>
          <w:r>
            <w:rPr>
              <w:position w:val="-4"/>
              <w:sz w:val="40"/>
            </w:rPr>
            <w:t>ST</w:t>
          </w:r>
          <w:r>
            <w:rPr>
              <w:position w:val="-4"/>
            </w:rPr>
            <w:t>/SG/AC.10/C.3/94</w:t>
          </w:r>
        </w:p>
      </w:tc>
    </w:tr>
    <w:tr w:rsidR="007B34F1" w:rsidRPr="007A6FE3" w:rsidTr="007A6FE3">
      <w:trPr>
        <w:gridAfter w:val="1"/>
        <w:wAfter w:w="18" w:type="dxa"/>
        <w:trHeight w:hRule="exact" w:val="2880"/>
      </w:trPr>
      <w:tc>
        <w:tcPr>
          <w:tcW w:w="1267" w:type="dxa"/>
          <w:tcBorders>
            <w:top w:val="single" w:sz="4" w:space="0" w:color="auto"/>
            <w:bottom w:val="single" w:sz="12" w:space="0" w:color="auto"/>
          </w:tcBorders>
          <w:shd w:val="clear" w:color="auto" w:fill="auto"/>
        </w:tcPr>
        <w:p w:rsidR="007B34F1" w:rsidRPr="007A6FE3" w:rsidRDefault="007B34F1" w:rsidP="0052420A">
          <w:pPr>
            <w:pStyle w:val="Header"/>
            <w:spacing w:before="120" w:line="240" w:lineRule="auto"/>
            <w:ind w:left="-72"/>
            <w:jc w:val="center"/>
          </w:pPr>
          <w:r>
            <w:rPr>
              <w:noProof/>
              <w:lang w:val="en-GB" w:eastAsia="en-GB"/>
            </w:rPr>
            <w:drawing>
              <wp:inline distT="0" distB="0" distL="0" distR="0" wp14:anchorId="1CF10EC7" wp14:editId="66D0B26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B34F1" w:rsidRPr="007A6FE3" w:rsidRDefault="007B34F1" w:rsidP="007A6FE3">
          <w:pPr>
            <w:pStyle w:val="XLarge"/>
            <w:spacing w:before="109"/>
          </w:pPr>
          <w:r>
            <w:t>Secrétariat</w:t>
          </w:r>
        </w:p>
      </w:tc>
      <w:tc>
        <w:tcPr>
          <w:tcW w:w="245" w:type="dxa"/>
          <w:tcBorders>
            <w:top w:val="single" w:sz="4" w:space="0" w:color="auto"/>
            <w:bottom w:val="single" w:sz="12" w:space="0" w:color="auto"/>
          </w:tcBorders>
          <w:shd w:val="clear" w:color="auto" w:fill="auto"/>
        </w:tcPr>
        <w:p w:rsidR="007B34F1" w:rsidRPr="007A6FE3" w:rsidRDefault="007B34F1" w:rsidP="007A6FE3">
          <w:pPr>
            <w:pStyle w:val="Header"/>
            <w:spacing w:before="109"/>
          </w:pPr>
        </w:p>
      </w:tc>
      <w:tc>
        <w:tcPr>
          <w:tcW w:w="3280" w:type="dxa"/>
          <w:tcBorders>
            <w:top w:val="single" w:sz="4" w:space="0" w:color="auto"/>
            <w:bottom w:val="single" w:sz="12" w:space="0" w:color="auto"/>
          </w:tcBorders>
          <w:shd w:val="clear" w:color="auto" w:fill="auto"/>
        </w:tcPr>
        <w:p w:rsidR="007B34F1" w:rsidRDefault="007B34F1" w:rsidP="007A6FE3">
          <w:pPr>
            <w:pStyle w:val="Distribution"/>
            <w:rPr>
              <w:color w:val="000000"/>
            </w:rPr>
          </w:pPr>
          <w:r>
            <w:rPr>
              <w:color w:val="000000"/>
            </w:rPr>
            <w:t>Distr. générale</w:t>
          </w:r>
        </w:p>
        <w:p w:rsidR="007B34F1" w:rsidRDefault="007B34F1" w:rsidP="007A6FE3">
          <w:pPr>
            <w:pStyle w:val="Publication"/>
            <w:rPr>
              <w:color w:val="000000"/>
            </w:rPr>
          </w:pPr>
          <w:r>
            <w:rPr>
              <w:color w:val="000000"/>
            </w:rPr>
            <w:t>14 juillet 2015</w:t>
          </w:r>
        </w:p>
        <w:p w:rsidR="007B34F1" w:rsidRDefault="007B34F1" w:rsidP="007A6FE3">
          <w:pPr>
            <w:rPr>
              <w:lang w:val="en-US"/>
            </w:rPr>
          </w:pPr>
          <w:r>
            <w:rPr>
              <w:lang w:val="en-US"/>
            </w:rPr>
            <w:t>Français</w:t>
          </w:r>
        </w:p>
        <w:p w:rsidR="007B34F1" w:rsidRPr="007A6FE3" w:rsidRDefault="007B34F1" w:rsidP="007A6FE3">
          <w:pPr>
            <w:pStyle w:val="Original"/>
            <w:rPr>
              <w:color w:val="000000"/>
            </w:rPr>
          </w:pPr>
          <w:r>
            <w:rPr>
              <w:color w:val="000000"/>
            </w:rPr>
            <w:t>Original : anglais</w:t>
          </w:r>
        </w:p>
      </w:tc>
    </w:tr>
  </w:tbl>
  <w:p w:rsidR="007B34F1" w:rsidRPr="007A6FE3" w:rsidRDefault="007B34F1" w:rsidP="007A6FE3">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6694F"/>
    <w:multiLevelType w:val="multilevel"/>
    <w:tmpl w:val="43BE5D5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DE4051"/>
    <w:multiLevelType w:val="singleLevel"/>
    <w:tmpl w:val="0409000F"/>
    <w:lvl w:ilvl="0">
      <w:start w:val="1"/>
      <w:numFmt w:val="decimal"/>
      <w:lvlText w:val="%1."/>
      <w:lvlJc w:val="left"/>
      <w:pPr>
        <w:ind w:left="720" w:hanging="360"/>
      </w:pPr>
    </w:lvl>
  </w:abstractNum>
  <w:abstractNum w:abstractNumId="7">
    <w:nsid w:val="7F926426"/>
    <w:multiLevelType w:val="singleLevel"/>
    <w:tmpl w:val="0409000F"/>
    <w:lvl w:ilvl="0">
      <w:start w:val="1"/>
      <w:numFmt w:val="decimal"/>
      <w:lvlText w:val="%1."/>
      <w:lvlJc w:val="left"/>
      <w:pPr>
        <w:ind w:left="720" w:hanging="36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1433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807*"/>
    <w:docVar w:name="CreationDt" w:val="3/4/2016 12:30 PM"/>
    <w:docVar w:name="DocCategory" w:val="Doc"/>
    <w:docVar w:name="DocType" w:val="Final"/>
    <w:docVar w:name="DutyStation" w:val="Geneva"/>
    <w:docVar w:name="FooterJN" w:val="GE.15-11807"/>
    <w:docVar w:name="jobn" w:val="GE.15-11807 (F)"/>
    <w:docVar w:name="jobnDT" w:val="GE.15-11807 (F)   040316"/>
    <w:docVar w:name="jobnDTDT" w:val="GE.15-11807 (F)   040316   040316"/>
    <w:docVar w:name="JobNo" w:val="GE.1511807F"/>
    <w:docVar w:name="JobNo2" w:val="GE.1515683F"/>
    <w:docVar w:name="LocalDrive" w:val="0"/>
    <w:docVar w:name="OandT" w:val="M. Deschamps"/>
    <w:docVar w:name="PaperSize" w:val="A4"/>
    <w:docVar w:name="sss1" w:val="ST/SG/AC.10/C.3/94"/>
    <w:docVar w:name="sss2" w:val="-"/>
    <w:docVar w:name="Symbol1" w:val="ST/SG/AC.10/C.3/94"/>
    <w:docVar w:name="Symbol2" w:val="-"/>
  </w:docVars>
  <w:rsids>
    <w:rsidRoot w:val="00CC239F"/>
    <w:rsid w:val="000015B8"/>
    <w:rsid w:val="000046A5"/>
    <w:rsid w:val="000055FB"/>
    <w:rsid w:val="000065AB"/>
    <w:rsid w:val="00010C97"/>
    <w:rsid w:val="000110EC"/>
    <w:rsid w:val="0001428B"/>
    <w:rsid w:val="00016483"/>
    <w:rsid w:val="000210DD"/>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14D0"/>
    <w:rsid w:val="00083D89"/>
    <w:rsid w:val="00085112"/>
    <w:rsid w:val="0008708F"/>
    <w:rsid w:val="00091BC1"/>
    <w:rsid w:val="00091DBD"/>
    <w:rsid w:val="00096B3C"/>
    <w:rsid w:val="000A18B6"/>
    <w:rsid w:val="000A24DE"/>
    <w:rsid w:val="000A2612"/>
    <w:rsid w:val="000A2DFB"/>
    <w:rsid w:val="000A3AB1"/>
    <w:rsid w:val="000A4A47"/>
    <w:rsid w:val="000A74D1"/>
    <w:rsid w:val="000B034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0F7065"/>
    <w:rsid w:val="001027E2"/>
    <w:rsid w:val="0010575E"/>
    <w:rsid w:val="00106549"/>
    <w:rsid w:val="00107710"/>
    <w:rsid w:val="00107C97"/>
    <w:rsid w:val="00107CD5"/>
    <w:rsid w:val="00110242"/>
    <w:rsid w:val="00111FE5"/>
    <w:rsid w:val="0011255C"/>
    <w:rsid w:val="001126A7"/>
    <w:rsid w:val="00112FE9"/>
    <w:rsid w:val="0011497A"/>
    <w:rsid w:val="00114B31"/>
    <w:rsid w:val="001156F7"/>
    <w:rsid w:val="00116149"/>
    <w:rsid w:val="00117C27"/>
    <w:rsid w:val="0012132A"/>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0DFC"/>
    <w:rsid w:val="0017568A"/>
    <w:rsid w:val="00177D83"/>
    <w:rsid w:val="00180387"/>
    <w:rsid w:val="001818CC"/>
    <w:rsid w:val="001836CE"/>
    <w:rsid w:val="00183EBF"/>
    <w:rsid w:val="00186793"/>
    <w:rsid w:val="0019082C"/>
    <w:rsid w:val="00192D05"/>
    <w:rsid w:val="00193A8C"/>
    <w:rsid w:val="00194995"/>
    <w:rsid w:val="001A0B9A"/>
    <w:rsid w:val="001A1ED6"/>
    <w:rsid w:val="001A2E2D"/>
    <w:rsid w:val="001A4BAA"/>
    <w:rsid w:val="001A4F4E"/>
    <w:rsid w:val="001A5D31"/>
    <w:rsid w:val="001A76F3"/>
    <w:rsid w:val="001B5583"/>
    <w:rsid w:val="001B5A24"/>
    <w:rsid w:val="001C0599"/>
    <w:rsid w:val="001C3A69"/>
    <w:rsid w:val="001C3C57"/>
    <w:rsid w:val="001C4664"/>
    <w:rsid w:val="001C4EBE"/>
    <w:rsid w:val="001C5B90"/>
    <w:rsid w:val="001D0E60"/>
    <w:rsid w:val="001D272D"/>
    <w:rsid w:val="001D280C"/>
    <w:rsid w:val="001D294E"/>
    <w:rsid w:val="001D688B"/>
    <w:rsid w:val="001E2D50"/>
    <w:rsid w:val="001E44F3"/>
    <w:rsid w:val="001E53C7"/>
    <w:rsid w:val="001F053A"/>
    <w:rsid w:val="001F2DA6"/>
    <w:rsid w:val="001F4DBE"/>
    <w:rsid w:val="001F62AF"/>
    <w:rsid w:val="001F793D"/>
    <w:rsid w:val="001F7E9D"/>
    <w:rsid w:val="002009A2"/>
    <w:rsid w:val="002021E9"/>
    <w:rsid w:val="00202789"/>
    <w:rsid w:val="00202F1F"/>
    <w:rsid w:val="00202F58"/>
    <w:rsid w:val="00205199"/>
    <w:rsid w:val="0020521E"/>
    <w:rsid w:val="00206598"/>
    <w:rsid w:val="00207655"/>
    <w:rsid w:val="00207B6D"/>
    <w:rsid w:val="00207CAA"/>
    <w:rsid w:val="0021168F"/>
    <w:rsid w:val="002178A7"/>
    <w:rsid w:val="002220FF"/>
    <w:rsid w:val="00224BEC"/>
    <w:rsid w:val="00237D01"/>
    <w:rsid w:val="00240F64"/>
    <w:rsid w:val="002410E3"/>
    <w:rsid w:val="00241F29"/>
    <w:rsid w:val="002422D4"/>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A75A6"/>
    <w:rsid w:val="002B037D"/>
    <w:rsid w:val="002B1D15"/>
    <w:rsid w:val="002B4A7F"/>
    <w:rsid w:val="002B5449"/>
    <w:rsid w:val="002B5928"/>
    <w:rsid w:val="002C3640"/>
    <w:rsid w:val="002C3FD3"/>
    <w:rsid w:val="002C419A"/>
    <w:rsid w:val="002C472D"/>
    <w:rsid w:val="002C52BE"/>
    <w:rsid w:val="002C77CF"/>
    <w:rsid w:val="002D45C0"/>
    <w:rsid w:val="002D5981"/>
    <w:rsid w:val="002D6623"/>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542B"/>
    <w:rsid w:val="00315AD2"/>
    <w:rsid w:val="00316628"/>
    <w:rsid w:val="00316B58"/>
    <w:rsid w:val="00321370"/>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1398"/>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309C"/>
    <w:rsid w:val="003A4A66"/>
    <w:rsid w:val="003A4ED6"/>
    <w:rsid w:val="003A56DC"/>
    <w:rsid w:val="003A7D36"/>
    <w:rsid w:val="003B31C8"/>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73B"/>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6540"/>
    <w:rsid w:val="0042753D"/>
    <w:rsid w:val="004309B5"/>
    <w:rsid w:val="0043103D"/>
    <w:rsid w:val="00432662"/>
    <w:rsid w:val="00433AB0"/>
    <w:rsid w:val="004342B2"/>
    <w:rsid w:val="00441593"/>
    <w:rsid w:val="00443A00"/>
    <w:rsid w:val="00444609"/>
    <w:rsid w:val="004448E6"/>
    <w:rsid w:val="00447B1C"/>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66E01"/>
    <w:rsid w:val="00472794"/>
    <w:rsid w:val="00475F9F"/>
    <w:rsid w:val="00476698"/>
    <w:rsid w:val="00476F33"/>
    <w:rsid w:val="00477592"/>
    <w:rsid w:val="004814BB"/>
    <w:rsid w:val="00481634"/>
    <w:rsid w:val="00484033"/>
    <w:rsid w:val="00487428"/>
    <w:rsid w:val="004902AA"/>
    <w:rsid w:val="00491CD5"/>
    <w:rsid w:val="00492510"/>
    <w:rsid w:val="00492DC3"/>
    <w:rsid w:val="004973EC"/>
    <w:rsid w:val="004A0AA6"/>
    <w:rsid w:val="004A1763"/>
    <w:rsid w:val="004A186E"/>
    <w:rsid w:val="004A2319"/>
    <w:rsid w:val="004A2455"/>
    <w:rsid w:val="004A698E"/>
    <w:rsid w:val="004A7606"/>
    <w:rsid w:val="004B08CA"/>
    <w:rsid w:val="004B1DBB"/>
    <w:rsid w:val="004B56C6"/>
    <w:rsid w:val="004B7E99"/>
    <w:rsid w:val="004C0A8D"/>
    <w:rsid w:val="004C1A6A"/>
    <w:rsid w:val="004C26F0"/>
    <w:rsid w:val="004C304C"/>
    <w:rsid w:val="004C38FF"/>
    <w:rsid w:val="004C5C41"/>
    <w:rsid w:val="004D13C8"/>
    <w:rsid w:val="004D4F44"/>
    <w:rsid w:val="004D5D20"/>
    <w:rsid w:val="004D6212"/>
    <w:rsid w:val="004D789D"/>
    <w:rsid w:val="004E0FB8"/>
    <w:rsid w:val="004E272F"/>
    <w:rsid w:val="004E2B64"/>
    <w:rsid w:val="004E3002"/>
    <w:rsid w:val="004E4258"/>
    <w:rsid w:val="004E47A4"/>
    <w:rsid w:val="004F1F9F"/>
    <w:rsid w:val="004F2765"/>
    <w:rsid w:val="004F5238"/>
    <w:rsid w:val="004F53F0"/>
    <w:rsid w:val="004F69D3"/>
    <w:rsid w:val="004F6B7C"/>
    <w:rsid w:val="005006AD"/>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420A"/>
    <w:rsid w:val="00525A3D"/>
    <w:rsid w:val="00527615"/>
    <w:rsid w:val="00527DD0"/>
    <w:rsid w:val="00533905"/>
    <w:rsid w:val="005372C0"/>
    <w:rsid w:val="00541630"/>
    <w:rsid w:val="0054168D"/>
    <w:rsid w:val="00542357"/>
    <w:rsid w:val="0054728B"/>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0F48"/>
    <w:rsid w:val="00591AA0"/>
    <w:rsid w:val="0059357F"/>
    <w:rsid w:val="00593781"/>
    <w:rsid w:val="00594AE2"/>
    <w:rsid w:val="005958B3"/>
    <w:rsid w:val="00596647"/>
    <w:rsid w:val="00597A85"/>
    <w:rsid w:val="005A037D"/>
    <w:rsid w:val="005A0DEC"/>
    <w:rsid w:val="005A1D1A"/>
    <w:rsid w:val="005A1E12"/>
    <w:rsid w:val="005A305D"/>
    <w:rsid w:val="005A6A6E"/>
    <w:rsid w:val="005A6D92"/>
    <w:rsid w:val="005A6DD6"/>
    <w:rsid w:val="005A7976"/>
    <w:rsid w:val="005B259C"/>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9EC"/>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201"/>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1A7"/>
    <w:rsid w:val="00673F2C"/>
    <w:rsid w:val="00675A53"/>
    <w:rsid w:val="006770E8"/>
    <w:rsid w:val="006803F5"/>
    <w:rsid w:val="00680974"/>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B7817"/>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1BDD"/>
    <w:rsid w:val="006F41DD"/>
    <w:rsid w:val="006F5A33"/>
    <w:rsid w:val="006F6787"/>
    <w:rsid w:val="006F6EDD"/>
    <w:rsid w:val="006F79A5"/>
    <w:rsid w:val="007033D2"/>
    <w:rsid w:val="00704AF5"/>
    <w:rsid w:val="0070555E"/>
    <w:rsid w:val="00707DF8"/>
    <w:rsid w:val="00711F00"/>
    <w:rsid w:val="00712DA4"/>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6FE3"/>
    <w:rsid w:val="007A78C2"/>
    <w:rsid w:val="007B05E9"/>
    <w:rsid w:val="007B148E"/>
    <w:rsid w:val="007B1E17"/>
    <w:rsid w:val="007B34F1"/>
    <w:rsid w:val="007B4C73"/>
    <w:rsid w:val="007B62D9"/>
    <w:rsid w:val="007C0C1F"/>
    <w:rsid w:val="007C1F58"/>
    <w:rsid w:val="007C206E"/>
    <w:rsid w:val="007C2936"/>
    <w:rsid w:val="007C4A36"/>
    <w:rsid w:val="007C662A"/>
    <w:rsid w:val="007C7D7F"/>
    <w:rsid w:val="007D33BA"/>
    <w:rsid w:val="007D385A"/>
    <w:rsid w:val="007D6FCB"/>
    <w:rsid w:val="007D7FD4"/>
    <w:rsid w:val="007E2D39"/>
    <w:rsid w:val="007E2FEB"/>
    <w:rsid w:val="007E3CF9"/>
    <w:rsid w:val="007E74E9"/>
    <w:rsid w:val="007F0ED6"/>
    <w:rsid w:val="007F1AB9"/>
    <w:rsid w:val="007F3DCC"/>
    <w:rsid w:val="007F4659"/>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3CF"/>
    <w:rsid w:val="00833A79"/>
    <w:rsid w:val="00833BFF"/>
    <w:rsid w:val="008358BC"/>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8CE"/>
    <w:rsid w:val="00856CD0"/>
    <w:rsid w:val="008579A6"/>
    <w:rsid w:val="00860226"/>
    <w:rsid w:val="00861A6D"/>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215"/>
    <w:rsid w:val="0089184F"/>
    <w:rsid w:val="00891ADA"/>
    <w:rsid w:val="00892165"/>
    <w:rsid w:val="008962D4"/>
    <w:rsid w:val="008A3ABC"/>
    <w:rsid w:val="008A4C0E"/>
    <w:rsid w:val="008A5334"/>
    <w:rsid w:val="008A61C0"/>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0BC4"/>
    <w:rsid w:val="00921BE8"/>
    <w:rsid w:val="00922E3D"/>
    <w:rsid w:val="00927729"/>
    <w:rsid w:val="009316DC"/>
    <w:rsid w:val="00931752"/>
    <w:rsid w:val="00931782"/>
    <w:rsid w:val="00932FDF"/>
    <w:rsid w:val="00936529"/>
    <w:rsid w:val="00940B65"/>
    <w:rsid w:val="0094133A"/>
    <w:rsid w:val="0094148D"/>
    <w:rsid w:val="009419AD"/>
    <w:rsid w:val="00942151"/>
    <w:rsid w:val="0095064A"/>
    <w:rsid w:val="00951A0B"/>
    <w:rsid w:val="009535B3"/>
    <w:rsid w:val="00953A36"/>
    <w:rsid w:val="00953F33"/>
    <w:rsid w:val="00955DBA"/>
    <w:rsid w:val="00957244"/>
    <w:rsid w:val="00962C27"/>
    <w:rsid w:val="00962CAC"/>
    <w:rsid w:val="00964BDE"/>
    <w:rsid w:val="009676D3"/>
    <w:rsid w:val="0096782D"/>
    <w:rsid w:val="00970A5C"/>
    <w:rsid w:val="00971E24"/>
    <w:rsid w:val="0098128C"/>
    <w:rsid w:val="009813FE"/>
    <w:rsid w:val="00981DAC"/>
    <w:rsid w:val="0098382F"/>
    <w:rsid w:val="00983DD0"/>
    <w:rsid w:val="0098506E"/>
    <w:rsid w:val="0098670F"/>
    <w:rsid w:val="00986E56"/>
    <w:rsid w:val="00990AFB"/>
    <w:rsid w:val="009910F5"/>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6F07"/>
    <w:rsid w:val="009A7DEC"/>
    <w:rsid w:val="009B0AF7"/>
    <w:rsid w:val="009B0BFB"/>
    <w:rsid w:val="009B4398"/>
    <w:rsid w:val="009B4EEC"/>
    <w:rsid w:val="009C1815"/>
    <w:rsid w:val="009C5249"/>
    <w:rsid w:val="009C70D0"/>
    <w:rsid w:val="009C7F1B"/>
    <w:rsid w:val="009D0925"/>
    <w:rsid w:val="009D5A2E"/>
    <w:rsid w:val="009D702B"/>
    <w:rsid w:val="009E0573"/>
    <w:rsid w:val="009E06DE"/>
    <w:rsid w:val="009E09FA"/>
    <w:rsid w:val="009E246F"/>
    <w:rsid w:val="009E2DC8"/>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76AA1"/>
    <w:rsid w:val="00A83E5E"/>
    <w:rsid w:val="00A84C12"/>
    <w:rsid w:val="00A85CA4"/>
    <w:rsid w:val="00A85D04"/>
    <w:rsid w:val="00A85DB4"/>
    <w:rsid w:val="00A86044"/>
    <w:rsid w:val="00A90002"/>
    <w:rsid w:val="00A91A8F"/>
    <w:rsid w:val="00A96709"/>
    <w:rsid w:val="00A97EBD"/>
    <w:rsid w:val="00AA260F"/>
    <w:rsid w:val="00AA4162"/>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1FDE"/>
    <w:rsid w:val="00AC625F"/>
    <w:rsid w:val="00AC67C3"/>
    <w:rsid w:val="00AC6CA3"/>
    <w:rsid w:val="00AC6DB5"/>
    <w:rsid w:val="00AD3852"/>
    <w:rsid w:val="00AD3D04"/>
    <w:rsid w:val="00AD500D"/>
    <w:rsid w:val="00AD7C27"/>
    <w:rsid w:val="00AE0DF0"/>
    <w:rsid w:val="00AE10E9"/>
    <w:rsid w:val="00AE11C7"/>
    <w:rsid w:val="00AE164F"/>
    <w:rsid w:val="00AE2D40"/>
    <w:rsid w:val="00AE73A1"/>
    <w:rsid w:val="00AE7F88"/>
    <w:rsid w:val="00AF4648"/>
    <w:rsid w:val="00AF4DD3"/>
    <w:rsid w:val="00AF53E1"/>
    <w:rsid w:val="00AF6B78"/>
    <w:rsid w:val="00B01631"/>
    <w:rsid w:val="00B01D80"/>
    <w:rsid w:val="00B05198"/>
    <w:rsid w:val="00B0544B"/>
    <w:rsid w:val="00B06C4C"/>
    <w:rsid w:val="00B078C6"/>
    <w:rsid w:val="00B10BF5"/>
    <w:rsid w:val="00B145B5"/>
    <w:rsid w:val="00B152AC"/>
    <w:rsid w:val="00B16C8B"/>
    <w:rsid w:val="00B16E9D"/>
    <w:rsid w:val="00B20969"/>
    <w:rsid w:val="00B22B9D"/>
    <w:rsid w:val="00B22BE8"/>
    <w:rsid w:val="00B2331A"/>
    <w:rsid w:val="00B2356B"/>
    <w:rsid w:val="00B235CD"/>
    <w:rsid w:val="00B249F3"/>
    <w:rsid w:val="00B25B74"/>
    <w:rsid w:val="00B26B93"/>
    <w:rsid w:val="00B26C0B"/>
    <w:rsid w:val="00B27126"/>
    <w:rsid w:val="00B27CAC"/>
    <w:rsid w:val="00B30A19"/>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3A1C"/>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B2A9E"/>
    <w:rsid w:val="00BB3CF5"/>
    <w:rsid w:val="00BC05C8"/>
    <w:rsid w:val="00BC0F9A"/>
    <w:rsid w:val="00BC2C66"/>
    <w:rsid w:val="00BC3D5F"/>
    <w:rsid w:val="00BC43E2"/>
    <w:rsid w:val="00BD0917"/>
    <w:rsid w:val="00BD1607"/>
    <w:rsid w:val="00BD324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199"/>
    <w:rsid w:val="00C05291"/>
    <w:rsid w:val="00C06025"/>
    <w:rsid w:val="00C06577"/>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3A07"/>
    <w:rsid w:val="00C75F9C"/>
    <w:rsid w:val="00C76A5E"/>
    <w:rsid w:val="00C770FD"/>
    <w:rsid w:val="00C865D9"/>
    <w:rsid w:val="00C87110"/>
    <w:rsid w:val="00C90813"/>
    <w:rsid w:val="00C90C2B"/>
    <w:rsid w:val="00C91147"/>
    <w:rsid w:val="00C9582B"/>
    <w:rsid w:val="00C978FA"/>
    <w:rsid w:val="00CA13F9"/>
    <w:rsid w:val="00CA2B14"/>
    <w:rsid w:val="00CA2D2A"/>
    <w:rsid w:val="00CA40E0"/>
    <w:rsid w:val="00CA4C49"/>
    <w:rsid w:val="00CA67AB"/>
    <w:rsid w:val="00CA789C"/>
    <w:rsid w:val="00CB016F"/>
    <w:rsid w:val="00CB063F"/>
    <w:rsid w:val="00CB0CBE"/>
    <w:rsid w:val="00CB1C6D"/>
    <w:rsid w:val="00CB2393"/>
    <w:rsid w:val="00CB5956"/>
    <w:rsid w:val="00CB60A9"/>
    <w:rsid w:val="00CC239F"/>
    <w:rsid w:val="00CC3EAA"/>
    <w:rsid w:val="00CD48FA"/>
    <w:rsid w:val="00CD4A8B"/>
    <w:rsid w:val="00CE1548"/>
    <w:rsid w:val="00CE3799"/>
    <w:rsid w:val="00CE4AA9"/>
    <w:rsid w:val="00CE4D37"/>
    <w:rsid w:val="00CE5477"/>
    <w:rsid w:val="00CE7ADD"/>
    <w:rsid w:val="00CF5E7B"/>
    <w:rsid w:val="00CF7A75"/>
    <w:rsid w:val="00D00362"/>
    <w:rsid w:val="00D01153"/>
    <w:rsid w:val="00D02293"/>
    <w:rsid w:val="00D026B6"/>
    <w:rsid w:val="00D03953"/>
    <w:rsid w:val="00D03CE8"/>
    <w:rsid w:val="00D03F61"/>
    <w:rsid w:val="00D04046"/>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4FD9"/>
    <w:rsid w:val="00D35146"/>
    <w:rsid w:val="00D3596F"/>
    <w:rsid w:val="00D36EDA"/>
    <w:rsid w:val="00D42F04"/>
    <w:rsid w:val="00D447E5"/>
    <w:rsid w:val="00D457D0"/>
    <w:rsid w:val="00D463A4"/>
    <w:rsid w:val="00D4699C"/>
    <w:rsid w:val="00D47877"/>
    <w:rsid w:val="00D513A1"/>
    <w:rsid w:val="00D57D07"/>
    <w:rsid w:val="00D618E7"/>
    <w:rsid w:val="00D619A2"/>
    <w:rsid w:val="00D63331"/>
    <w:rsid w:val="00D6375A"/>
    <w:rsid w:val="00D64A77"/>
    <w:rsid w:val="00D66AB5"/>
    <w:rsid w:val="00D67265"/>
    <w:rsid w:val="00D676A0"/>
    <w:rsid w:val="00D70856"/>
    <w:rsid w:val="00D71171"/>
    <w:rsid w:val="00D73117"/>
    <w:rsid w:val="00D73965"/>
    <w:rsid w:val="00D73D86"/>
    <w:rsid w:val="00D8335C"/>
    <w:rsid w:val="00D9068D"/>
    <w:rsid w:val="00D92B16"/>
    <w:rsid w:val="00D93862"/>
    <w:rsid w:val="00D93CC2"/>
    <w:rsid w:val="00D94473"/>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2931"/>
    <w:rsid w:val="00DD309E"/>
    <w:rsid w:val="00DD7C73"/>
    <w:rsid w:val="00DE01B6"/>
    <w:rsid w:val="00DE1304"/>
    <w:rsid w:val="00DE1DD3"/>
    <w:rsid w:val="00DE1FBD"/>
    <w:rsid w:val="00DE2B84"/>
    <w:rsid w:val="00DE4677"/>
    <w:rsid w:val="00DE64ED"/>
    <w:rsid w:val="00DF064D"/>
    <w:rsid w:val="00DF0CBF"/>
    <w:rsid w:val="00DF4E33"/>
    <w:rsid w:val="00DF5407"/>
    <w:rsid w:val="00E00127"/>
    <w:rsid w:val="00E003D9"/>
    <w:rsid w:val="00E00C20"/>
    <w:rsid w:val="00E019DD"/>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36427"/>
    <w:rsid w:val="00E405EA"/>
    <w:rsid w:val="00E40877"/>
    <w:rsid w:val="00E43296"/>
    <w:rsid w:val="00E474F9"/>
    <w:rsid w:val="00E51F8B"/>
    <w:rsid w:val="00E51FCF"/>
    <w:rsid w:val="00E529D4"/>
    <w:rsid w:val="00E53839"/>
    <w:rsid w:val="00E53C18"/>
    <w:rsid w:val="00E53F41"/>
    <w:rsid w:val="00E54488"/>
    <w:rsid w:val="00E55162"/>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5AB2"/>
    <w:rsid w:val="00E86286"/>
    <w:rsid w:val="00E878FF"/>
    <w:rsid w:val="00E91E16"/>
    <w:rsid w:val="00E952EF"/>
    <w:rsid w:val="00E96437"/>
    <w:rsid w:val="00E968A0"/>
    <w:rsid w:val="00E97145"/>
    <w:rsid w:val="00EA33B5"/>
    <w:rsid w:val="00EA4196"/>
    <w:rsid w:val="00EB081A"/>
    <w:rsid w:val="00EB0BAE"/>
    <w:rsid w:val="00EB0F20"/>
    <w:rsid w:val="00EB1632"/>
    <w:rsid w:val="00EB377B"/>
    <w:rsid w:val="00EB4086"/>
    <w:rsid w:val="00EB4EB6"/>
    <w:rsid w:val="00EB535D"/>
    <w:rsid w:val="00EB5CD2"/>
    <w:rsid w:val="00EC0A98"/>
    <w:rsid w:val="00EC34E0"/>
    <w:rsid w:val="00EC5385"/>
    <w:rsid w:val="00EC5430"/>
    <w:rsid w:val="00EC60B6"/>
    <w:rsid w:val="00EC6373"/>
    <w:rsid w:val="00EC7853"/>
    <w:rsid w:val="00ED047D"/>
    <w:rsid w:val="00ED0A59"/>
    <w:rsid w:val="00ED1DE0"/>
    <w:rsid w:val="00ED297E"/>
    <w:rsid w:val="00ED4626"/>
    <w:rsid w:val="00ED5B3C"/>
    <w:rsid w:val="00ED732D"/>
    <w:rsid w:val="00ED7BC4"/>
    <w:rsid w:val="00EE104D"/>
    <w:rsid w:val="00EE5F6D"/>
    <w:rsid w:val="00EF0701"/>
    <w:rsid w:val="00EF11F2"/>
    <w:rsid w:val="00EF236F"/>
    <w:rsid w:val="00EF3067"/>
    <w:rsid w:val="00F03AFB"/>
    <w:rsid w:val="00F03CB2"/>
    <w:rsid w:val="00F06FC4"/>
    <w:rsid w:val="00F13DC7"/>
    <w:rsid w:val="00F14729"/>
    <w:rsid w:val="00F14ED7"/>
    <w:rsid w:val="00F150D6"/>
    <w:rsid w:val="00F17670"/>
    <w:rsid w:val="00F17A90"/>
    <w:rsid w:val="00F2031D"/>
    <w:rsid w:val="00F236D4"/>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4AB7"/>
    <w:rsid w:val="00FA62B4"/>
    <w:rsid w:val="00FA70CF"/>
    <w:rsid w:val="00FA71DD"/>
    <w:rsid w:val="00FB3AA4"/>
    <w:rsid w:val="00FB3C35"/>
    <w:rsid w:val="00FB4627"/>
    <w:rsid w:val="00FC0F57"/>
    <w:rsid w:val="00FC1BC9"/>
    <w:rsid w:val="00FC4133"/>
    <w:rsid w:val="00FC41DA"/>
    <w:rsid w:val="00FC475B"/>
    <w:rsid w:val="00FC5C65"/>
    <w:rsid w:val="00FC6BB3"/>
    <w:rsid w:val="00FC75B8"/>
    <w:rsid w:val="00FC75D3"/>
    <w:rsid w:val="00FD318F"/>
    <w:rsid w:val="00FD3E1D"/>
    <w:rsid w:val="00FD54BE"/>
    <w:rsid w:val="00FD7606"/>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A6FE3"/>
    <w:rPr>
      <w:sz w:val="16"/>
      <w:szCs w:val="16"/>
    </w:rPr>
  </w:style>
  <w:style w:type="paragraph" w:styleId="CommentText">
    <w:name w:val="annotation text"/>
    <w:basedOn w:val="Normal"/>
    <w:link w:val="CommentTextChar"/>
    <w:uiPriority w:val="99"/>
    <w:semiHidden/>
    <w:unhideWhenUsed/>
    <w:rsid w:val="007A6FE3"/>
    <w:pPr>
      <w:spacing w:line="240" w:lineRule="auto"/>
    </w:pPr>
    <w:rPr>
      <w:szCs w:val="20"/>
    </w:rPr>
  </w:style>
  <w:style w:type="character" w:customStyle="1" w:styleId="CommentTextChar">
    <w:name w:val="Comment Text Char"/>
    <w:basedOn w:val="DefaultParagraphFont"/>
    <w:link w:val="CommentText"/>
    <w:uiPriority w:val="99"/>
    <w:semiHidden/>
    <w:rsid w:val="007A6FE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A6FE3"/>
    <w:rPr>
      <w:b/>
      <w:bCs/>
    </w:rPr>
  </w:style>
  <w:style w:type="character" w:customStyle="1" w:styleId="CommentSubjectChar">
    <w:name w:val="Comment Subject Char"/>
    <w:basedOn w:val="CommentTextChar"/>
    <w:link w:val="CommentSubject"/>
    <w:uiPriority w:val="99"/>
    <w:semiHidden/>
    <w:rsid w:val="007A6FE3"/>
    <w:rPr>
      <w:rFonts w:ascii="Times New Roman" w:hAnsi="Times New Roman"/>
      <w:b/>
      <w:bCs/>
      <w:spacing w:val="4"/>
      <w:w w:val="103"/>
      <w:kern w:val="14"/>
      <w:lang w:val="fr-CA"/>
    </w:rPr>
  </w:style>
  <w:style w:type="character" w:styleId="Hyperlink">
    <w:name w:val="Hyperlink"/>
    <w:basedOn w:val="DefaultParagraphFont"/>
    <w:uiPriority w:val="99"/>
    <w:unhideWhenUsed/>
    <w:rsid w:val="00ED1D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A6FE3"/>
    <w:rPr>
      <w:sz w:val="16"/>
      <w:szCs w:val="16"/>
    </w:rPr>
  </w:style>
  <w:style w:type="paragraph" w:styleId="CommentText">
    <w:name w:val="annotation text"/>
    <w:basedOn w:val="Normal"/>
    <w:link w:val="CommentTextChar"/>
    <w:uiPriority w:val="99"/>
    <w:semiHidden/>
    <w:unhideWhenUsed/>
    <w:rsid w:val="007A6FE3"/>
    <w:pPr>
      <w:spacing w:line="240" w:lineRule="auto"/>
    </w:pPr>
    <w:rPr>
      <w:szCs w:val="20"/>
    </w:rPr>
  </w:style>
  <w:style w:type="character" w:customStyle="1" w:styleId="CommentTextChar">
    <w:name w:val="Comment Text Char"/>
    <w:basedOn w:val="DefaultParagraphFont"/>
    <w:link w:val="CommentText"/>
    <w:uiPriority w:val="99"/>
    <w:semiHidden/>
    <w:rsid w:val="007A6FE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A6FE3"/>
    <w:rPr>
      <w:b/>
      <w:bCs/>
    </w:rPr>
  </w:style>
  <w:style w:type="character" w:customStyle="1" w:styleId="CommentSubjectChar">
    <w:name w:val="Comment Subject Char"/>
    <w:basedOn w:val="CommentTextChar"/>
    <w:link w:val="CommentSubject"/>
    <w:uiPriority w:val="99"/>
    <w:semiHidden/>
    <w:rsid w:val="007A6FE3"/>
    <w:rPr>
      <w:rFonts w:ascii="Times New Roman" w:hAnsi="Times New Roman"/>
      <w:b/>
      <w:bCs/>
      <w:spacing w:val="4"/>
      <w:w w:val="103"/>
      <w:kern w:val="14"/>
      <w:lang w:val="fr-CA"/>
    </w:rPr>
  </w:style>
  <w:style w:type="character" w:styleId="Hyperlink">
    <w:name w:val="Hyperlink"/>
    <w:basedOn w:val="DefaultParagraphFont"/>
    <w:uiPriority w:val="99"/>
    <w:unhideWhenUsed/>
    <w:rsid w:val="00ED1D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67441">
      <w:bodyDiv w:val="1"/>
      <w:marLeft w:val="0"/>
      <w:marRight w:val="0"/>
      <w:marTop w:val="0"/>
      <w:marBottom w:val="0"/>
      <w:divBdr>
        <w:top w:val="none" w:sz="0" w:space="0" w:color="auto"/>
        <w:left w:val="none" w:sz="0" w:space="0" w:color="auto"/>
        <w:bottom w:val="none" w:sz="0" w:space="0" w:color="auto"/>
        <w:right w:val="none" w:sz="0" w:space="0" w:color="auto"/>
      </w:divBdr>
    </w:div>
    <w:div w:id="12042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46F28-71F7-44BE-BDF4-C1B7F960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10338</Words>
  <Characters>58927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Laurence Berthet</cp:lastModifiedBy>
  <cp:revision>3</cp:revision>
  <cp:lastPrinted>2016-03-07T15:31:00Z</cp:lastPrinted>
  <dcterms:created xsi:type="dcterms:W3CDTF">2016-03-07T15:31:00Z</dcterms:created>
  <dcterms:modified xsi:type="dcterms:W3CDTF">2016-03-07T15:31:00Z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1511807F</vt:lpwstr>
  </property>
  <property fmtid="{D5CDD505-2E9C-101B-9397-08002B2CF9AE}" pid="3" name="ODSRefJobNo">
    <vt:lpwstr>1515683F</vt:lpwstr>
  </property>
  <property fmtid="{D5CDD505-2E9C-101B-9397-08002B2CF9AE}" pid="4" name="Symbol1">
    <vt:lpwstr>ST/SG/AC.10/C.3/94</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4 mars 2016</vt:lpwstr>
  </property>
  <property fmtid="{D5CDD505-2E9C-101B-9397-08002B2CF9AE}" pid="12" name="Original">
    <vt:lpwstr>anglais</vt:lpwstr>
  </property>
  <property fmtid="{D5CDD505-2E9C-101B-9397-08002B2CF9AE}" pid="13" name="Release Date">
    <vt:lpwstr>040316</vt:lpwstr>
  </property>
</Properties>
</file>