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834EB1">
        <w:trPr>
          <w:trHeight w:val="851"/>
        </w:trPr>
        <w:tc>
          <w:tcPr>
            <w:tcW w:w="1259" w:type="dxa"/>
            <w:tcBorders>
              <w:top w:val="nil"/>
              <w:left w:val="nil"/>
              <w:bottom w:val="single" w:sz="4" w:space="0" w:color="auto"/>
              <w:right w:val="nil"/>
            </w:tcBorders>
          </w:tcPr>
          <w:p w:rsidR="00446DE4" w:rsidRPr="006500BA"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834EB1" w:rsidRDefault="00B3317B" w:rsidP="00834EB1">
            <w:pPr>
              <w:spacing w:after="80" w:line="340" w:lineRule="exact"/>
              <w:rPr>
                <w:sz w:val="28"/>
                <w:szCs w:val="28"/>
              </w:rPr>
            </w:pPr>
            <w:r w:rsidRPr="00834EB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C8779F" w:rsidP="00980721">
            <w:pPr>
              <w:jc w:val="right"/>
            </w:pPr>
            <w:r w:rsidRPr="00834EB1">
              <w:rPr>
                <w:sz w:val="40"/>
              </w:rPr>
              <w:t>ST</w:t>
            </w:r>
            <w:r>
              <w:t>/SG/AC.10/C.3/201</w:t>
            </w:r>
            <w:r w:rsidR="005233DF">
              <w:t>5</w:t>
            </w:r>
            <w:r>
              <w:t>/</w:t>
            </w:r>
            <w:r w:rsidR="00980721">
              <w:t>58</w:t>
            </w:r>
          </w:p>
        </w:tc>
      </w:tr>
      <w:tr w:rsidR="003107FA" w:rsidRPr="006500BA" w:rsidTr="00834EB1">
        <w:trPr>
          <w:trHeight w:val="2835"/>
        </w:trPr>
        <w:tc>
          <w:tcPr>
            <w:tcW w:w="1259" w:type="dxa"/>
            <w:tcBorders>
              <w:top w:val="single" w:sz="4" w:space="0" w:color="auto"/>
              <w:left w:val="nil"/>
              <w:bottom w:val="single" w:sz="12" w:space="0" w:color="auto"/>
              <w:right w:val="nil"/>
            </w:tcBorders>
          </w:tcPr>
          <w:p w:rsidR="003107FA" w:rsidRPr="006500BA" w:rsidRDefault="00F37A28" w:rsidP="00834EB1">
            <w:pPr>
              <w:spacing w:before="120"/>
              <w:jc w:val="center"/>
            </w:pPr>
            <w:r>
              <w:rPr>
                <w:noProof/>
                <w:lang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34EB1" w:rsidRDefault="00D96CC5" w:rsidP="00834EB1">
            <w:pPr>
              <w:spacing w:before="120" w:line="420" w:lineRule="exact"/>
              <w:rPr>
                <w:b/>
                <w:sz w:val="40"/>
                <w:szCs w:val="40"/>
              </w:rPr>
            </w:pPr>
            <w:r w:rsidRPr="00834EB1">
              <w:rPr>
                <w:b/>
                <w:sz w:val="40"/>
                <w:szCs w:val="40"/>
              </w:rPr>
              <w:t>Secretariat</w:t>
            </w:r>
          </w:p>
        </w:tc>
        <w:tc>
          <w:tcPr>
            <w:tcW w:w="2930" w:type="dxa"/>
            <w:tcBorders>
              <w:top w:val="single" w:sz="4" w:space="0" w:color="auto"/>
              <w:left w:val="nil"/>
              <w:bottom w:val="single" w:sz="12" w:space="0" w:color="auto"/>
              <w:right w:val="nil"/>
            </w:tcBorders>
          </w:tcPr>
          <w:p w:rsidR="00C8779F" w:rsidRDefault="00C8779F" w:rsidP="00834EB1">
            <w:pPr>
              <w:spacing w:before="240" w:line="240" w:lineRule="exact"/>
            </w:pPr>
            <w:r>
              <w:t>Distr.: General</w:t>
            </w:r>
          </w:p>
          <w:p w:rsidR="00C8779F" w:rsidRDefault="00980721" w:rsidP="00834EB1">
            <w:pPr>
              <w:spacing w:line="240" w:lineRule="exact"/>
            </w:pPr>
            <w:r>
              <w:t>23 November</w:t>
            </w:r>
            <w:r w:rsidR="005930FC">
              <w:t xml:space="preserve"> 201</w:t>
            </w:r>
            <w:r w:rsidR="005233DF">
              <w:t>5</w:t>
            </w:r>
          </w:p>
          <w:p w:rsidR="00980721" w:rsidRDefault="00980721" w:rsidP="00834EB1">
            <w:pPr>
              <w:spacing w:line="240" w:lineRule="exact"/>
            </w:pPr>
          </w:p>
          <w:p w:rsidR="00C8779F" w:rsidRDefault="00980721" w:rsidP="00834EB1">
            <w:pPr>
              <w:spacing w:line="240" w:lineRule="exact"/>
            </w:pPr>
            <w:r>
              <w:t>English</w:t>
            </w:r>
          </w:p>
          <w:p w:rsidR="003107FA" w:rsidRPr="006500BA" w:rsidRDefault="00C8779F" w:rsidP="00F279FA">
            <w:pPr>
              <w:spacing w:line="240" w:lineRule="exact"/>
            </w:pPr>
            <w:r>
              <w:t xml:space="preserve">Original: </w:t>
            </w:r>
            <w:r w:rsidR="00980721">
              <w:t xml:space="preserve">English and </w:t>
            </w:r>
            <w:r w:rsidR="00F279FA">
              <w:t>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2E5E63" w:rsidRPr="00432930" w:rsidRDefault="002E5E63" w:rsidP="002E5E63">
      <w:pPr>
        <w:spacing w:before="120"/>
        <w:rPr>
          <w:b/>
        </w:rPr>
      </w:pPr>
      <w:r w:rsidRPr="00432930">
        <w:rPr>
          <w:b/>
        </w:rPr>
        <w:t>Forty-</w:t>
      </w:r>
      <w:r w:rsidR="00884887">
        <w:rPr>
          <w:b/>
        </w:rPr>
        <w:t>eighth</w:t>
      </w:r>
      <w:r w:rsidRPr="00432930">
        <w:rPr>
          <w:b/>
        </w:rPr>
        <w:t xml:space="preserve"> </w:t>
      </w:r>
      <w:proofErr w:type="gramStart"/>
      <w:r w:rsidRPr="00432930">
        <w:rPr>
          <w:b/>
        </w:rPr>
        <w:t>session</w:t>
      </w:r>
      <w:proofErr w:type="gramEnd"/>
    </w:p>
    <w:p w:rsidR="002E5E63" w:rsidRDefault="002E5E63" w:rsidP="00865579">
      <w:pPr>
        <w:rPr>
          <w:color w:val="333333"/>
          <w:lang w:eastAsia="it-IT"/>
        </w:rPr>
      </w:pPr>
      <w:r w:rsidRPr="00432930">
        <w:t xml:space="preserve">Geneva, </w:t>
      </w:r>
      <w:r w:rsidR="00865579">
        <w:rPr>
          <w:color w:val="333333"/>
          <w:lang w:eastAsia="it-IT"/>
        </w:rPr>
        <w:t xml:space="preserve">30 November </w:t>
      </w:r>
      <w:r w:rsidRPr="00432930">
        <w:rPr>
          <w:color w:val="333333"/>
          <w:lang w:eastAsia="it-IT"/>
        </w:rPr>
        <w:t xml:space="preserve">– </w:t>
      </w:r>
      <w:r w:rsidR="00865579">
        <w:rPr>
          <w:color w:val="333333"/>
          <w:lang w:eastAsia="it-IT"/>
        </w:rPr>
        <w:t>9 December</w:t>
      </w:r>
      <w:r w:rsidRPr="00432930">
        <w:rPr>
          <w:color w:val="333333"/>
          <w:lang w:eastAsia="it-IT"/>
        </w:rPr>
        <w:t xml:space="preserve"> 2015</w:t>
      </w:r>
    </w:p>
    <w:p w:rsidR="00D82BCD" w:rsidRDefault="00D82BCD" w:rsidP="00666CA8">
      <w:r w:rsidRPr="004A512B">
        <w:t xml:space="preserve">Item </w:t>
      </w:r>
      <w:r w:rsidR="00980721">
        <w:t>4 (d</w:t>
      </w:r>
      <w:r w:rsidRPr="004A512B">
        <w:t>) of the provisional agenda</w:t>
      </w:r>
    </w:p>
    <w:p w:rsidR="009F0F06" w:rsidRPr="008E7B96" w:rsidRDefault="00980721" w:rsidP="00D82BCD">
      <w:pPr>
        <w:rPr>
          <w:b/>
        </w:rPr>
      </w:pPr>
      <w:r w:rsidRPr="00980721">
        <w:rPr>
          <w:b/>
        </w:rPr>
        <w:t>Electric storage systems</w:t>
      </w:r>
      <w:r>
        <w:rPr>
          <w:b/>
        </w:rPr>
        <w:t>:</w:t>
      </w:r>
      <w:r w:rsidRPr="008E7B96">
        <w:rPr>
          <w:b/>
        </w:rPr>
        <w:t xml:space="preserve"> </w:t>
      </w:r>
      <w:r w:rsidR="008E7B96" w:rsidRPr="008E7B96">
        <w:rPr>
          <w:b/>
        </w:rPr>
        <w:t>miscellaneous</w:t>
      </w:r>
    </w:p>
    <w:p w:rsidR="00F0114F" w:rsidRPr="00BC1FB8" w:rsidRDefault="00F0114F" w:rsidP="00884887">
      <w:pPr>
        <w:pStyle w:val="HChG"/>
      </w:pPr>
      <w:r w:rsidRPr="00F0114F">
        <w:tab/>
      </w:r>
      <w:r w:rsidRPr="00F0114F">
        <w:tab/>
      </w:r>
      <w:r w:rsidR="00D437FD">
        <w:t>Modifications to special p</w:t>
      </w:r>
      <w:bookmarkStart w:id="0" w:name="_GoBack"/>
      <w:bookmarkEnd w:id="0"/>
      <w:r w:rsidR="00666CA8">
        <w:t>rovisions concerning transport of vehicles</w:t>
      </w:r>
      <w:r w:rsidR="002E5E63">
        <w:t xml:space="preserve"> </w:t>
      </w:r>
    </w:p>
    <w:p w:rsidR="00F0114F" w:rsidRPr="00AC05E0" w:rsidRDefault="00F0114F" w:rsidP="00666CA8">
      <w:pPr>
        <w:pStyle w:val="H1G"/>
      </w:pPr>
      <w:r>
        <w:tab/>
      </w:r>
      <w:r>
        <w:tab/>
      </w:r>
      <w:r w:rsidRPr="00AC05E0">
        <w:t>Transmitted by</w:t>
      </w:r>
      <w:r w:rsidR="00285380">
        <w:t xml:space="preserve"> </w:t>
      </w:r>
      <w:r w:rsidR="0024288B">
        <w:t>the</w:t>
      </w:r>
      <w:r w:rsidR="00A5642A">
        <w:t xml:space="preserve"> </w:t>
      </w:r>
      <w:r w:rsidR="00666CA8">
        <w:t xml:space="preserve">expert </w:t>
      </w:r>
      <w:r w:rsidR="00980721">
        <w:t>from</w:t>
      </w:r>
      <w:r w:rsidR="00666CA8">
        <w:t xml:space="preserve"> France</w:t>
      </w:r>
      <w:r w:rsidR="001C641A">
        <w:rPr>
          <w:rStyle w:val="FootnoteReference"/>
        </w:rPr>
        <w:footnoteReference w:id="2"/>
      </w:r>
    </w:p>
    <w:p w:rsidR="00F0114F" w:rsidRPr="00F0114F" w:rsidRDefault="00F0114F" w:rsidP="00F0114F">
      <w:pPr>
        <w:pStyle w:val="HChG"/>
      </w:pPr>
      <w:r w:rsidRPr="00F0114F">
        <w:tab/>
      </w:r>
      <w:r w:rsidRPr="00F0114F">
        <w:tab/>
        <w:t>Introduction</w:t>
      </w:r>
    </w:p>
    <w:p w:rsidR="00666CA8" w:rsidRDefault="00884887" w:rsidP="00884887">
      <w:pPr>
        <w:pStyle w:val="SingleTxtG"/>
        <w:rPr>
          <w:lang w:val="en-US"/>
        </w:rPr>
      </w:pPr>
      <w:r>
        <w:t>1.</w:t>
      </w:r>
      <w:r>
        <w:tab/>
      </w:r>
      <w:r w:rsidR="00980721">
        <w:t>The RID/ADR/ADN</w:t>
      </w:r>
      <w:r w:rsidR="00666CA8">
        <w:t xml:space="preserve"> Joint Meeting, during its </w:t>
      </w:r>
      <w:r w:rsidR="009911F1">
        <w:t xml:space="preserve">September </w:t>
      </w:r>
      <w:r w:rsidR="00666CA8">
        <w:t xml:space="preserve">2015 session, examined the </w:t>
      </w:r>
      <w:r w:rsidR="00666CA8" w:rsidRPr="00884887">
        <w:t>harmonization</w:t>
      </w:r>
      <w:r w:rsidR="00666CA8">
        <w:t xml:space="preserve"> between RID/ADR/ADN and the UN Model Regulations. The Joint Meeting noted that Special Provisions 312 and 382 were largely redundant. This situation also occurs with Special Provision 240.</w:t>
      </w:r>
    </w:p>
    <w:p w:rsidR="00754AF6" w:rsidRPr="00884887" w:rsidRDefault="00884887" w:rsidP="00884887">
      <w:pPr>
        <w:pStyle w:val="SingleTxtG"/>
      </w:pPr>
      <w:r>
        <w:t>2.</w:t>
      </w:r>
      <w:r>
        <w:tab/>
      </w:r>
      <w:r w:rsidR="005868DE" w:rsidRPr="00884887">
        <w:t>The Joint Meeting did</w:t>
      </w:r>
      <w:r w:rsidR="00980721" w:rsidRPr="00884887">
        <w:t xml:space="preserve"> not</w:t>
      </w:r>
      <w:r w:rsidR="00754AF6" w:rsidRPr="00884887">
        <w:t xml:space="preserve"> want to modify the text of the Model Regulation</w:t>
      </w:r>
      <w:r w:rsidR="00980721" w:rsidRPr="00884887">
        <w:t>s</w:t>
      </w:r>
      <w:r w:rsidR="00754AF6" w:rsidRPr="00884887">
        <w:t xml:space="preserve"> by adopting a Special Provision which would be specific to RID/ADR/A</w:t>
      </w:r>
      <w:r w:rsidR="00980721" w:rsidRPr="00884887">
        <w:t>DN</w:t>
      </w:r>
      <w:r w:rsidR="00754AF6" w:rsidRPr="00884887">
        <w:t xml:space="preserve"> and invited France to submit to the Sub-Committee a proposal </w:t>
      </w:r>
      <w:r w:rsidR="00A94CD4" w:rsidRPr="00884887">
        <w:t xml:space="preserve">in order to merge the different Special Provisions concerning vehicles </w:t>
      </w:r>
      <w:r w:rsidR="00413246" w:rsidRPr="00884887">
        <w:t xml:space="preserve">to eliminate </w:t>
      </w:r>
      <w:proofErr w:type="gramStart"/>
      <w:r w:rsidR="00413246" w:rsidRPr="00884887">
        <w:t>redundancies, that</w:t>
      </w:r>
      <w:proofErr w:type="gramEnd"/>
      <w:r w:rsidR="00413246" w:rsidRPr="00884887">
        <w:t xml:space="preserve"> could be source </w:t>
      </w:r>
      <w:r w:rsidR="00980721" w:rsidRPr="00884887">
        <w:t>of</w:t>
      </w:r>
      <w:r w:rsidR="00413246" w:rsidRPr="00884887">
        <w:t xml:space="preserve"> confusion.</w:t>
      </w:r>
    </w:p>
    <w:p w:rsidR="0032234E" w:rsidRPr="00884887" w:rsidRDefault="00884887" w:rsidP="00884887">
      <w:pPr>
        <w:pStyle w:val="SingleTxtG"/>
      </w:pPr>
      <w:r>
        <w:t>3.</w:t>
      </w:r>
      <w:r>
        <w:tab/>
      </w:r>
      <w:r w:rsidR="0032234E" w:rsidRPr="00884887">
        <w:t xml:space="preserve">To do this, the expert of France wish to submit two options which are described below, which contain no new provision but </w:t>
      </w:r>
      <w:r w:rsidR="00980721" w:rsidRPr="00884887">
        <w:t xml:space="preserve">address </w:t>
      </w:r>
      <w:r w:rsidR="0032234E" w:rsidRPr="00884887">
        <w:t>rationalization of existing provisions.</w:t>
      </w:r>
    </w:p>
    <w:p w:rsidR="00653131" w:rsidRPr="00884887" w:rsidRDefault="00884887" w:rsidP="00884887">
      <w:pPr>
        <w:pStyle w:val="SingleTxtG"/>
      </w:pPr>
      <w:r>
        <w:t>4.</w:t>
      </w:r>
      <w:r>
        <w:tab/>
      </w:r>
      <w:r w:rsidR="0032234E" w:rsidRPr="00884887">
        <w:t xml:space="preserve">The first option consists in merging Special Provisions 312 and 385 which </w:t>
      </w:r>
      <w:r w:rsidR="000B027D" w:rsidRPr="00884887">
        <w:t>are assigned</w:t>
      </w:r>
      <w:r w:rsidR="0032234E" w:rsidRPr="00884887">
        <w:t xml:space="preserve"> to entry UN 3166. This modification seems to be the minimum required to eliminate </w:t>
      </w:r>
      <w:r w:rsidR="00413246" w:rsidRPr="00884887">
        <w:t>confusion. This proposal is provided under Proposal 1 Option 1</w:t>
      </w:r>
    </w:p>
    <w:p w:rsidR="0032234E" w:rsidRPr="00884887" w:rsidRDefault="00884887" w:rsidP="00884887">
      <w:pPr>
        <w:pStyle w:val="SingleTxtG"/>
      </w:pPr>
      <w:r>
        <w:lastRenderedPageBreak/>
        <w:t>5.</w:t>
      </w:r>
      <w:r>
        <w:tab/>
      </w:r>
      <w:r w:rsidR="00EA15B6" w:rsidRPr="00884887">
        <w:t xml:space="preserve">The second option is to further rationalize the existing Special Provisions, by merging the Special Provisions 240, 312 and 385 which </w:t>
      </w:r>
      <w:r w:rsidR="000B027D" w:rsidRPr="00884887">
        <w:t>are assigned</w:t>
      </w:r>
      <w:r w:rsidR="00EA15B6" w:rsidRPr="00884887">
        <w:t xml:space="preserve"> to entries UN 3166 and </w:t>
      </w:r>
      <w:r w:rsidR="00F56420" w:rsidRPr="00884887">
        <w:t xml:space="preserve">UN </w:t>
      </w:r>
      <w:r w:rsidR="00EA15B6" w:rsidRPr="00884887">
        <w:t>3171</w:t>
      </w:r>
      <w:r w:rsidR="00F56420" w:rsidRPr="00884887">
        <w:t>.</w:t>
      </w:r>
      <w:r w:rsidR="00EA15B6" w:rsidRPr="00884887">
        <w:t xml:space="preserve"> </w:t>
      </w:r>
      <w:r w:rsidR="00413246" w:rsidRPr="00884887">
        <w:t>This proposal is provided under Proposal 1 Option 2:</w:t>
      </w:r>
    </w:p>
    <w:p w:rsidR="00413246" w:rsidRPr="00884887" w:rsidRDefault="00884887" w:rsidP="00884887">
      <w:pPr>
        <w:pStyle w:val="SingleTxtG"/>
      </w:pPr>
      <w:r>
        <w:t>6.</w:t>
      </w:r>
      <w:r>
        <w:tab/>
      </w:r>
      <w:r w:rsidR="00413246" w:rsidRPr="00884887">
        <w:t>Furthermore, it appeared during th</w:t>
      </w:r>
      <w:r w:rsidR="00980721" w:rsidRPr="00884887">
        <w:t>e</w:t>
      </w:r>
      <w:r w:rsidR="00413246" w:rsidRPr="00884887">
        <w:t xml:space="preserve"> discussions </w:t>
      </w:r>
      <w:r w:rsidR="008A2DE0" w:rsidRPr="00884887">
        <w:t xml:space="preserve">that </w:t>
      </w:r>
      <w:r w:rsidR="00413246" w:rsidRPr="00884887">
        <w:t xml:space="preserve">the text </w:t>
      </w:r>
      <w:proofErr w:type="gramStart"/>
      <w:r w:rsidR="00413246" w:rsidRPr="00884887">
        <w:t>making  reference</w:t>
      </w:r>
      <w:proofErr w:type="gramEnd"/>
      <w:r w:rsidR="00413246" w:rsidRPr="00884887">
        <w:t xml:space="preserve"> to prototypes, small production runs and damaged batteries in vehicles also creates some misunderstandings. This text also appears in Special Provision 363. Proposal 2 proposes and amendment to this text, in order to clarify its meaning. The new text is underlined and the deleted one is </w:t>
      </w:r>
      <w:r w:rsidR="007918E1" w:rsidRPr="00884887">
        <w:t>stricken</w:t>
      </w:r>
      <w:r w:rsidR="00413246" w:rsidRPr="00884887">
        <w:t xml:space="preserve"> out.</w:t>
      </w:r>
      <w:r w:rsidR="007918E1" w:rsidRPr="00884887">
        <w:t xml:space="preserve"> As it is not related to the same issue, it is </w:t>
      </w:r>
      <w:r w:rsidR="008A2DE0" w:rsidRPr="00884887">
        <w:t>presen</w:t>
      </w:r>
      <w:r w:rsidR="007918E1" w:rsidRPr="00884887">
        <w:t>ted in a separate proposal to be discussed separately.</w:t>
      </w:r>
    </w:p>
    <w:p w:rsidR="00EA15B6" w:rsidRPr="00EA15B6" w:rsidRDefault="00EA15B6" w:rsidP="00413246">
      <w:pPr>
        <w:pStyle w:val="HChG"/>
      </w:pPr>
      <w:r>
        <w:tab/>
      </w:r>
      <w:r>
        <w:tab/>
      </w:r>
      <w:r w:rsidR="00413246">
        <w:t>Proposal 1</w:t>
      </w:r>
    </w:p>
    <w:p w:rsidR="007D7521" w:rsidRPr="00EA15B6" w:rsidRDefault="0098491C" w:rsidP="0098491C">
      <w:pPr>
        <w:pStyle w:val="H1G"/>
      </w:pPr>
      <w:r>
        <w:tab/>
      </w:r>
      <w:r>
        <w:tab/>
      </w:r>
      <w:r w:rsidR="00EA15B6" w:rsidRPr="00EA15B6">
        <w:t>Option 1</w:t>
      </w:r>
    </w:p>
    <w:p w:rsidR="00606890" w:rsidRDefault="00EA15B6" w:rsidP="0031460E">
      <w:pPr>
        <w:pStyle w:val="SingleTxtG"/>
        <w:numPr>
          <w:ilvl w:val="0"/>
          <w:numId w:val="30"/>
        </w:numPr>
        <w:ind w:left="1701"/>
      </w:pPr>
      <w:r>
        <w:t>Delete Special Provision 385</w:t>
      </w:r>
      <w:r w:rsidR="00606890">
        <w:t xml:space="preserve"> in Chapter 3.3</w:t>
      </w:r>
    </w:p>
    <w:p w:rsidR="00EA15B6" w:rsidRDefault="00606890" w:rsidP="00A82740">
      <w:pPr>
        <w:pStyle w:val="SingleTxtG"/>
        <w:numPr>
          <w:ilvl w:val="0"/>
          <w:numId w:val="30"/>
        </w:numPr>
        <w:ind w:left="1701"/>
      </w:pPr>
      <w:r>
        <w:t xml:space="preserve">Delete Special Provision 385 </w:t>
      </w:r>
      <w:r w:rsidR="007918E1">
        <w:t xml:space="preserve">in Column 6 </w:t>
      </w:r>
      <w:r w:rsidR="00297EBA">
        <w:t>of the Table in Chapter 3.2</w:t>
      </w:r>
      <w:r w:rsidR="007918E1">
        <w:t>for UN 3166</w:t>
      </w:r>
      <w:r w:rsidR="00EA15B6">
        <w:t>.</w:t>
      </w:r>
    </w:p>
    <w:p w:rsidR="00EA15B6" w:rsidRDefault="00EA15B6" w:rsidP="00A82740">
      <w:pPr>
        <w:pStyle w:val="SingleTxtG"/>
        <w:numPr>
          <w:ilvl w:val="0"/>
          <w:numId w:val="30"/>
        </w:numPr>
        <w:ind w:left="1701"/>
      </w:pPr>
      <w:r>
        <w:t xml:space="preserve">Amend Special Provision 312, </w:t>
      </w:r>
      <w:r w:rsidR="00606890">
        <w:t xml:space="preserve">to read </w:t>
      </w:r>
      <w:r>
        <w:t>as follows :</w:t>
      </w:r>
    </w:p>
    <w:p w:rsidR="00EA15B6" w:rsidRDefault="00EA15B6" w:rsidP="0031460E">
      <w:pPr>
        <w:pStyle w:val="SingleTxtG"/>
        <w:ind w:left="1701"/>
      </w:pPr>
      <w:r>
        <w:rPr>
          <w:b/>
          <w:bCs/>
        </w:rPr>
        <w:t xml:space="preserve">“312 </w:t>
      </w:r>
      <w:r>
        <w:t>This entry applies to vehicles powered by flammable liquid or gas internal co</w:t>
      </w:r>
      <w:r w:rsidR="007918E1">
        <w:t>mbustion engines or fuel cells.</w:t>
      </w:r>
    </w:p>
    <w:p w:rsidR="00EA15B6" w:rsidRDefault="00EA15B6" w:rsidP="0031460E">
      <w:pPr>
        <w:pStyle w:val="SingleTxtG"/>
        <w:ind w:left="1701"/>
      </w:pPr>
      <w:r>
        <w:t xml:space="preserve">Vehicles powered by a fuel cell engine shall be consigned under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EA15B6" w:rsidRDefault="00EA15B6" w:rsidP="0031460E">
      <w:pPr>
        <w:pStyle w:val="SingleTxtG"/>
        <w:ind w:left="1701"/>
      </w:pPr>
      <w: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7918E1" w:rsidRDefault="00EA15B6" w:rsidP="0098491C">
      <w:pPr>
        <w:pStyle w:val="SingleTxtG"/>
        <w:ind w:left="1701"/>
      </w:pPr>
      <w:r>
        <w:t>Vehicles powered by wet batteries, sodium batteries, lithium metal batteries or lithium ion batteries, transported with the batteries installed, shall be consigned under the entry UN 3171 BATTERY POWERED VEHICLE (see special provision 240).</w:t>
      </w:r>
    </w:p>
    <w:p w:rsidR="007918E1" w:rsidRDefault="007918E1" w:rsidP="0098491C">
      <w:pPr>
        <w:pStyle w:val="SingleTxtG"/>
        <w:ind w:left="1701"/>
      </w:pPr>
      <w:r>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D5467E" w:rsidRDefault="007918E1" w:rsidP="0098491C">
      <w:pPr>
        <w:pStyle w:val="SingleTxtG"/>
        <w:ind w:left="1701"/>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r>
        <w:rPr>
          <w:rFonts w:eastAsia="Calibri"/>
        </w:rPr>
        <w:t xml:space="preserve">2.9.4. </w:t>
      </w:r>
      <w:proofErr w:type="gramStart"/>
      <w:r>
        <w:rPr>
          <w:rFonts w:eastAsia="Calibri"/>
        </w:rPr>
        <w:t>except</w:t>
      </w:r>
      <w:proofErr w:type="gramEnd"/>
      <w:r>
        <w:rPr>
          <w:rFonts w:eastAsia="Calibri"/>
        </w:rPr>
        <w:t xml:space="preserve"> when otherwise provided for in this Regulations (e.g. for prototype batteries </w:t>
      </w:r>
      <w:r>
        <w:rPr>
          <w:rFonts w:eastAsia="Calibri"/>
        </w:rPr>
        <w:lastRenderedPageBreak/>
        <w:t>and small produ</w:t>
      </w:r>
      <w:r w:rsidR="00606890">
        <w:rPr>
          <w:rFonts w:eastAsia="Calibri"/>
        </w:rPr>
        <w:t>c</w:t>
      </w:r>
      <w:r>
        <w:rPr>
          <w:rFonts w:eastAsia="Calibri"/>
        </w:rPr>
        <w:t>tion runs under special provision 310 or damaged batteries under special provision 376).</w:t>
      </w:r>
      <w:r w:rsidR="00EA15B6">
        <w:t>“</w:t>
      </w:r>
    </w:p>
    <w:p w:rsidR="00EA15B6" w:rsidRDefault="0098491C" w:rsidP="0098491C">
      <w:pPr>
        <w:pStyle w:val="H1G"/>
      </w:pPr>
      <w:r>
        <w:tab/>
      </w:r>
      <w:r>
        <w:tab/>
      </w:r>
      <w:r w:rsidR="00D5467E" w:rsidRPr="00EA15B6">
        <w:t xml:space="preserve">Option </w:t>
      </w:r>
      <w:r w:rsidR="00D5467E">
        <w:t>2</w:t>
      </w:r>
    </w:p>
    <w:p w:rsidR="00D5467E" w:rsidRDefault="00D5467E" w:rsidP="00DB39E6">
      <w:pPr>
        <w:pStyle w:val="SingleTxtG"/>
        <w:numPr>
          <w:ilvl w:val="0"/>
          <w:numId w:val="30"/>
        </w:numPr>
        <w:ind w:left="1701" w:hanging="283"/>
      </w:pPr>
      <w:r w:rsidRPr="00D5467E">
        <w:t xml:space="preserve">Delete Special </w:t>
      </w:r>
      <w:r>
        <w:t>Provisions 240, 312 and 385</w:t>
      </w:r>
      <w:r w:rsidR="00BD2D7B">
        <w:t xml:space="preserve"> in Chapter 3.3</w:t>
      </w:r>
    </w:p>
    <w:p w:rsidR="00BD2D7B" w:rsidRDefault="00BD2D7B" w:rsidP="00DB39E6">
      <w:pPr>
        <w:pStyle w:val="SingleTxtG"/>
        <w:numPr>
          <w:ilvl w:val="0"/>
          <w:numId w:val="30"/>
        </w:numPr>
        <w:ind w:left="1701" w:hanging="283"/>
      </w:pPr>
      <w:r w:rsidRPr="00D5467E">
        <w:t xml:space="preserve">Delete Special </w:t>
      </w:r>
      <w:r>
        <w:t xml:space="preserve">Provisions 240, 312 and 385 in Column 6 </w:t>
      </w:r>
      <w:r w:rsidR="00297EBA">
        <w:t xml:space="preserve">of the Table in Chapter 3.2 </w:t>
      </w:r>
      <w:r>
        <w:t>for UN 3166</w:t>
      </w:r>
    </w:p>
    <w:p w:rsidR="00BD2D7B" w:rsidRDefault="00BD2D7B" w:rsidP="00DB39E6">
      <w:pPr>
        <w:pStyle w:val="SingleTxtG"/>
        <w:numPr>
          <w:ilvl w:val="0"/>
          <w:numId w:val="30"/>
        </w:numPr>
        <w:ind w:left="1701" w:hanging="283"/>
      </w:pPr>
      <w:r w:rsidRPr="00D5467E">
        <w:t xml:space="preserve">Delete Special </w:t>
      </w:r>
      <w:r>
        <w:t xml:space="preserve">Provisions 240, 312 and 385 in Column 6 </w:t>
      </w:r>
      <w:r w:rsidR="00297EBA">
        <w:t>of the Table in Chapter 3.2</w:t>
      </w:r>
      <w:r>
        <w:t>for UN 3171</w:t>
      </w:r>
    </w:p>
    <w:p w:rsidR="00D5467E" w:rsidRDefault="00BD2D7B" w:rsidP="00DB39E6">
      <w:pPr>
        <w:pStyle w:val="SingleTxtG"/>
        <w:numPr>
          <w:ilvl w:val="0"/>
          <w:numId w:val="30"/>
        </w:numPr>
        <w:ind w:left="1701" w:hanging="283"/>
      </w:pPr>
      <w:r>
        <w:t>Add</w:t>
      </w:r>
      <w:r w:rsidR="00D5467E">
        <w:t xml:space="preserve"> the f</w:t>
      </w:r>
      <w:r>
        <w:t>ollowing new Special Provision to Chapter 3.3</w:t>
      </w:r>
    </w:p>
    <w:p w:rsidR="00D5467E" w:rsidRDefault="00D5467E" w:rsidP="00DB39E6">
      <w:pPr>
        <w:pStyle w:val="SingleTxtG"/>
        <w:ind w:left="1701"/>
      </w:pPr>
      <w:r>
        <w:t>“</w:t>
      </w:r>
      <w:r w:rsidRPr="00D5467E">
        <w:rPr>
          <w:b/>
          <w:bCs/>
        </w:rPr>
        <w:t>3XX</w:t>
      </w:r>
      <w:r>
        <w:t xml:space="preserve">. UN 3166 applies to vehicles powered by flammable liquid or gas internal combustion engines or fuel cells. </w:t>
      </w:r>
    </w:p>
    <w:p w:rsidR="00D5467E" w:rsidRDefault="00D5467E" w:rsidP="00DB39E6">
      <w:pPr>
        <w:pStyle w:val="SingleTxtG"/>
        <w:ind w:left="1701"/>
      </w:pPr>
      <w:r>
        <w:t xml:space="preserve">Vehicles powered by a fuel cell engine shall be consigned under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D5467E" w:rsidRDefault="00D5467E" w:rsidP="00DB39E6">
      <w:pPr>
        <w:pStyle w:val="SingleTxtG"/>
        <w:ind w:left="1701"/>
      </w:pPr>
      <w: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t>battery(</w:t>
      </w:r>
      <w:proofErr w:type="spellStart"/>
      <w:proofErr w:type="gramEnd"/>
      <w:r>
        <w:t>ies</w:t>
      </w:r>
      <w:proofErr w:type="spellEnd"/>
      <w:r>
        <w:t xml:space="preserve">) installed. </w:t>
      </w:r>
    </w:p>
    <w:p w:rsidR="00BD2D7B" w:rsidRDefault="00921772" w:rsidP="00DB39E6">
      <w:pPr>
        <w:pStyle w:val="SingleTxtG"/>
        <w:ind w:left="1701"/>
      </w:pPr>
      <w:r>
        <w:t xml:space="preserve">Entry </w:t>
      </w:r>
      <w:r w:rsidR="00D5467E">
        <w:t xml:space="preserve">UN </w:t>
      </w:r>
      <w:r>
        <w:t xml:space="preserve">3171 </w:t>
      </w:r>
      <w:r w:rsidR="00D5467E">
        <w:t>only applies to vehicles powered by wet batteries, sodium batteries, lithium metal batteries or lithium ion batteries and equipment powered by wet batteries or sodium batteries transported with the batteries installed.</w:t>
      </w:r>
    </w:p>
    <w:p w:rsidR="00BD2D7B" w:rsidRDefault="00BD2D7B" w:rsidP="00DB39E6">
      <w:pPr>
        <w:pStyle w:val="SingleTxtG"/>
        <w:ind w:left="1701"/>
      </w:pPr>
      <w: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 chairs, lawn tractors, self-propelled farming and construction equipment, boats and aircraft. This includes vehicles transported in a packaging. In this case some parts of the vehicle may be detached from its frame to fit into the packaging. </w:t>
      </w:r>
    </w:p>
    <w:p w:rsidR="00BD2D7B" w:rsidRDefault="00BD2D7B" w:rsidP="00DB39E6">
      <w:pPr>
        <w:pStyle w:val="SingleTxtG"/>
        <w:ind w:left="1701"/>
      </w:pPr>
      <w:r>
        <w:t xml:space="preserve">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w:t>
      </w:r>
    </w:p>
    <w:p w:rsidR="00D5467E" w:rsidRDefault="00BD2D7B" w:rsidP="00DB39E6">
      <w:pPr>
        <w:pStyle w:val="SingleTxtG"/>
        <w:ind w:left="1701"/>
      </w:pPr>
      <w: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r>
        <w:lastRenderedPageBreak/>
        <w:t xml:space="preserve">these Regulations. However, lithium batteries shall meet the requirements of 2.9.4. </w:t>
      </w:r>
      <w:proofErr w:type="gramStart"/>
      <w:r>
        <w:t>except</w:t>
      </w:r>
      <w:proofErr w:type="gramEnd"/>
      <w:r>
        <w:t xml:space="preserve"> when otherwise provided for in this Regulations (e.g. for prototype batteries and small production runs under special provision 310 or damaged batteries under special provision 376).</w:t>
      </w:r>
      <w:r w:rsidR="00297EBA">
        <w:t>”</w:t>
      </w:r>
    </w:p>
    <w:p w:rsidR="00413246" w:rsidRDefault="00D5467E" w:rsidP="00260057">
      <w:pPr>
        <w:pStyle w:val="SingleTxtG"/>
        <w:numPr>
          <w:ilvl w:val="0"/>
          <w:numId w:val="30"/>
        </w:numPr>
        <w:ind w:left="1701" w:hanging="283"/>
      </w:pPr>
      <w:r>
        <w:t>A</w:t>
      </w:r>
      <w:r w:rsidR="00E20FDC">
        <w:t>ssign</w:t>
      </w:r>
      <w:r>
        <w:t xml:space="preserve"> Special Provision 3XX to entries UN 3166 and UN 3171</w:t>
      </w:r>
      <w:r w:rsidR="00297EBA">
        <w:t xml:space="preserve"> in Column 6 of Table of Chapter 3.2</w:t>
      </w:r>
      <w:r>
        <w:t>.</w:t>
      </w:r>
    </w:p>
    <w:p w:rsidR="00413246" w:rsidRPr="00EA15B6" w:rsidRDefault="00413246" w:rsidP="00260057">
      <w:pPr>
        <w:pStyle w:val="HChG"/>
      </w:pPr>
      <w:r>
        <w:tab/>
      </w:r>
      <w:r>
        <w:tab/>
      </w:r>
      <w:r w:rsidRPr="00260057">
        <w:t>Proposal</w:t>
      </w:r>
      <w:r>
        <w:t xml:space="preserve"> 2</w:t>
      </w:r>
    </w:p>
    <w:p w:rsidR="00413246" w:rsidRDefault="00413246" w:rsidP="00260057">
      <w:pPr>
        <w:pStyle w:val="SingleTxtG"/>
        <w:numPr>
          <w:ilvl w:val="0"/>
          <w:numId w:val="30"/>
        </w:numPr>
        <w:ind w:left="1701" w:hanging="283"/>
      </w:pPr>
      <w:r>
        <w:t xml:space="preserve">In Special Provision 363 and in </w:t>
      </w:r>
      <w:r w:rsidR="00D356AB">
        <w:t xml:space="preserve">the </w:t>
      </w:r>
      <w:r>
        <w:t>new</w:t>
      </w:r>
      <w:r w:rsidR="00D356AB">
        <w:t xml:space="preserve"> Special Provision</w:t>
      </w:r>
      <w:r w:rsidR="00297EBA">
        <w:t>s</w:t>
      </w:r>
      <w:r w:rsidR="00D356AB">
        <w:t xml:space="preserve"> as provided for in </w:t>
      </w:r>
      <w:r w:rsidR="00297EBA">
        <w:t>Proposal </w:t>
      </w:r>
      <w:r w:rsidR="00D356AB">
        <w:t>1 Option 1 and Option 2, where the following text appears :</w:t>
      </w:r>
    </w:p>
    <w:p w:rsidR="00D356AB" w:rsidRDefault="00D356AB" w:rsidP="00260057">
      <w:pPr>
        <w:pStyle w:val="SingleTxtG"/>
        <w:ind w:left="1701"/>
      </w:pPr>
      <w:r>
        <w:t xml:space="preserve">“However, lithium batteries shall meet the requirements of 2.9.4. </w:t>
      </w:r>
      <w:proofErr w:type="gramStart"/>
      <w:r>
        <w:t>except</w:t>
      </w:r>
      <w:proofErr w:type="gramEnd"/>
      <w:r>
        <w:t xml:space="preserve"> when otherwise provided for in this Regulations (e.g. for prototype batteries </w:t>
      </w:r>
      <w:proofErr w:type="spellStart"/>
      <w:r>
        <w:t>ans</w:t>
      </w:r>
      <w:proofErr w:type="spellEnd"/>
      <w:r>
        <w:t xml:space="preserve"> small produ</w:t>
      </w:r>
      <w:r w:rsidR="00FF3FBE">
        <w:t>c</w:t>
      </w:r>
      <w:r>
        <w:t>tion runs under special provision 310 or damaged batteries under special provision 376).</w:t>
      </w:r>
      <w:r w:rsidRPr="00D356AB">
        <w:t xml:space="preserve"> </w:t>
      </w:r>
      <w:r>
        <w:t>”</w:t>
      </w:r>
    </w:p>
    <w:p w:rsidR="00D356AB" w:rsidRDefault="00D356AB" w:rsidP="00260057">
      <w:pPr>
        <w:pStyle w:val="SingleTxtG"/>
        <w:ind w:left="1701"/>
      </w:pPr>
      <w:r>
        <w:t xml:space="preserve">Replace it by the following </w:t>
      </w:r>
      <w:proofErr w:type="gramStart"/>
      <w:r>
        <w:t>text :</w:t>
      </w:r>
      <w:proofErr w:type="gramEnd"/>
    </w:p>
    <w:p w:rsidR="00D356AB" w:rsidRPr="001A7CA7" w:rsidRDefault="00D356AB" w:rsidP="00260057">
      <w:pPr>
        <w:pStyle w:val="SingleTxtG"/>
        <w:ind w:left="1701"/>
        <w:rPr>
          <w:u w:val="single"/>
        </w:rPr>
      </w:pPr>
      <w:r>
        <w:t xml:space="preserve">“However, lithium batteries shall meet the requirements of 2.9.4. except </w:t>
      </w:r>
      <w:r w:rsidRPr="00D356AB">
        <w:rPr>
          <w:strike/>
        </w:rPr>
        <w:t xml:space="preserve">when otherwise provided for in this Regulations (e.g. for prototype batteries </w:t>
      </w:r>
      <w:proofErr w:type="spellStart"/>
      <w:r w:rsidRPr="00D356AB">
        <w:rPr>
          <w:strike/>
        </w:rPr>
        <w:t>ans</w:t>
      </w:r>
      <w:proofErr w:type="spellEnd"/>
      <w:r w:rsidRPr="00D356AB">
        <w:rPr>
          <w:strike/>
        </w:rPr>
        <w:t xml:space="preserve"> small </w:t>
      </w:r>
      <w:proofErr w:type="spellStart"/>
      <w:r w:rsidRPr="00D356AB">
        <w:rPr>
          <w:strike/>
        </w:rPr>
        <w:t>prodution</w:t>
      </w:r>
      <w:proofErr w:type="spellEnd"/>
      <w:r w:rsidRPr="00D356AB">
        <w:rPr>
          <w:strike/>
        </w:rPr>
        <w:t xml:space="preserve"> runs under special provision 310 or damaged batteri</w:t>
      </w:r>
      <w:r>
        <w:rPr>
          <w:strike/>
        </w:rPr>
        <w:t>es under special provision 376)</w:t>
      </w:r>
      <w:r w:rsidRPr="00D356AB">
        <w:rPr>
          <w:b/>
          <w:bCs/>
        </w:rPr>
        <w:t xml:space="preserve"> </w:t>
      </w:r>
      <w:r w:rsidRPr="00D356AB">
        <w:rPr>
          <w:u w:val="single"/>
        </w:rPr>
        <w:t xml:space="preserve">that 2.9.4.1 does not apply when pre-production prototype batteries or batteries of a small production run, consisting of not more than 100 batteries, are </w:t>
      </w:r>
      <w:r>
        <w:rPr>
          <w:u w:val="single"/>
        </w:rPr>
        <w:t>installed in the (</w:t>
      </w:r>
      <w:r w:rsidRPr="00D356AB">
        <w:rPr>
          <w:i/>
          <w:iCs/>
          <w:u w:val="single"/>
        </w:rPr>
        <w:t xml:space="preserve">SP </w:t>
      </w:r>
      <w:proofErr w:type="gramStart"/>
      <w:r w:rsidRPr="00D356AB">
        <w:rPr>
          <w:i/>
          <w:iCs/>
          <w:u w:val="single"/>
        </w:rPr>
        <w:t>363</w:t>
      </w:r>
      <w:r>
        <w:rPr>
          <w:u w:val="single"/>
        </w:rPr>
        <w:t xml:space="preserve"> :</w:t>
      </w:r>
      <w:proofErr w:type="gramEnd"/>
      <w:r>
        <w:rPr>
          <w:u w:val="single"/>
        </w:rPr>
        <w:t xml:space="preserve"> </w:t>
      </w:r>
      <w:r>
        <w:t>“</w:t>
      </w:r>
      <w:r>
        <w:rPr>
          <w:u w:val="single"/>
        </w:rPr>
        <w:t>machinery or engines</w:t>
      </w:r>
      <w:r w:rsidRPr="00D356AB">
        <w:rPr>
          <w:u w:val="single"/>
        </w:rPr>
        <w:t>”</w:t>
      </w:r>
      <w:r>
        <w:rPr>
          <w:u w:val="single"/>
        </w:rPr>
        <w:t xml:space="preserve"> / </w:t>
      </w:r>
      <w:r w:rsidRPr="00D356AB">
        <w:rPr>
          <w:i/>
          <w:iCs/>
          <w:u w:val="single"/>
        </w:rPr>
        <w:t>SP 3XX</w:t>
      </w:r>
      <w:r>
        <w:rPr>
          <w:u w:val="single"/>
        </w:rPr>
        <w:t xml:space="preserve"> : </w:t>
      </w:r>
      <w:r>
        <w:t>“</w:t>
      </w:r>
      <w:r>
        <w:rPr>
          <w:u w:val="single"/>
        </w:rPr>
        <w:t>vehicles or equipment</w:t>
      </w:r>
      <w:r w:rsidRPr="00D356AB">
        <w:rPr>
          <w:u w:val="single"/>
        </w:rPr>
        <w:t>”</w:t>
      </w:r>
      <w:r>
        <w:rPr>
          <w:u w:val="single"/>
        </w:rPr>
        <w:t xml:space="preserve"> </w:t>
      </w:r>
      <w:r w:rsidRPr="00D356AB">
        <w:rPr>
          <w:i/>
          <w:iCs/>
          <w:u w:val="single"/>
        </w:rPr>
        <w:t>as appropriate</w:t>
      </w:r>
      <w:r>
        <w:rPr>
          <w:u w:val="single"/>
        </w:rPr>
        <w:t>)</w:t>
      </w:r>
      <w:r w:rsidRPr="00D356AB">
        <w:rPr>
          <w:u w:val="single"/>
        </w:rPr>
        <w:t xml:space="preserve">. Damaged </w:t>
      </w:r>
      <w:r w:rsidR="001A7CA7">
        <w:rPr>
          <w:u w:val="single"/>
        </w:rPr>
        <w:t xml:space="preserve">or defective </w:t>
      </w:r>
      <w:r w:rsidR="00FF3FBE">
        <w:rPr>
          <w:u w:val="single"/>
        </w:rPr>
        <w:t>(</w:t>
      </w:r>
      <w:r w:rsidR="00FF3FBE" w:rsidRPr="00D356AB">
        <w:rPr>
          <w:i/>
          <w:iCs/>
          <w:u w:val="single"/>
        </w:rPr>
        <w:t xml:space="preserve">SP </w:t>
      </w:r>
      <w:proofErr w:type="gramStart"/>
      <w:r w:rsidR="00FF3FBE" w:rsidRPr="00D356AB">
        <w:rPr>
          <w:i/>
          <w:iCs/>
          <w:u w:val="single"/>
        </w:rPr>
        <w:t>363</w:t>
      </w:r>
      <w:r w:rsidR="00FF3FBE">
        <w:rPr>
          <w:u w:val="single"/>
        </w:rPr>
        <w:t xml:space="preserve"> :</w:t>
      </w:r>
      <w:proofErr w:type="gramEnd"/>
      <w:r w:rsidR="00FF3FBE">
        <w:rPr>
          <w:u w:val="single"/>
        </w:rPr>
        <w:t xml:space="preserve"> </w:t>
      </w:r>
      <w:r w:rsidR="00FF3FBE">
        <w:t>“</w:t>
      </w:r>
      <w:r w:rsidR="00FF3FBE">
        <w:rPr>
          <w:u w:val="single"/>
        </w:rPr>
        <w:t>machinery or engines</w:t>
      </w:r>
      <w:r w:rsidR="00FF3FBE" w:rsidRPr="00D356AB">
        <w:rPr>
          <w:u w:val="single"/>
        </w:rPr>
        <w:t>”</w:t>
      </w:r>
      <w:r w:rsidR="00FF3FBE">
        <w:rPr>
          <w:u w:val="single"/>
        </w:rPr>
        <w:t xml:space="preserve"> / </w:t>
      </w:r>
      <w:r w:rsidR="00FF3FBE" w:rsidRPr="00D356AB">
        <w:rPr>
          <w:i/>
          <w:iCs/>
          <w:u w:val="single"/>
        </w:rPr>
        <w:t>SP 3XX</w:t>
      </w:r>
      <w:r w:rsidR="00FF3FBE">
        <w:rPr>
          <w:u w:val="single"/>
        </w:rPr>
        <w:t xml:space="preserve"> </w:t>
      </w:r>
      <w:r w:rsidR="00FF3FBE" w:rsidRPr="00FF3FBE">
        <w:rPr>
          <w:u w:val="single"/>
        </w:rPr>
        <w:t>: “vehicles or equipment</w:t>
      </w:r>
      <w:r w:rsidR="00FF3FBE" w:rsidRPr="00D356AB">
        <w:rPr>
          <w:u w:val="single"/>
        </w:rPr>
        <w:t>”</w:t>
      </w:r>
      <w:r w:rsidR="00FF3FBE">
        <w:rPr>
          <w:u w:val="single"/>
        </w:rPr>
        <w:t xml:space="preserve"> </w:t>
      </w:r>
      <w:r w:rsidR="00FF3FBE" w:rsidRPr="00D356AB">
        <w:rPr>
          <w:i/>
          <w:iCs/>
          <w:u w:val="single"/>
        </w:rPr>
        <w:t>as appropriate</w:t>
      </w:r>
      <w:r w:rsidR="00FF3FBE">
        <w:rPr>
          <w:u w:val="single"/>
        </w:rPr>
        <w:t>)</w:t>
      </w:r>
      <w:r w:rsidR="00141056">
        <w:rPr>
          <w:u w:val="single"/>
        </w:rPr>
        <w:t xml:space="preserve"> </w:t>
      </w:r>
      <w:r w:rsidRPr="00D356AB">
        <w:rPr>
          <w:u w:val="single"/>
        </w:rPr>
        <w:t>may be transported only if the damage or defect has no impac</w:t>
      </w:r>
      <w:r>
        <w:rPr>
          <w:u w:val="single"/>
        </w:rPr>
        <w:t>t on the safety of the battery.</w:t>
      </w:r>
      <w:r w:rsidR="001A7CA7">
        <w:rPr>
          <w:u w:val="single"/>
        </w:rPr>
        <w:t xml:space="preserve"> If the damage has an effect on the safety of the battery, the battery should be removed and transported according to Special Provision 376. If it is not possible to safely remove the battery, the (</w:t>
      </w:r>
      <w:r w:rsidR="001A7CA7" w:rsidRPr="00D356AB">
        <w:rPr>
          <w:i/>
          <w:iCs/>
          <w:u w:val="single"/>
        </w:rPr>
        <w:t xml:space="preserve">SP </w:t>
      </w:r>
      <w:proofErr w:type="gramStart"/>
      <w:r w:rsidR="001A7CA7" w:rsidRPr="00D356AB">
        <w:rPr>
          <w:i/>
          <w:iCs/>
          <w:u w:val="single"/>
        </w:rPr>
        <w:t>363</w:t>
      </w:r>
      <w:r w:rsidR="001A7CA7">
        <w:rPr>
          <w:u w:val="single"/>
        </w:rPr>
        <w:t xml:space="preserve"> :</w:t>
      </w:r>
      <w:proofErr w:type="gramEnd"/>
      <w:r w:rsidR="001A7CA7">
        <w:rPr>
          <w:u w:val="single"/>
        </w:rPr>
        <w:t xml:space="preserve"> </w:t>
      </w:r>
      <w:r w:rsidR="001A7CA7">
        <w:t>“</w:t>
      </w:r>
      <w:r w:rsidR="001A7CA7">
        <w:rPr>
          <w:u w:val="single"/>
        </w:rPr>
        <w:t>machinery or engine</w:t>
      </w:r>
      <w:r w:rsidR="001A7CA7" w:rsidRPr="00D356AB">
        <w:rPr>
          <w:u w:val="single"/>
        </w:rPr>
        <w:t>”</w:t>
      </w:r>
      <w:r w:rsidR="001A7CA7">
        <w:rPr>
          <w:u w:val="single"/>
        </w:rPr>
        <w:t xml:space="preserve"> / </w:t>
      </w:r>
      <w:r w:rsidR="001A7CA7" w:rsidRPr="00D356AB">
        <w:rPr>
          <w:i/>
          <w:iCs/>
          <w:u w:val="single"/>
        </w:rPr>
        <w:t>SP 3XX</w:t>
      </w:r>
      <w:r w:rsidR="001A7CA7">
        <w:rPr>
          <w:u w:val="single"/>
        </w:rPr>
        <w:t xml:space="preserve"> : </w:t>
      </w:r>
      <w:r w:rsidR="001A7CA7">
        <w:t>“</w:t>
      </w:r>
      <w:r w:rsidR="001A7CA7">
        <w:rPr>
          <w:u w:val="single"/>
        </w:rPr>
        <w:t>vehicle or equipment</w:t>
      </w:r>
      <w:r w:rsidR="001A7CA7" w:rsidRPr="00D356AB">
        <w:rPr>
          <w:u w:val="single"/>
        </w:rPr>
        <w:t>”</w:t>
      </w:r>
      <w:r w:rsidR="001A7CA7">
        <w:rPr>
          <w:u w:val="single"/>
        </w:rPr>
        <w:t xml:space="preserve"> </w:t>
      </w:r>
      <w:r w:rsidR="001A7CA7" w:rsidRPr="00D356AB">
        <w:rPr>
          <w:i/>
          <w:iCs/>
          <w:u w:val="single"/>
        </w:rPr>
        <w:t>as appropriate</w:t>
      </w:r>
      <w:r w:rsidR="001A7CA7">
        <w:rPr>
          <w:u w:val="single"/>
        </w:rPr>
        <w:t>) may be transported under conditions specified by Competent Authority.</w:t>
      </w:r>
      <w:r w:rsidRPr="00D356AB">
        <w:rPr>
          <w:u w:val="single"/>
        </w:rPr>
        <w:t>”</w:t>
      </w:r>
    </w:p>
    <w:p w:rsidR="00D356AB" w:rsidRPr="00260057" w:rsidRDefault="00260057" w:rsidP="00260057">
      <w:pPr>
        <w:pStyle w:val="SingleTxtG"/>
        <w:spacing w:before="240" w:after="0"/>
        <w:jc w:val="center"/>
        <w:rPr>
          <w:u w:val="single"/>
        </w:rPr>
      </w:pPr>
      <w:r>
        <w:rPr>
          <w:u w:val="single"/>
        </w:rPr>
        <w:tab/>
      </w:r>
      <w:r>
        <w:rPr>
          <w:u w:val="single"/>
        </w:rPr>
        <w:tab/>
      </w:r>
      <w:r>
        <w:rPr>
          <w:u w:val="single"/>
        </w:rPr>
        <w:tab/>
      </w:r>
    </w:p>
    <w:sectPr w:rsidR="00D356AB" w:rsidRPr="00260057" w:rsidSect="00C8779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11" w:rsidRDefault="00530A11"/>
  </w:endnote>
  <w:endnote w:type="continuationSeparator" w:id="0">
    <w:p w:rsidR="00530A11" w:rsidRDefault="00530A11"/>
  </w:endnote>
  <w:endnote w:type="continuationNotice" w:id="1">
    <w:p w:rsidR="00530A11" w:rsidRDefault="0053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C8779F">
    <w:pPr>
      <w:pStyle w:val="Footer"/>
      <w:tabs>
        <w:tab w:val="right" w:pos="9638"/>
      </w:tabs>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D437FD">
      <w:rPr>
        <w:b/>
        <w:noProof/>
        <w:sz w:val="18"/>
      </w:rPr>
      <w:t>4</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C8779F">
    <w:pPr>
      <w:pStyle w:val="Footer"/>
      <w:tabs>
        <w:tab w:val="right" w:pos="9638"/>
      </w:tabs>
      <w:rPr>
        <w:b/>
        <w:sz w:val="18"/>
      </w:rPr>
    </w:pPr>
    <w:r>
      <w:tab/>
    </w:r>
    <w:r w:rsidRPr="00C8779F">
      <w:rPr>
        <w:b/>
        <w:sz w:val="18"/>
      </w:rPr>
      <w:fldChar w:fldCharType="begin"/>
    </w:r>
    <w:r w:rsidRPr="00C8779F">
      <w:rPr>
        <w:b/>
        <w:sz w:val="18"/>
      </w:rPr>
      <w:instrText xml:space="preserve"> PAGE  \* MERGEFORMAT </w:instrText>
    </w:r>
    <w:r w:rsidRPr="00C8779F">
      <w:rPr>
        <w:b/>
        <w:sz w:val="18"/>
      </w:rPr>
      <w:fldChar w:fldCharType="separate"/>
    </w:r>
    <w:r w:rsidR="00D437FD">
      <w:rPr>
        <w:b/>
        <w:noProof/>
        <w:sz w:val="18"/>
      </w:rPr>
      <w:t>3</w:t>
    </w:r>
    <w:r w:rsidRPr="00C8779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11" w:rsidRPr="000B175B" w:rsidRDefault="00530A11" w:rsidP="000B175B">
      <w:pPr>
        <w:tabs>
          <w:tab w:val="right" w:pos="2155"/>
        </w:tabs>
        <w:spacing w:after="80"/>
        <w:ind w:left="680"/>
        <w:rPr>
          <w:u w:val="single"/>
        </w:rPr>
      </w:pPr>
      <w:r>
        <w:rPr>
          <w:u w:val="single"/>
        </w:rPr>
        <w:tab/>
      </w:r>
    </w:p>
  </w:footnote>
  <w:footnote w:type="continuationSeparator" w:id="0">
    <w:p w:rsidR="00530A11" w:rsidRPr="00FC68B7" w:rsidRDefault="00530A11" w:rsidP="00FC68B7">
      <w:pPr>
        <w:tabs>
          <w:tab w:val="left" w:pos="2155"/>
        </w:tabs>
        <w:spacing w:after="80"/>
        <w:ind w:left="680"/>
        <w:rPr>
          <w:u w:val="single"/>
        </w:rPr>
      </w:pPr>
      <w:r>
        <w:rPr>
          <w:u w:val="single"/>
        </w:rPr>
        <w:tab/>
      </w:r>
    </w:p>
  </w:footnote>
  <w:footnote w:type="continuationNotice" w:id="1">
    <w:p w:rsidR="00530A11" w:rsidRDefault="00530A11"/>
  </w:footnote>
  <w:footnote w:id="2">
    <w:p w:rsidR="003F4515" w:rsidRPr="001C641A" w:rsidRDefault="003F4515" w:rsidP="00BC1FB8">
      <w:pPr>
        <w:pStyle w:val="FootnoteText"/>
        <w:tabs>
          <w:tab w:val="left" w:pos="1330"/>
        </w:tabs>
        <w:ind w:left="1330" w:hanging="196"/>
        <w:rPr>
          <w:lang w:val="fr-CH"/>
        </w:rPr>
      </w:pPr>
      <w:r>
        <w:rPr>
          <w:rStyle w:val="FootnoteReference"/>
        </w:rPr>
        <w:footnoteRef/>
      </w:r>
      <w:r>
        <w:t xml:space="preserve"> </w:t>
      </w:r>
      <w:r>
        <w:tab/>
      </w:r>
      <w:r w:rsidR="005D7F7F" w:rsidRPr="00554D27">
        <w:t>In accordance with the programme of wo</w:t>
      </w:r>
      <w:r w:rsidR="005D7F7F">
        <w:t>rk of the Sub-Committee for 2015</w:t>
      </w:r>
      <w:r w:rsidR="005D7F7F" w:rsidRPr="00554D27">
        <w:t>–201</w:t>
      </w:r>
      <w:r w:rsidR="005D7F7F">
        <w:t>6</w:t>
      </w:r>
      <w:r w:rsidR="005D7F7F" w:rsidRPr="00554D27">
        <w:t xml:space="preserve"> approved by the Committee at its </w:t>
      </w:r>
      <w:r w:rsidR="005D7F7F">
        <w:t>seven</w:t>
      </w:r>
      <w:r w:rsidR="005D7F7F" w:rsidRPr="00554D27">
        <w:t>th session (</w:t>
      </w:r>
      <w:r w:rsidR="005D7F7F">
        <w:t>see</w:t>
      </w:r>
      <w:r w:rsidR="005D7F7F" w:rsidRPr="00554D27">
        <w:t xml:space="preserve"> </w:t>
      </w:r>
      <w:r w:rsidR="005D7F7F" w:rsidRPr="00A04E8C">
        <w:t>ST/SG/AC.10/C.3/92, paragraph 95</w:t>
      </w:r>
      <w:r w:rsidR="005D7F7F">
        <w:t xml:space="preserve"> and ST/SG/AC.10/</w:t>
      </w:r>
      <w:r w:rsidR="005D7F7F" w:rsidRPr="00A04E8C">
        <w:t>4</w:t>
      </w:r>
      <w:r w:rsidR="005D7F7F">
        <w:t>2</w:t>
      </w:r>
      <w:r w:rsidR="005D7F7F" w:rsidRPr="00A04E8C">
        <w:t>, para. 1</w:t>
      </w:r>
      <w:r w:rsidR="005D7F7F">
        <w:t>5</w:t>
      </w:r>
      <w:r w:rsidR="005D7F7F"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EA15B6">
    <w:pPr>
      <w:pStyle w:val="Header"/>
    </w:pPr>
    <w:r>
      <w:t>ST/SG</w:t>
    </w:r>
    <w:r w:rsidR="007648E3">
      <w:t>/AC.10/C.3/2015/</w:t>
    </w:r>
    <w:r w:rsidR="00980721">
      <w:t>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EA15B6">
    <w:pPr>
      <w:pStyle w:val="Header"/>
      <w:jc w:val="right"/>
    </w:pPr>
    <w:r>
      <w:t>ST/SG/AC.10/C.3/201</w:t>
    </w:r>
    <w:r w:rsidR="00EA15B6">
      <w:t>5</w:t>
    </w:r>
    <w:r>
      <w:t>/</w:t>
    </w:r>
    <w:r w:rsidR="00980721">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2">
    <w:nsid w:val="5F7A27B8"/>
    <w:multiLevelType w:val="hybridMultilevel"/>
    <w:tmpl w:val="FC4CBBE6"/>
    <w:lvl w:ilvl="0" w:tplc="B222502C">
      <w:start w:val="3"/>
      <w:numFmt w:val="bullet"/>
      <w:lvlText w:val="-"/>
      <w:lvlJc w:val="left"/>
      <w:pPr>
        <w:ind w:left="1854" w:hanging="360"/>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2A7411"/>
    <w:multiLevelType w:val="hybridMultilevel"/>
    <w:tmpl w:val="41EC7004"/>
    <w:lvl w:ilvl="0" w:tplc="66C8691E">
      <w:start w:val="1"/>
      <w:numFmt w:val="decimal"/>
      <w:lvlText w:val="%1."/>
      <w:lvlJc w:val="left"/>
      <w:pPr>
        <w:ind w:left="226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4"/>
  </w:num>
  <w:num w:numId="15">
    <w:abstractNumId w:val="27"/>
  </w:num>
  <w:num w:numId="16">
    <w:abstractNumId w:val="26"/>
  </w:num>
  <w:num w:numId="17">
    <w:abstractNumId w:val="19"/>
  </w:num>
  <w:num w:numId="18">
    <w:abstractNumId w:val="11"/>
  </w:num>
  <w:num w:numId="19">
    <w:abstractNumId w:val="14"/>
  </w:num>
  <w:num w:numId="20">
    <w:abstractNumId w:val="18"/>
  </w:num>
  <w:num w:numId="21">
    <w:abstractNumId w:val="29"/>
  </w:num>
  <w:num w:numId="22">
    <w:abstractNumId w:val="21"/>
  </w:num>
  <w:num w:numId="23">
    <w:abstractNumId w:val="15"/>
  </w:num>
  <w:num w:numId="24">
    <w:abstractNumId w:val="20"/>
  </w:num>
  <w:num w:numId="25">
    <w:abstractNumId w:val="25"/>
  </w:num>
  <w:num w:numId="26">
    <w:abstractNumId w:val="16"/>
  </w:num>
  <w:num w:numId="27">
    <w:abstractNumId w:val="12"/>
  </w:num>
  <w:num w:numId="28">
    <w:abstractNumId w:val="17"/>
  </w:num>
  <w:num w:numId="29">
    <w:abstractNumId w:val="28"/>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11638"/>
    <w:rsid w:val="00016110"/>
    <w:rsid w:val="0002126E"/>
    <w:rsid w:val="00021DC3"/>
    <w:rsid w:val="00046913"/>
    <w:rsid w:val="00050F6B"/>
    <w:rsid w:val="00062B3D"/>
    <w:rsid w:val="00064BC7"/>
    <w:rsid w:val="00066216"/>
    <w:rsid w:val="000675A2"/>
    <w:rsid w:val="00072C8C"/>
    <w:rsid w:val="00083C51"/>
    <w:rsid w:val="00084EAB"/>
    <w:rsid w:val="00091419"/>
    <w:rsid w:val="000931C0"/>
    <w:rsid w:val="00095EA8"/>
    <w:rsid w:val="000A2524"/>
    <w:rsid w:val="000A4F0C"/>
    <w:rsid w:val="000B027D"/>
    <w:rsid w:val="000B175B"/>
    <w:rsid w:val="000B338B"/>
    <w:rsid w:val="000B3A0F"/>
    <w:rsid w:val="000C510E"/>
    <w:rsid w:val="000D6D3C"/>
    <w:rsid w:val="000E0415"/>
    <w:rsid w:val="000E0BE8"/>
    <w:rsid w:val="000E2DD9"/>
    <w:rsid w:val="000F1B5A"/>
    <w:rsid w:val="000F5A01"/>
    <w:rsid w:val="00103768"/>
    <w:rsid w:val="00105DAF"/>
    <w:rsid w:val="00117787"/>
    <w:rsid w:val="00131D42"/>
    <w:rsid w:val="00136AC7"/>
    <w:rsid w:val="00141056"/>
    <w:rsid w:val="00141482"/>
    <w:rsid w:val="00142260"/>
    <w:rsid w:val="0014567C"/>
    <w:rsid w:val="001561C0"/>
    <w:rsid w:val="001633FB"/>
    <w:rsid w:val="00184035"/>
    <w:rsid w:val="001929E7"/>
    <w:rsid w:val="001A02A2"/>
    <w:rsid w:val="001A5328"/>
    <w:rsid w:val="001A7CA7"/>
    <w:rsid w:val="001B12D4"/>
    <w:rsid w:val="001B4B04"/>
    <w:rsid w:val="001C2162"/>
    <w:rsid w:val="001C641A"/>
    <w:rsid w:val="001C6663"/>
    <w:rsid w:val="001C7895"/>
    <w:rsid w:val="001D26DF"/>
    <w:rsid w:val="001D2FDC"/>
    <w:rsid w:val="00211E0B"/>
    <w:rsid w:val="0021235A"/>
    <w:rsid w:val="002309A7"/>
    <w:rsid w:val="00237785"/>
    <w:rsid w:val="00241466"/>
    <w:rsid w:val="0024288B"/>
    <w:rsid w:val="00243235"/>
    <w:rsid w:val="00246F8E"/>
    <w:rsid w:val="002563B1"/>
    <w:rsid w:val="00260057"/>
    <w:rsid w:val="00261156"/>
    <w:rsid w:val="00267EA8"/>
    <w:rsid w:val="002725CA"/>
    <w:rsid w:val="0027396B"/>
    <w:rsid w:val="00280EB7"/>
    <w:rsid w:val="00285380"/>
    <w:rsid w:val="00297EBA"/>
    <w:rsid w:val="002B1CDA"/>
    <w:rsid w:val="002B1EED"/>
    <w:rsid w:val="002C015E"/>
    <w:rsid w:val="002D2F98"/>
    <w:rsid w:val="002E5E63"/>
    <w:rsid w:val="002F4078"/>
    <w:rsid w:val="00301319"/>
    <w:rsid w:val="00303A97"/>
    <w:rsid w:val="003107FA"/>
    <w:rsid w:val="0031460E"/>
    <w:rsid w:val="00317403"/>
    <w:rsid w:val="003215AD"/>
    <w:rsid w:val="0032234E"/>
    <w:rsid w:val="003229D8"/>
    <w:rsid w:val="00333B7B"/>
    <w:rsid w:val="003876B0"/>
    <w:rsid w:val="0039277A"/>
    <w:rsid w:val="00394B36"/>
    <w:rsid w:val="003972E0"/>
    <w:rsid w:val="003B3D61"/>
    <w:rsid w:val="003B40AA"/>
    <w:rsid w:val="003C2CC4"/>
    <w:rsid w:val="003D4B23"/>
    <w:rsid w:val="003E4405"/>
    <w:rsid w:val="003E75D3"/>
    <w:rsid w:val="003E77B9"/>
    <w:rsid w:val="003F4515"/>
    <w:rsid w:val="003F5F29"/>
    <w:rsid w:val="00402C9F"/>
    <w:rsid w:val="00413246"/>
    <w:rsid w:val="00414DA1"/>
    <w:rsid w:val="0042100F"/>
    <w:rsid w:val="00421CCA"/>
    <w:rsid w:val="004325CB"/>
    <w:rsid w:val="0043511E"/>
    <w:rsid w:val="0043536F"/>
    <w:rsid w:val="00437F3F"/>
    <w:rsid w:val="00446DE4"/>
    <w:rsid w:val="00454036"/>
    <w:rsid w:val="004666BA"/>
    <w:rsid w:val="004708A9"/>
    <w:rsid w:val="004769D7"/>
    <w:rsid w:val="00480EC3"/>
    <w:rsid w:val="00481C01"/>
    <w:rsid w:val="00482616"/>
    <w:rsid w:val="00491905"/>
    <w:rsid w:val="004946C6"/>
    <w:rsid w:val="004A03C5"/>
    <w:rsid w:val="004A1F91"/>
    <w:rsid w:val="004A512B"/>
    <w:rsid w:val="004B2C9D"/>
    <w:rsid w:val="004B664D"/>
    <w:rsid w:val="004C61E7"/>
    <w:rsid w:val="004F1D5F"/>
    <w:rsid w:val="004F205A"/>
    <w:rsid w:val="004F7B7A"/>
    <w:rsid w:val="0050088E"/>
    <w:rsid w:val="00517A3F"/>
    <w:rsid w:val="005233DF"/>
    <w:rsid w:val="00527910"/>
    <w:rsid w:val="00530A11"/>
    <w:rsid w:val="00541319"/>
    <w:rsid w:val="005420F2"/>
    <w:rsid w:val="0054570D"/>
    <w:rsid w:val="0055213B"/>
    <w:rsid w:val="00555ED9"/>
    <w:rsid w:val="00556D9A"/>
    <w:rsid w:val="00571273"/>
    <w:rsid w:val="00577421"/>
    <w:rsid w:val="005868DE"/>
    <w:rsid w:val="00590144"/>
    <w:rsid w:val="005930FC"/>
    <w:rsid w:val="00593B6B"/>
    <w:rsid w:val="00593C1D"/>
    <w:rsid w:val="005A572D"/>
    <w:rsid w:val="005B3DB3"/>
    <w:rsid w:val="005C04D4"/>
    <w:rsid w:val="005D2558"/>
    <w:rsid w:val="005D7F7F"/>
    <w:rsid w:val="005E67FA"/>
    <w:rsid w:val="00606890"/>
    <w:rsid w:val="00611FC4"/>
    <w:rsid w:val="006176FB"/>
    <w:rsid w:val="00622A79"/>
    <w:rsid w:val="0063170B"/>
    <w:rsid w:val="00632680"/>
    <w:rsid w:val="006337B5"/>
    <w:rsid w:val="0063419C"/>
    <w:rsid w:val="00634A7A"/>
    <w:rsid w:val="006366A7"/>
    <w:rsid w:val="00640B26"/>
    <w:rsid w:val="006500BA"/>
    <w:rsid w:val="00653131"/>
    <w:rsid w:val="00666CA8"/>
    <w:rsid w:val="00676FFB"/>
    <w:rsid w:val="0068767F"/>
    <w:rsid w:val="006A38EB"/>
    <w:rsid w:val="006A7392"/>
    <w:rsid w:val="006C0D34"/>
    <w:rsid w:val="006C4493"/>
    <w:rsid w:val="006C50B0"/>
    <w:rsid w:val="006C7E11"/>
    <w:rsid w:val="006D67C6"/>
    <w:rsid w:val="006E12D3"/>
    <w:rsid w:val="006E1922"/>
    <w:rsid w:val="006E1BD5"/>
    <w:rsid w:val="006E564B"/>
    <w:rsid w:val="0072632A"/>
    <w:rsid w:val="0073794D"/>
    <w:rsid w:val="007463C9"/>
    <w:rsid w:val="00754AF6"/>
    <w:rsid w:val="007573E7"/>
    <w:rsid w:val="00761B45"/>
    <w:rsid w:val="007648E3"/>
    <w:rsid w:val="00767449"/>
    <w:rsid w:val="007677BF"/>
    <w:rsid w:val="00790791"/>
    <w:rsid w:val="007918E1"/>
    <w:rsid w:val="007B6BA5"/>
    <w:rsid w:val="007B7410"/>
    <w:rsid w:val="007B7C53"/>
    <w:rsid w:val="007C3390"/>
    <w:rsid w:val="007C4F4B"/>
    <w:rsid w:val="007D7521"/>
    <w:rsid w:val="007F6611"/>
    <w:rsid w:val="00801F4A"/>
    <w:rsid w:val="0080409A"/>
    <w:rsid w:val="008175E9"/>
    <w:rsid w:val="00823292"/>
    <w:rsid w:val="008242D7"/>
    <w:rsid w:val="00833AF3"/>
    <w:rsid w:val="00834EB1"/>
    <w:rsid w:val="008420EE"/>
    <w:rsid w:val="00857984"/>
    <w:rsid w:val="00865579"/>
    <w:rsid w:val="00871FD5"/>
    <w:rsid w:val="00884887"/>
    <w:rsid w:val="00886E33"/>
    <w:rsid w:val="008979B1"/>
    <w:rsid w:val="008A2DE0"/>
    <w:rsid w:val="008A6B25"/>
    <w:rsid w:val="008A6C4F"/>
    <w:rsid w:val="008B54D1"/>
    <w:rsid w:val="008C7634"/>
    <w:rsid w:val="008D18D4"/>
    <w:rsid w:val="008D1D99"/>
    <w:rsid w:val="008D6E8F"/>
    <w:rsid w:val="008E0E46"/>
    <w:rsid w:val="008E7B96"/>
    <w:rsid w:val="008F4897"/>
    <w:rsid w:val="00921772"/>
    <w:rsid w:val="0093382C"/>
    <w:rsid w:val="00941EBC"/>
    <w:rsid w:val="00945A5D"/>
    <w:rsid w:val="00953ABD"/>
    <w:rsid w:val="00953DAB"/>
    <w:rsid w:val="00963CBA"/>
    <w:rsid w:val="00974A7A"/>
    <w:rsid w:val="00980714"/>
    <w:rsid w:val="00980721"/>
    <w:rsid w:val="0098491C"/>
    <w:rsid w:val="00984D85"/>
    <w:rsid w:val="009911F1"/>
    <w:rsid w:val="0099124E"/>
    <w:rsid w:val="00991261"/>
    <w:rsid w:val="009A5991"/>
    <w:rsid w:val="009C3671"/>
    <w:rsid w:val="009D1CB4"/>
    <w:rsid w:val="009E02F3"/>
    <w:rsid w:val="009E1E1F"/>
    <w:rsid w:val="009E24EB"/>
    <w:rsid w:val="009F0F06"/>
    <w:rsid w:val="00A03F8D"/>
    <w:rsid w:val="00A04A40"/>
    <w:rsid w:val="00A0684B"/>
    <w:rsid w:val="00A1257E"/>
    <w:rsid w:val="00A1427D"/>
    <w:rsid w:val="00A249B2"/>
    <w:rsid w:val="00A27CE3"/>
    <w:rsid w:val="00A5642A"/>
    <w:rsid w:val="00A57C4F"/>
    <w:rsid w:val="00A6390A"/>
    <w:rsid w:val="00A72F22"/>
    <w:rsid w:val="00A748A6"/>
    <w:rsid w:val="00A75EC9"/>
    <w:rsid w:val="00A82740"/>
    <w:rsid w:val="00A879A4"/>
    <w:rsid w:val="00A91667"/>
    <w:rsid w:val="00A92DE1"/>
    <w:rsid w:val="00A94CD4"/>
    <w:rsid w:val="00A94DDF"/>
    <w:rsid w:val="00AD34EB"/>
    <w:rsid w:val="00AD65F2"/>
    <w:rsid w:val="00AF7C3E"/>
    <w:rsid w:val="00B06C69"/>
    <w:rsid w:val="00B10DCB"/>
    <w:rsid w:val="00B26A5B"/>
    <w:rsid w:val="00B30179"/>
    <w:rsid w:val="00B3317B"/>
    <w:rsid w:val="00B60BFD"/>
    <w:rsid w:val="00B62FD6"/>
    <w:rsid w:val="00B650CC"/>
    <w:rsid w:val="00B6744B"/>
    <w:rsid w:val="00B765AF"/>
    <w:rsid w:val="00B77516"/>
    <w:rsid w:val="00B81E12"/>
    <w:rsid w:val="00B833AA"/>
    <w:rsid w:val="00B90237"/>
    <w:rsid w:val="00B93068"/>
    <w:rsid w:val="00BC1973"/>
    <w:rsid w:val="00BC1FB8"/>
    <w:rsid w:val="00BC71A5"/>
    <w:rsid w:val="00BC74E9"/>
    <w:rsid w:val="00BD28F9"/>
    <w:rsid w:val="00BD2D7B"/>
    <w:rsid w:val="00BE618E"/>
    <w:rsid w:val="00C0208C"/>
    <w:rsid w:val="00C22848"/>
    <w:rsid w:val="00C23EF3"/>
    <w:rsid w:val="00C36D4A"/>
    <w:rsid w:val="00C463DD"/>
    <w:rsid w:val="00C543EF"/>
    <w:rsid w:val="00C60635"/>
    <w:rsid w:val="00C62F76"/>
    <w:rsid w:val="00C65C34"/>
    <w:rsid w:val="00C67AED"/>
    <w:rsid w:val="00C73BD2"/>
    <w:rsid w:val="00C745C3"/>
    <w:rsid w:val="00C8364F"/>
    <w:rsid w:val="00C841D9"/>
    <w:rsid w:val="00C8779F"/>
    <w:rsid w:val="00CA25AC"/>
    <w:rsid w:val="00CA38BD"/>
    <w:rsid w:val="00CA6EF1"/>
    <w:rsid w:val="00CB5CDE"/>
    <w:rsid w:val="00CC1D32"/>
    <w:rsid w:val="00CC20D4"/>
    <w:rsid w:val="00CC5051"/>
    <w:rsid w:val="00CD3225"/>
    <w:rsid w:val="00CD6386"/>
    <w:rsid w:val="00CE4A8F"/>
    <w:rsid w:val="00CF2D50"/>
    <w:rsid w:val="00CF6B5F"/>
    <w:rsid w:val="00D07ADE"/>
    <w:rsid w:val="00D13443"/>
    <w:rsid w:val="00D17633"/>
    <w:rsid w:val="00D2031B"/>
    <w:rsid w:val="00D25FE2"/>
    <w:rsid w:val="00D304A4"/>
    <w:rsid w:val="00D31716"/>
    <w:rsid w:val="00D31BA4"/>
    <w:rsid w:val="00D356AB"/>
    <w:rsid w:val="00D43252"/>
    <w:rsid w:val="00D437FD"/>
    <w:rsid w:val="00D477EE"/>
    <w:rsid w:val="00D5467E"/>
    <w:rsid w:val="00D66E24"/>
    <w:rsid w:val="00D709DB"/>
    <w:rsid w:val="00D753D8"/>
    <w:rsid w:val="00D776EE"/>
    <w:rsid w:val="00D82BCD"/>
    <w:rsid w:val="00D8529B"/>
    <w:rsid w:val="00D93688"/>
    <w:rsid w:val="00D96CC5"/>
    <w:rsid w:val="00D97486"/>
    <w:rsid w:val="00D978C6"/>
    <w:rsid w:val="00DA67AD"/>
    <w:rsid w:val="00DB39E6"/>
    <w:rsid w:val="00DD0531"/>
    <w:rsid w:val="00DD247D"/>
    <w:rsid w:val="00DD5A14"/>
    <w:rsid w:val="00DF2B6A"/>
    <w:rsid w:val="00E02B3F"/>
    <w:rsid w:val="00E130AB"/>
    <w:rsid w:val="00E1573D"/>
    <w:rsid w:val="00E20FDC"/>
    <w:rsid w:val="00E36A9E"/>
    <w:rsid w:val="00E4734E"/>
    <w:rsid w:val="00E538BE"/>
    <w:rsid w:val="00E548E8"/>
    <w:rsid w:val="00E5644E"/>
    <w:rsid w:val="00E56DB3"/>
    <w:rsid w:val="00E60C58"/>
    <w:rsid w:val="00E63CAE"/>
    <w:rsid w:val="00E7260F"/>
    <w:rsid w:val="00E82263"/>
    <w:rsid w:val="00E8535A"/>
    <w:rsid w:val="00E85AF1"/>
    <w:rsid w:val="00E96630"/>
    <w:rsid w:val="00EA15B6"/>
    <w:rsid w:val="00EA772F"/>
    <w:rsid w:val="00EB258A"/>
    <w:rsid w:val="00EB3CF8"/>
    <w:rsid w:val="00EB6832"/>
    <w:rsid w:val="00EC2735"/>
    <w:rsid w:val="00EC33C5"/>
    <w:rsid w:val="00ED7A2A"/>
    <w:rsid w:val="00EF1D7F"/>
    <w:rsid w:val="00EF441A"/>
    <w:rsid w:val="00EF6496"/>
    <w:rsid w:val="00F0114F"/>
    <w:rsid w:val="00F01D84"/>
    <w:rsid w:val="00F16B99"/>
    <w:rsid w:val="00F279FA"/>
    <w:rsid w:val="00F37A28"/>
    <w:rsid w:val="00F40308"/>
    <w:rsid w:val="00F40E75"/>
    <w:rsid w:val="00F43CC1"/>
    <w:rsid w:val="00F54674"/>
    <w:rsid w:val="00F56420"/>
    <w:rsid w:val="00F57837"/>
    <w:rsid w:val="00F76BCB"/>
    <w:rsid w:val="00F908E3"/>
    <w:rsid w:val="00F92677"/>
    <w:rsid w:val="00FA7039"/>
    <w:rsid w:val="00FA7F70"/>
    <w:rsid w:val="00FC4123"/>
    <w:rsid w:val="00FC68B7"/>
    <w:rsid w:val="00FD0614"/>
    <w:rsid w:val="00FD4C60"/>
    <w:rsid w:val="00FD6B2B"/>
    <w:rsid w:val="00FE01D6"/>
    <w:rsid w:val="00FE571B"/>
    <w:rsid w:val="00FF03BB"/>
    <w:rsid w:val="00FF1F81"/>
    <w:rsid w:val="00FF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character" w:customStyle="1" w:styleId="FooterChar">
    <w:name w:val="Footer Char"/>
    <w:aliases w:val="3_G Char"/>
    <w:link w:val="Footer"/>
    <w:uiPriority w:val="99"/>
    <w:rsid w:val="00EA15B6"/>
    <w:rPr>
      <w:sz w:val="16"/>
      <w:lang w:val="en-GB" w:eastAsia="en-US"/>
    </w:rPr>
  </w:style>
  <w:style w:type="character" w:customStyle="1" w:styleId="SingleTxtGCar">
    <w:name w:val="_ Single Txt_G Car"/>
    <w:rsid w:val="00EA15B6"/>
    <w:rPr>
      <w:rFonts w:ascii="Times New Roman" w:hAnsi="Times New Roman" w:cs="Times New Roman"/>
      <w:lang w:val="fr-CH" w:eastAsia="en-US"/>
    </w:rPr>
  </w:style>
  <w:style w:type="paragraph" w:styleId="BalloonText">
    <w:name w:val="Balloon Text"/>
    <w:basedOn w:val="Normal"/>
    <w:link w:val="BalloonTextChar"/>
    <w:rsid w:val="00413246"/>
    <w:pPr>
      <w:spacing w:line="240" w:lineRule="auto"/>
    </w:pPr>
    <w:rPr>
      <w:rFonts w:ascii="Tahoma" w:hAnsi="Tahoma" w:cs="Tahoma"/>
      <w:sz w:val="16"/>
      <w:szCs w:val="16"/>
    </w:rPr>
  </w:style>
  <w:style w:type="character" w:customStyle="1" w:styleId="BalloonTextChar">
    <w:name w:val="Balloon Text Char"/>
    <w:link w:val="BalloonText"/>
    <w:rsid w:val="0041324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character" w:customStyle="1" w:styleId="FooterChar">
    <w:name w:val="Footer Char"/>
    <w:aliases w:val="3_G Char"/>
    <w:link w:val="Footer"/>
    <w:uiPriority w:val="99"/>
    <w:rsid w:val="00EA15B6"/>
    <w:rPr>
      <w:sz w:val="16"/>
      <w:lang w:val="en-GB" w:eastAsia="en-US"/>
    </w:rPr>
  </w:style>
  <w:style w:type="character" w:customStyle="1" w:styleId="SingleTxtGCar">
    <w:name w:val="_ Single Txt_G Car"/>
    <w:rsid w:val="00EA15B6"/>
    <w:rPr>
      <w:rFonts w:ascii="Times New Roman" w:hAnsi="Times New Roman" w:cs="Times New Roman"/>
      <w:lang w:val="fr-CH" w:eastAsia="en-US"/>
    </w:rPr>
  </w:style>
  <w:style w:type="paragraph" w:styleId="BalloonText">
    <w:name w:val="Balloon Text"/>
    <w:basedOn w:val="Normal"/>
    <w:link w:val="BalloonTextChar"/>
    <w:rsid w:val="00413246"/>
    <w:pPr>
      <w:spacing w:line="240" w:lineRule="auto"/>
    </w:pPr>
    <w:rPr>
      <w:rFonts w:ascii="Tahoma" w:hAnsi="Tahoma" w:cs="Tahoma"/>
      <w:sz w:val="16"/>
      <w:szCs w:val="16"/>
    </w:rPr>
  </w:style>
  <w:style w:type="character" w:customStyle="1" w:styleId="BalloonTextChar">
    <w:name w:val="Balloon Text Char"/>
    <w:link w:val="BalloonText"/>
    <w:rsid w:val="0041324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2D8E-07AA-4A77-BF6E-F66E710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1428</Words>
  <Characters>8144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12</cp:revision>
  <cp:lastPrinted>2015-11-23T11:26:00Z</cp:lastPrinted>
  <dcterms:created xsi:type="dcterms:W3CDTF">2015-11-23T10:59:00Z</dcterms:created>
  <dcterms:modified xsi:type="dcterms:W3CDTF">2015-11-23T11:28:00Z</dcterms:modified>
</cp:coreProperties>
</file>