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2E09CE" w:rsidTr="00C14945">
        <w:trPr>
          <w:trHeight w:val="851"/>
        </w:trPr>
        <w:tc>
          <w:tcPr>
            <w:tcW w:w="1259" w:type="dxa"/>
            <w:tcBorders>
              <w:top w:val="nil"/>
              <w:left w:val="nil"/>
              <w:bottom w:val="single" w:sz="4" w:space="0" w:color="auto"/>
              <w:right w:val="nil"/>
            </w:tcBorders>
            <w:shd w:val="clear" w:color="auto" w:fill="auto"/>
          </w:tcPr>
          <w:p w:rsidR="00C14945" w:rsidRPr="002E09CE"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2E09CE" w:rsidRDefault="00C14945" w:rsidP="00C14945">
            <w:pPr>
              <w:spacing w:after="80" w:line="340" w:lineRule="exact"/>
              <w:rPr>
                <w:sz w:val="28"/>
                <w:szCs w:val="28"/>
              </w:rPr>
            </w:pPr>
            <w:r w:rsidRPr="002E09C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2E09CE" w:rsidRDefault="00C14945" w:rsidP="008F1E45">
            <w:pPr>
              <w:suppressAutoHyphens w:val="0"/>
              <w:spacing w:after="20"/>
              <w:jc w:val="right"/>
            </w:pPr>
            <w:r w:rsidRPr="002E09CE">
              <w:rPr>
                <w:sz w:val="40"/>
              </w:rPr>
              <w:t>ST</w:t>
            </w:r>
            <w:r w:rsidR="00077628" w:rsidRPr="002E09CE">
              <w:t>/SG/AC.10/C.3/201</w:t>
            </w:r>
            <w:r w:rsidR="00611232">
              <w:t>5</w:t>
            </w:r>
            <w:r w:rsidR="00077628" w:rsidRPr="002E09CE">
              <w:t>/</w:t>
            </w:r>
            <w:r w:rsidR="008F1E45">
              <w:t>39</w:t>
            </w:r>
          </w:p>
        </w:tc>
      </w:tr>
      <w:tr w:rsidR="00C14945" w:rsidRPr="002E09CE"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2E09CE" w:rsidRDefault="00654307" w:rsidP="00C14945">
            <w:pPr>
              <w:spacing w:before="120"/>
              <w:jc w:val="center"/>
            </w:pPr>
            <w:r>
              <w:rPr>
                <w:noProof/>
                <w:lang w:eastAsia="en-GB"/>
              </w:rPr>
              <w:drawing>
                <wp:inline distT="0" distB="0" distL="0" distR="0">
                  <wp:extent cx="711200" cy="589280"/>
                  <wp:effectExtent l="0" t="0" r="0" b="127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2E09CE" w:rsidRDefault="00C14945" w:rsidP="00C14945">
            <w:pPr>
              <w:spacing w:before="120" w:line="420" w:lineRule="exact"/>
              <w:rPr>
                <w:b/>
                <w:sz w:val="40"/>
                <w:szCs w:val="40"/>
              </w:rPr>
            </w:pPr>
            <w:r w:rsidRPr="002E09C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2E09CE" w:rsidRDefault="00C14945" w:rsidP="00C14945">
            <w:pPr>
              <w:suppressAutoHyphens w:val="0"/>
              <w:spacing w:before="240" w:line="240" w:lineRule="exact"/>
            </w:pPr>
            <w:r w:rsidRPr="002E09CE">
              <w:t>Distr.: General</w:t>
            </w:r>
          </w:p>
          <w:p w:rsidR="00C14945" w:rsidRPr="002E09CE" w:rsidRDefault="008F1E45" w:rsidP="00C14945">
            <w:pPr>
              <w:suppressAutoHyphens w:val="0"/>
            </w:pPr>
            <w:r>
              <w:t>1 September</w:t>
            </w:r>
            <w:r w:rsidR="00260C8D">
              <w:t xml:space="preserve"> 2015</w:t>
            </w:r>
          </w:p>
          <w:p w:rsidR="00C14945" w:rsidRPr="002E09CE" w:rsidRDefault="00C14945" w:rsidP="00C14945">
            <w:pPr>
              <w:suppressAutoHyphens w:val="0"/>
            </w:pPr>
          </w:p>
          <w:p w:rsidR="00C14945" w:rsidRPr="002E09CE" w:rsidRDefault="00C14945" w:rsidP="00C14945">
            <w:pPr>
              <w:suppressAutoHyphens w:val="0"/>
            </w:pPr>
            <w:r w:rsidRPr="002E09CE">
              <w:t>Original: English</w:t>
            </w:r>
          </w:p>
        </w:tc>
      </w:tr>
    </w:tbl>
    <w:p w:rsidR="00C14945" w:rsidRPr="002E09CE" w:rsidRDefault="00C14945" w:rsidP="00C14945">
      <w:pPr>
        <w:spacing w:before="120" w:after="120"/>
        <w:rPr>
          <w:b/>
          <w:sz w:val="24"/>
          <w:szCs w:val="24"/>
        </w:rPr>
      </w:pPr>
      <w:r w:rsidRPr="002E09CE">
        <w:rPr>
          <w:b/>
          <w:sz w:val="24"/>
          <w:szCs w:val="24"/>
        </w:rPr>
        <w:t>Committee of Experts on the Transport of Dangerous Goods</w:t>
      </w:r>
      <w:r w:rsidRPr="002E09CE">
        <w:rPr>
          <w:b/>
          <w:sz w:val="24"/>
          <w:szCs w:val="24"/>
        </w:rPr>
        <w:br/>
        <w:t>and on the Globally Harmonized System of Classification</w:t>
      </w:r>
      <w:r w:rsidRPr="002E09CE">
        <w:rPr>
          <w:b/>
          <w:sz w:val="24"/>
          <w:szCs w:val="24"/>
        </w:rPr>
        <w:br/>
        <w:t>and Labelling of Chemicals</w:t>
      </w:r>
    </w:p>
    <w:p w:rsidR="00C14945" w:rsidRPr="002E09CE" w:rsidRDefault="00C14945" w:rsidP="00C14945">
      <w:pPr>
        <w:spacing w:before="120"/>
        <w:rPr>
          <w:b/>
        </w:rPr>
      </w:pPr>
      <w:r w:rsidRPr="002E09CE">
        <w:rPr>
          <w:b/>
        </w:rPr>
        <w:t>Sub-Committee of Experts on the Transport of Dangerous Goods</w:t>
      </w:r>
    </w:p>
    <w:p w:rsidR="00C14945" w:rsidRPr="002E09CE" w:rsidRDefault="00666527" w:rsidP="00C14945">
      <w:pPr>
        <w:spacing w:before="120"/>
        <w:rPr>
          <w:b/>
        </w:rPr>
      </w:pPr>
      <w:r>
        <w:rPr>
          <w:b/>
        </w:rPr>
        <w:t>Forty-</w:t>
      </w:r>
      <w:bookmarkStart w:id="0" w:name="_GoBack"/>
      <w:bookmarkEnd w:id="0"/>
      <w:r w:rsidR="00F6650C">
        <w:rPr>
          <w:b/>
        </w:rPr>
        <w:t>eighth</w:t>
      </w:r>
      <w:r w:rsidR="00C14945" w:rsidRPr="002E09CE">
        <w:rPr>
          <w:b/>
        </w:rPr>
        <w:t xml:space="preserve"> session</w:t>
      </w:r>
    </w:p>
    <w:p w:rsidR="00C14945" w:rsidRPr="002E09CE" w:rsidRDefault="00C14945" w:rsidP="00C14945">
      <w:r w:rsidRPr="002E09CE">
        <w:t xml:space="preserve">Geneva, </w:t>
      </w:r>
      <w:r w:rsidR="00F6650C">
        <w:t>30 November – 9</w:t>
      </w:r>
      <w:r w:rsidRPr="002E09CE">
        <w:t xml:space="preserve"> </w:t>
      </w:r>
      <w:r w:rsidR="00EE10AF" w:rsidRPr="002E09CE">
        <w:t>December</w:t>
      </w:r>
      <w:r w:rsidR="00F6650C">
        <w:t xml:space="preserve"> 2015</w:t>
      </w:r>
    </w:p>
    <w:p w:rsidR="00C14945" w:rsidRPr="002E09CE" w:rsidRDefault="00C14945" w:rsidP="00C14945">
      <w:pPr>
        <w:rPr>
          <w:b/>
        </w:rPr>
      </w:pPr>
      <w:r w:rsidRPr="002E09CE">
        <w:t xml:space="preserve">Item </w:t>
      </w:r>
      <w:r w:rsidR="00C42B3C">
        <w:t>5 (b)</w:t>
      </w:r>
      <w:r w:rsidRPr="002E09CE">
        <w:t xml:space="preserve"> of the provisional agenda</w:t>
      </w:r>
      <w:r w:rsidRPr="002E09CE">
        <w:rPr>
          <w:b/>
        </w:rPr>
        <w:t xml:space="preserve"> </w:t>
      </w:r>
      <w:r w:rsidRPr="002E09CE">
        <w:rPr>
          <w:b/>
        </w:rPr>
        <w:br/>
      </w:r>
      <w:r w:rsidR="00C42B3C">
        <w:rPr>
          <w:b/>
          <w:lang w:val="en-US"/>
        </w:rPr>
        <w:t xml:space="preserve">Transport of gases: miscellaneous </w:t>
      </w:r>
    </w:p>
    <w:p w:rsidR="000062D2" w:rsidRPr="00FC7CF8" w:rsidRDefault="00C42B3C" w:rsidP="008F1E45">
      <w:pPr>
        <w:pStyle w:val="HChG"/>
      </w:pPr>
      <w:r>
        <w:tab/>
      </w:r>
      <w:r>
        <w:tab/>
        <w:t>Insertion of</w:t>
      </w:r>
      <w:r w:rsidR="000062D2">
        <w:t xml:space="preserve"> </w:t>
      </w:r>
      <w:r w:rsidR="000062D2" w:rsidRPr="00FC7CF8">
        <w:t xml:space="preserve">new </w:t>
      </w:r>
      <w:r w:rsidR="00BA4ED2">
        <w:t xml:space="preserve">and revised </w:t>
      </w:r>
      <w:r w:rsidR="000062D2">
        <w:t xml:space="preserve">ISO </w:t>
      </w:r>
      <w:r w:rsidR="000062D2" w:rsidRPr="008F1E45">
        <w:t>standard</w:t>
      </w:r>
      <w:r w:rsidRPr="008F1E45">
        <w:t>s</w:t>
      </w:r>
      <w:r w:rsidR="000062D2" w:rsidRPr="00FC7CF8">
        <w:t xml:space="preserve"> in 6.2.2</w:t>
      </w:r>
    </w:p>
    <w:p w:rsidR="009B1518" w:rsidRPr="002E09CE" w:rsidRDefault="002D4B6C" w:rsidP="002D4B6C">
      <w:pPr>
        <w:pStyle w:val="H1G"/>
      </w:pPr>
      <w:r w:rsidRPr="002E09CE">
        <w:tab/>
      </w:r>
      <w:r w:rsidRPr="002E09CE">
        <w:tab/>
      </w:r>
      <w:r w:rsidR="009B1518" w:rsidRPr="002E09CE">
        <w:t xml:space="preserve">Transmitted by the </w:t>
      </w:r>
      <w:r w:rsidR="00853EBC" w:rsidRPr="002E09CE">
        <w:t>International Organisation for Standardisation (ISO</w:t>
      </w:r>
      <w:r w:rsidR="00077628" w:rsidRPr="002E09CE">
        <w:t>)</w:t>
      </w:r>
      <w:r w:rsidR="008F1E45">
        <w:rPr>
          <w:rStyle w:val="FootnoteReference"/>
        </w:rPr>
        <w:footnoteReference w:id="2"/>
      </w:r>
    </w:p>
    <w:p w:rsidR="001D7F46" w:rsidRPr="002E09CE" w:rsidRDefault="001E0B9E" w:rsidP="008F1E45">
      <w:pPr>
        <w:pStyle w:val="HChG"/>
      </w:pPr>
      <w:r w:rsidRPr="002E09CE">
        <w:tab/>
      </w:r>
      <w:r w:rsidRPr="002E09CE">
        <w:tab/>
      </w:r>
      <w:r w:rsidR="001D7F46" w:rsidRPr="008F1E45">
        <w:t>Introduction</w:t>
      </w:r>
    </w:p>
    <w:p w:rsidR="00C42B3C" w:rsidRDefault="00CC1ADB" w:rsidP="00FB1B60">
      <w:pPr>
        <w:pStyle w:val="Default"/>
        <w:spacing w:after="120"/>
        <w:ind w:left="1134" w:right="1134"/>
        <w:jc w:val="both"/>
        <w:rPr>
          <w:sz w:val="20"/>
          <w:szCs w:val="20"/>
          <w:lang w:val="en-GB"/>
        </w:rPr>
      </w:pPr>
      <w:r w:rsidRPr="002E09CE">
        <w:rPr>
          <w:sz w:val="20"/>
          <w:szCs w:val="20"/>
          <w:lang w:val="en-GB"/>
        </w:rPr>
        <w:t>1.</w:t>
      </w:r>
      <w:r w:rsidRPr="002E09CE">
        <w:rPr>
          <w:sz w:val="20"/>
          <w:szCs w:val="20"/>
          <w:lang w:val="en-GB"/>
        </w:rPr>
        <w:tab/>
      </w:r>
      <w:r w:rsidR="00C42B3C">
        <w:rPr>
          <w:sz w:val="20"/>
          <w:szCs w:val="20"/>
          <w:lang w:val="en-GB"/>
        </w:rPr>
        <w:t>Th</w:t>
      </w:r>
      <w:r w:rsidR="00F76B2F">
        <w:rPr>
          <w:sz w:val="20"/>
          <w:szCs w:val="20"/>
          <w:lang w:val="en-GB"/>
        </w:rPr>
        <w:t>ese</w:t>
      </w:r>
      <w:r w:rsidR="00C42B3C">
        <w:rPr>
          <w:sz w:val="20"/>
          <w:szCs w:val="20"/>
          <w:lang w:val="en-GB"/>
        </w:rPr>
        <w:t xml:space="preserve"> proposa</w:t>
      </w:r>
      <w:r w:rsidR="0009003C">
        <w:rPr>
          <w:sz w:val="20"/>
          <w:szCs w:val="20"/>
          <w:lang w:val="en-GB"/>
        </w:rPr>
        <w:t>l</w:t>
      </w:r>
      <w:r w:rsidR="00F76B2F">
        <w:rPr>
          <w:sz w:val="20"/>
          <w:szCs w:val="20"/>
          <w:lang w:val="en-GB"/>
        </w:rPr>
        <w:t>s</w:t>
      </w:r>
      <w:r w:rsidR="0009003C">
        <w:rPr>
          <w:sz w:val="20"/>
          <w:szCs w:val="20"/>
          <w:lang w:val="en-GB"/>
        </w:rPr>
        <w:t xml:space="preserve"> concern the introduction of </w:t>
      </w:r>
      <w:r w:rsidR="00117D3E">
        <w:rPr>
          <w:sz w:val="20"/>
          <w:szCs w:val="20"/>
          <w:lang w:val="en-GB"/>
        </w:rPr>
        <w:t>two</w:t>
      </w:r>
      <w:r w:rsidR="0009003C">
        <w:rPr>
          <w:sz w:val="20"/>
          <w:szCs w:val="20"/>
          <w:lang w:val="en-GB"/>
        </w:rPr>
        <w:t xml:space="preserve"> revised ISO standard</w:t>
      </w:r>
      <w:r w:rsidR="00885B73">
        <w:rPr>
          <w:sz w:val="20"/>
          <w:szCs w:val="20"/>
          <w:lang w:val="en-GB"/>
        </w:rPr>
        <w:t>s</w:t>
      </w:r>
      <w:r w:rsidR="0009003C">
        <w:rPr>
          <w:sz w:val="20"/>
          <w:szCs w:val="20"/>
          <w:lang w:val="en-GB"/>
        </w:rPr>
        <w:t xml:space="preserve"> and </w:t>
      </w:r>
      <w:r w:rsidR="00885B73">
        <w:rPr>
          <w:sz w:val="20"/>
          <w:szCs w:val="20"/>
          <w:lang w:val="en-GB"/>
        </w:rPr>
        <w:t>one</w:t>
      </w:r>
      <w:r w:rsidR="0009003C">
        <w:rPr>
          <w:sz w:val="20"/>
          <w:szCs w:val="20"/>
          <w:lang w:val="en-GB"/>
        </w:rPr>
        <w:t xml:space="preserve"> new</w:t>
      </w:r>
      <w:r w:rsidR="003927BA">
        <w:rPr>
          <w:sz w:val="20"/>
          <w:szCs w:val="20"/>
          <w:lang w:val="en-GB"/>
        </w:rPr>
        <w:t xml:space="preserve"> ISO standard</w:t>
      </w:r>
      <w:r w:rsidR="000062D2">
        <w:rPr>
          <w:sz w:val="20"/>
          <w:szCs w:val="20"/>
          <w:lang w:val="en-GB"/>
        </w:rPr>
        <w:t xml:space="preserve"> </w:t>
      </w:r>
      <w:r w:rsidR="008F1E45">
        <w:rPr>
          <w:sz w:val="20"/>
          <w:szCs w:val="20"/>
          <w:lang w:val="en-GB"/>
        </w:rPr>
        <w:t xml:space="preserve">into section 6.2.2. </w:t>
      </w:r>
      <w:r w:rsidR="00C42B3C">
        <w:rPr>
          <w:sz w:val="20"/>
          <w:szCs w:val="20"/>
          <w:lang w:val="en-GB"/>
        </w:rPr>
        <w:t>The</w:t>
      </w:r>
      <w:r w:rsidR="0009003C">
        <w:rPr>
          <w:sz w:val="20"/>
          <w:szCs w:val="20"/>
          <w:lang w:val="en-GB"/>
        </w:rPr>
        <w:t xml:space="preserve"> </w:t>
      </w:r>
      <w:r w:rsidR="00260C8D">
        <w:rPr>
          <w:sz w:val="20"/>
          <w:szCs w:val="20"/>
          <w:lang w:val="en-GB"/>
        </w:rPr>
        <w:t xml:space="preserve">titles </w:t>
      </w:r>
      <w:r w:rsidR="00C42B3C">
        <w:rPr>
          <w:sz w:val="20"/>
          <w:szCs w:val="20"/>
          <w:lang w:val="en-GB"/>
        </w:rPr>
        <w:t>are:</w:t>
      </w:r>
    </w:p>
    <w:p w:rsidR="0009003C" w:rsidRDefault="0009003C" w:rsidP="008F1E45">
      <w:pPr>
        <w:pStyle w:val="Default"/>
        <w:spacing w:after="120"/>
        <w:ind w:left="1701" w:right="1134"/>
        <w:jc w:val="both"/>
        <w:rPr>
          <w:sz w:val="20"/>
          <w:szCs w:val="20"/>
          <w:lang w:val="en-GB"/>
        </w:rPr>
      </w:pPr>
      <w:r>
        <w:rPr>
          <w:sz w:val="20"/>
          <w:szCs w:val="20"/>
          <w:lang w:val="en-GB"/>
        </w:rPr>
        <w:t xml:space="preserve">ISO 11118:2015 </w:t>
      </w:r>
      <w:r>
        <w:rPr>
          <w:sz w:val="20"/>
          <w:szCs w:val="20"/>
          <w:lang w:val="en-GB"/>
        </w:rPr>
        <w:tab/>
      </w:r>
      <w:r w:rsidRPr="0009003C">
        <w:rPr>
          <w:sz w:val="20"/>
          <w:szCs w:val="20"/>
          <w:lang w:val="en-GB"/>
        </w:rPr>
        <w:t xml:space="preserve">Gas cylinders </w:t>
      </w:r>
      <w:r w:rsidR="00117D3E">
        <w:rPr>
          <w:sz w:val="20"/>
          <w:szCs w:val="20"/>
          <w:lang w:val="en-GB"/>
        </w:rPr>
        <w:softHyphen/>
      </w:r>
      <w:r w:rsidRPr="0009003C">
        <w:rPr>
          <w:sz w:val="20"/>
          <w:szCs w:val="20"/>
          <w:lang w:val="en-GB"/>
        </w:rPr>
        <w:t xml:space="preserve"> Non-refi</w:t>
      </w:r>
      <w:r>
        <w:rPr>
          <w:sz w:val="20"/>
          <w:szCs w:val="20"/>
          <w:lang w:val="en-GB"/>
        </w:rPr>
        <w:t>llable metallic gas cylinders –</w:t>
      </w:r>
      <w:r w:rsidRPr="0009003C">
        <w:rPr>
          <w:sz w:val="20"/>
          <w:szCs w:val="20"/>
          <w:lang w:val="en-GB"/>
        </w:rPr>
        <w:t xml:space="preserve"> Specification and test methods;</w:t>
      </w:r>
    </w:p>
    <w:p w:rsidR="0009003C" w:rsidRDefault="0009003C" w:rsidP="008F1E45">
      <w:pPr>
        <w:pStyle w:val="Default"/>
        <w:spacing w:after="120"/>
        <w:ind w:left="1701" w:right="1134"/>
        <w:jc w:val="both"/>
        <w:rPr>
          <w:sz w:val="20"/>
          <w:szCs w:val="20"/>
          <w:lang w:val="en-GB"/>
        </w:rPr>
      </w:pPr>
      <w:r>
        <w:rPr>
          <w:sz w:val="20"/>
          <w:szCs w:val="20"/>
          <w:lang w:val="en-GB"/>
        </w:rPr>
        <w:t xml:space="preserve">ISO 11120:2015 </w:t>
      </w:r>
      <w:r>
        <w:rPr>
          <w:sz w:val="20"/>
          <w:szCs w:val="20"/>
          <w:lang w:val="en-GB"/>
        </w:rPr>
        <w:tab/>
      </w:r>
      <w:r w:rsidRPr="0009003C">
        <w:rPr>
          <w:sz w:val="20"/>
          <w:szCs w:val="20"/>
          <w:lang w:val="en-GB"/>
        </w:rPr>
        <w:t xml:space="preserve">Gas cylinders </w:t>
      </w:r>
      <w:r>
        <w:rPr>
          <w:sz w:val="20"/>
          <w:szCs w:val="20"/>
          <w:lang w:val="en-GB"/>
        </w:rPr>
        <w:t>–</w:t>
      </w:r>
      <w:r w:rsidRPr="0009003C">
        <w:rPr>
          <w:sz w:val="20"/>
          <w:szCs w:val="20"/>
          <w:lang w:val="en-GB"/>
        </w:rPr>
        <w:t xml:space="preserve"> Refillable seamless steel tubes of water capa</w:t>
      </w:r>
      <w:r>
        <w:rPr>
          <w:sz w:val="20"/>
          <w:szCs w:val="20"/>
          <w:lang w:val="en-GB"/>
        </w:rPr>
        <w:t>city between 150 l and 3000 l –</w:t>
      </w:r>
      <w:r w:rsidRPr="0009003C">
        <w:rPr>
          <w:sz w:val="20"/>
          <w:szCs w:val="20"/>
          <w:lang w:val="en-GB"/>
        </w:rPr>
        <w:t xml:space="preserve"> Design, construction and testing; and</w:t>
      </w:r>
    </w:p>
    <w:p w:rsidR="0009003C" w:rsidRDefault="0009003C" w:rsidP="008F1E45">
      <w:pPr>
        <w:pStyle w:val="Default"/>
        <w:spacing w:after="120"/>
        <w:ind w:left="1701" w:right="1134"/>
        <w:jc w:val="both"/>
        <w:rPr>
          <w:sz w:val="20"/>
          <w:szCs w:val="20"/>
          <w:lang w:val="en-GB"/>
        </w:rPr>
      </w:pPr>
      <w:r w:rsidRPr="0009003C">
        <w:rPr>
          <w:sz w:val="20"/>
          <w:szCs w:val="20"/>
          <w:lang w:val="en-GB"/>
        </w:rPr>
        <w:t xml:space="preserve">ISO </w:t>
      </w:r>
      <w:r>
        <w:rPr>
          <w:sz w:val="20"/>
          <w:szCs w:val="20"/>
          <w:lang w:val="en-GB"/>
        </w:rPr>
        <w:t xml:space="preserve">21172-1:2015 </w:t>
      </w:r>
      <w:r>
        <w:rPr>
          <w:sz w:val="20"/>
          <w:szCs w:val="20"/>
          <w:lang w:val="en-GB"/>
        </w:rPr>
        <w:tab/>
        <w:t>Gas cylinders –</w:t>
      </w:r>
      <w:r w:rsidRPr="0009003C">
        <w:rPr>
          <w:sz w:val="20"/>
          <w:szCs w:val="20"/>
          <w:lang w:val="en-GB"/>
        </w:rPr>
        <w:t xml:space="preserve"> Welded steel pressure drums</w:t>
      </w:r>
      <w:r w:rsidR="00885B73">
        <w:rPr>
          <w:sz w:val="20"/>
          <w:szCs w:val="20"/>
          <w:lang w:val="en-GB"/>
        </w:rPr>
        <w:t xml:space="preserve"> up to 3 </w:t>
      </w:r>
      <w:r w:rsidRPr="0009003C">
        <w:rPr>
          <w:sz w:val="20"/>
          <w:szCs w:val="20"/>
          <w:lang w:val="en-GB"/>
        </w:rPr>
        <w:t>000 litres capaci</w:t>
      </w:r>
      <w:r>
        <w:rPr>
          <w:sz w:val="20"/>
          <w:szCs w:val="20"/>
          <w:lang w:val="en-GB"/>
        </w:rPr>
        <w:t>ty for the transport of gases –</w:t>
      </w:r>
      <w:r w:rsidRPr="0009003C">
        <w:rPr>
          <w:sz w:val="20"/>
          <w:szCs w:val="20"/>
          <w:lang w:val="en-GB"/>
        </w:rPr>
        <w:t xml:space="preserve"> </w:t>
      </w:r>
      <w:r>
        <w:rPr>
          <w:sz w:val="20"/>
          <w:szCs w:val="20"/>
          <w:lang w:val="en-GB"/>
        </w:rPr>
        <w:t>Design and construction – Part 1: Capacities up to 1 </w:t>
      </w:r>
      <w:r w:rsidRPr="0009003C">
        <w:rPr>
          <w:sz w:val="20"/>
          <w:szCs w:val="20"/>
          <w:lang w:val="en-GB"/>
        </w:rPr>
        <w:t xml:space="preserve">000 litres </w:t>
      </w:r>
    </w:p>
    <w:p w:rsidR="00C42B3C" w:rsidRDefault="00DE4B5B" w:rsidP="00872459">
      <w:pPr>
        <w:pStyle w:val="Default"/>
        <w:spacing w:after="120"/>
        <w:ind w:left="1134" w:right="1134"/>
        <w:jc w:val="both"/>
        <w:rPr>
          <w:sz w:val="20"/>
          <w:szCs w:val="20"/>
          <w:lang w:val="en-GB"/>
        </w:rPr>
      </w:pPr>
      <w:r>
        <w:rPr>
          <w:sz w:val="20"/>
          <w:szCs w:val="20"/>
          <w:lang w:val="en-GB"/>
        </w:rPr>
        <w:t xml:space="preserve">The </w:t>
      </w:r>
      <w:r w:rsidR="00C42B3C">
        <w:rPr>
          <w:sz w:val="20"/>
          <w:szCs w:val="20"/>
          <w:lang w:val="en-GB"/>
        </w:rPr>
        <w:t>usual arrang</w:t>
      </w:r>
      <w:r w:rsidR="00F6650C">
        <w:rPr>
          <w:sz w:val="20"/>
          <w:szCs w:val="20"/>
          <w:lang w:val="en-GB"/>
        </w:rPr>
        <w:t>ements have been made with the s</w:t>
      </w:r>
      <w:r w:rsidR="00C42B3C">
        <w:rPr>
          <w:sz w:val="20"/>
          <w:szCs w:val="20"/>
          <w:lang w:val="en-GB"/>
        </w:rPr>
        <w:t xml:space="preserve">ecretariat to circulate PDF copies of these documents to the experts. </w:t>
      </w:r>
    </w:p>
    <w:p w:rsidR="008F1E45" w:rsidRDefault="008F1E45" w:rsidP="008F1E45">
      <w:pPr>
        <w:pStyle w:val="HChG"/>
      </w:pPr>
      <w:r>
        <w:tab/>
      </w:r>
    </w:p>
    <w:p w:rsidR="008F1E45" w:rsidRDefault="008F1E45" w:rsidP="008F1E45">
      <w:pPr>
        <w:rPr>
          <w:b/>
          <w:sz w:val="28"/>
          <w:lang w:eastAsia="x-none"/>
        </w:rPr>
      </w:pPr>
      <w:r>
        <w:br w:type="page"/>
      </w:r>
    </w:p>
    <w:p w:rsidR="00021776" w:rsidRPr="008F1E45" w:rsidRDefault="008F1E45" w:rsidP="008F1E45">
      <w:pPr>
        <w:pStyle w:val="HChG"/>
      </w:pPr>
      <w:r>
        <w:lastRenderedPageBreak/>
        <w:tab/>
      </w:r>
      <w:r>
        <w:tab/>
      </w:r>
      <w:r w:rsidR="00021776" w:rsidRPr="00021776">
        <w:t>Proposal 1</w:t>
      </w:r>
    </w:p>
    <w:p w:rsidR="0029750B" w:rsidRDefault="00B9414F" w:rsidP="003461FF">
      <w:pPr>
        <w:pStyle w:val="SingleTxtG"/>
      </w:pPr>
      <w:r>
        <w:t>2</w:t>
      </w:r>
      <w:r w:rsidR="0029750B">
        <w:t>.</w:t>
      </w:r>
      <w:r w:rsidR="0029750B">
        <w:tab/>
      </w:r>
      <w:r w:rsidR="004B4482">
        <w:t>In the table in 6.2.2.1.1, amend the entry for ISO 11118:</w:t>
      </w:r>
      <w:r w:rsidR="00E54C9E">
        <w:t xml:space="preserve"> </w:t>
      </w:r>
      <w:r w:rsidR="004B4482">
        <w:t xml:space="preserve">1999 as shown </w:t>
      </w:r>
      <w:r w:rsidR="000C15A9">
        <w:t xml:space="preserve">below </w:t>
      </w:r>
      <w:r w:rsidR="004B4482">
        <w:t>and insert a new row for ISO 11118:</w:t>
      </w:r>
      <w:r w:rsidR="00E54C9E">
        <w:t xml:space="preserve"> </w:t>
      </w:r>
      <w:r w:rsidR="004B4482">
        <w:t xml:space="preserve">2015. </w:t>
      </w:r>
      <w:r w:rsidR="003927BA">
        <w:t>New text is underlined.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4B4482" w:rsidRPr="0029750B" w:rsidTr="00872459">
        <w:trPr>
          <w:cantSplit/>
        </w:trPr>
        <w:tc>
          <w:tcPr>
            <w:tcW w:w="1560" w:type="dxa"/>
            <w:shd w:val="clear" w:color="auto" w:fill="auto"/>
          </w:tcPr>
          <w:p w:rsidR="004B4482" w:rsidRPr="0029750B" w:rsidRDefault="004B4482" w:rsidP="003927BA">
            <w:pPr>
              <w:keepNext/>
            </w:pPr>
            <w:r w:rsidRPr="0029750B">
              <w:t xml:space="preserve">ISO </w:t>
            </w:r>
            <w:r>
              <w:t>11</w:t>
            </w:r>
            <w:r w:rsidR="00892603">
              <w:t>1</w:t>
            </w:r>
            <w:r>
              <w:t>18:</w:t>
            </w:r>
            <w:r w:rsidR="00E54C9E">
              <w:t xml:space="preserve"> </w:t>
            </w:r>
            <w:r>
              <w:t>1999</w:t>
            </w:r>
          </w:p>
        </w:tc>
        <w:tc>
          <w:tcPr>
            <w:tcW w:w="3969" w:type="dxa"/>
            <w:shd w:val="clear" w:color="auto" w:fill="auto"/>
          </w:tcPr>
          <w:p w:rsidR="004B4482" w:rsidRPr="0029750B" w:rsidRDefault="004B4482" w:rsidP="003927BA">
            <w:pPr>
              <w:keepNext/>
            </w:pPr>
            <w:r>
              <w:rPr>
                <w:lang w:val="en-US"/>
              </w:rPr>
              <w:t>Gas cylinders –</w:t>
            </w:r>
            <w:r w:rsidRPr="00117D3E">
              <w:rPr>
                <w:lang w:val="en-US"/>
              </w:rPr>
              <w:t xml:space="preserve"> Non-refillable</w:t>
            </w:r>
            <w:r>
              <w:rPr>
                <w:lang w:val="en-US"/>
              </w:rPr>
              <w:t xml:space="preserve"> metallic gas cylinders –</w:t>
            </w:r>
            <w:r w:rsidRPr="00117D3E">
              <w:rPr>
                <w:lang w:val="en-US"/>
              </w:rPr>
              <w:t xml:space="preserve"> Specification</w:t>
            </w:r>
            <w:r>
              <w:rPr>
                <w:lang w:val="en-US"/>
              </w:rPr>
              <w:t xml:space="preserve"> </w:t>
            </w:r>
            <w:r w:rsidRPr="00117D3E">
              <w:rPr>
                <w:lang w:val="en-US"/>
              </w:rPr>
              <w:t>and test methods</w:t>
            </w:r>
          </w:p>
        </w:tc>
        <w:tc>
          <w:tcPr>
            <w:tcW w:w="1842" w:type="dxa"/>
            <w:shd w:val="clear" w:color="auto" w:fill="auto"/>
          </w:tcPr>
          <w:p w:rsidR="004B4482" w:rsidRDefault="004B4482" w:rsidP="003927BA">
            <w:pPr>
              <w:keepNext/>
              <w:rPr>
                <w:strike/>
              </w:rPr>
            </w:pPr>
            <w:r w:rsidRPr="004B4482">
              <w:rPr>
                <w:strike/>
              </w:rPr>
              <w:t>Until further notice</w:t>
            </w:r>
          </w:p>
          <w:p w:rsidR="004B4482" w:rsidRPr="004B4482" w:rsidRDefault="004B4482" w:rsidP="00892603">
            <w:pPr>
              <w:keepNext/>
              <w:rPr>
                <w:u w:val="single"/>
              </w:rPr>
            </w:pPr>
            <w:r>
              <w:rPr>
                <w:u w:val="single"/>
              </w:rPr>
              <w:t>Unt</w:t>
            </w:r>
            <w:r w:rsidR="00983C3B">
              <w:rPr>
                <w:u w:val="single"/>
              </w:rPr>
              <w:t>il 31 December 20</w:t>
            </w:r>
            <w:r w:rsidR="000C15A9">
              <w:rPr>
                <w:u w:val="single"/>
              </w:rPr>
              <w:t>20</w:t>
            </w:r>
          </w:p>
        </w:tc>
      </w:tr>
      <w:tr w:rsidR="004B4482" w:rsidRPr="004B4482" w:rsidTr="00872459">
        <w:trPr>
          <w:cantSplit/>
        </w:trPr>
        <w:tc>
          <w:tcPr>
            <w:tcW w:w="1560" w:type="dxa"/>
            <w:shd w:val="clear" w:color="auto" w:fill="auto"/>
          </w:tcPr>
          <w:p w:rsidR="004B4482" w:rsidRPr="004B4482" w:rsidRDefault="004B4482" w:rsidP="004B4482">
            <w:pPr>
              <w:rPr>
                <w:u w:val="single"/>
              </w:rPr>
            </w:pPr>
            <w:r w:rsidRPr="004B4482">
              <w:rPr>
                <w:u w:val="single"/>
              </w:rPr>
              <w:t>ISO 1</w:t>
            </w:r>
            <w:r w:rsidR="00892603">
              <w:rPr>
                <w:u w:val="single"/>
              </w:rPr>
              <w:t>1</w:t>
            </w:r>
            <w:r w:rsidRPr="004B4482">
              <w:rPr>
                <w:u w:val="single"/>
              </w:rPr>
              <w:t>118:</w:t>
            </w:r>
            <w:r w:rsidR="00E54C9E">
              <w:rPr>
                <w:u w:val="single"/>
              </w:rPr>
              <w:t xml:space="preserve"> </w:t>
            </w:r>
            <w:r w:rsidRPr="004B4482">
              <w:rPr>
                <w:u w:val="single"/>
              </w:rPr>
              <w:t>2015</w:t>
            </w:r>
          </w:p>
        </w:tc>
        <w:tc>
          <w:tcPr>
            <w:tcW w:w="3969" w:type="dxa"/>
            <w:shd w:val="clear" w:color="auto" w:fill="auto"/>
          </w:tcPr>
          <w:p w:rsidR="004B4482" w:rsidRPr="004B4482" w:rsidRDefault="004B4482" w:rsidP="004B4482">
            <w:pPr>
              <w:rPr>
                <w:u w:val="single"/>
              </w:rPr>
            </w:pPr>
            <w:r w:rsidRPr="004B4482">
              <w:rPr>
                <w:u w:val="single"/>
                <w:lang w:val="en-US"/>
              </w:rPr>
              <w:t>Gas cylinders – Non-refillable metallic gas cylinders – Specification and test methods</w:t>
            </w:r>
          </w:p>
        </w:tc>
        <w:tc>
          <w:tcPr>
            <w:tcW w:w="1842" w:type="dxa"/>
            <w:shd w:val="clear" w:color="auto" w:fill="auto"/>
          </w:tcPr>
          <w:p w:rsidR="004B4482" w:rsidRPr="004B4482" w:rsidRDefault="004B4482" w:rsidP="004B4482">
            <w:pPr>
              <w:rPr>
                <w:u w:val="single"/>
              </w:rPr>
            </w:pPr>
            <w:r w:rsidRPr="004B4482">
              <w:rPr>
                <w:u w:val="single"/>
              </w:rPr>
              <w:t>Until further notice</w:t>
            </w:r>
          </w:p>
        </w:tc>
      </w:tr>
    </w:tbl>
    <w:p w:rsidR="00872459" w:rsidRDefault="00872459" w:rsidP="00EC22C2">
      <w:pPr>
        <w:spacing w:before="120" w:after="120"/>
        <w:ind w:left="1134" w:right="1134"/>
        <w:rPr>
          <w:color w:val="000000"/>
        </w:rPr>
      </w:pPr>
      <w:r>
        <w:rPr>
          <w:color w:val="000000"/>
        </w:rPr>
        <w:t>In the table in 6.2.2.</w:t>
      </w:r>
      <w:r w:rsidR="00613196">
        <w:rPr>
          <w:color w:val="000000"/>
        </w:rPr>
        <w:t>3, a</w:t>
      </w:r>
      <w:r>
        <w:rPr>
          <w:color w:val="000000"/>
        </w:rPr>
        <w:t xml:space="preserve">mend the entry </w:t>
      </w:r>
      <w:r w:rsidR="00613196">
        <w:rPr>
          <w:color w:val="000000"/>
        </w:rPr>
        <w:t>for ISO 13340:2001 as shown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613196" w:rsidRPr="00613196" w:rsidTr="00613196">
        <w:trPr>
          <w:cantSplit/>
        </w:trPr>
        <w:tc>
          <w:tcPr>
            <w:tcW w:w="1560" w:type="dxa"/>
            <w:shd w:val="clear" w:color="auto" w:fill="auto"/>
          </w:tcPr>
          <w:p w:rsidR="00613196" w:rsidRPr="00613196" w:rsidRDefault="00613196" w:rsidP="00613196">
            <w:r w:rsidRPr="00613196">
              <w:t>ISO</w:t>
            </w:r>
            <w:r w:rsidR="00892603">
              <w:t xml:space="preserve"> </w:t>
            </w:r>
            <w:r w:rsidRPr="00613196">
              <w:t>13340:</w:t>
            </w:r>
            <w:r w:rsidR="00E54C9E">
              <w:t xml:space="preserve"> </w:t>
            </w:r>
            <w:r w:rsidRPr="00613196">
              <w:t>2001</w:t>
            </w:r>
          </w:p>
        </w:tc>
        <w:tc>
          <w:tcPr>
            <w:tcW w:w="3969" w:type="dxa"/>
            <w:shd w:val="clear" w:color="auto" w:fill="auto"/>
          </w:tcPr>
          <w:p w:rsidR="00613196" w:rsidRPr="00613196" w:rsidRDefault="00613196" w:rsidP="00613196">
            <w:r w:rsidRPr="00613196">
              <w:rPr>
                <w:lang w:val="en-US"/>
              </w:rPr>
              <w:t>Transportable gas cylinders – Cylinder valves for non-refillables cylinders – Specification and prototype testing</w:t>
            </w:r>
          </w:p>
        </w:tc>
        <w:tc>
          <w:tcPr>
            <w:tcW w:w="1842" w:type="dxa"/>
            <w:shd w:val="clear" w:color="auto" w:fill="auto"/>
          </w:tcPr>
          <w:p w:rsidR="00613196" w:rsidRDefault="00613196" w:rsidP="00613196">
            <w:pPr>
              <w:rPr>
                <w:strike/>
              </w:rPr>
            </w:pPr>
            <w:r w:rsidRPr="00613196">
              <w:rPr>
                <w:strike/>
              </w:rPr>
              <w:t>Until further notice</w:t>
            </w:r>
          </w:p>
          <w:p w:rsidR="00613196" w:rsidRPr="00613196" w:rsidRDefault="00613196" w:rsidP="000C15A9">
            <w:pPr>
              <w:rPr>
                <w:u w:val="single"/>
              </w:rPr>
            </w:pPr>
            <w:r>
              <w:rPr>
                <w:u w:val="single"/>
              </w:rPr>
              <w:t>Until 31 December 20</w:t>
            </w:r>
            <w:r w:rsidR="000C15A9">
              <w:rPr>
                <w:u w:val="single"/>
              </w:rPr>
              <w:t>20</w:t>
            </w:r>
          </w:p>
        </w:tc>
      </w:tr>
    </w:tbl>
    <w:p w:rsidR="00BC38BF" w:rsidRPr="00BC38BF" w:rsidRDefault="008F1E45" w:rsidP="008F1E45">
      <w:pPr>
        <w:pStyle w:val="HChG"/>
      </w:pPr>
      <w:r>
        <w:tab/>
      </w:r>
      <w:r>
        <w:tab/>
      </w:r>
      <w:r w:rsidR="00BC38BF" w:rsidRPr="00BC38BF">
        <w:t xml:space="preserve">Justification for Proposal </w:t>
      </w:r>
      <w:r w:rsidR="00B9414F">
        <w:t>1</w:t>
      </w:r>
    </w:p>
    <w:p w:rsidR="00B54EAD" w:rsidRDefault="00B9414F" w:rsidP="00AE4A41">
      <w:pPr>
        <w:pStyle w:val="SingleTxtG"/>
      </w:pPr>
      <w:r>
        <w:t>3</w:t>
      </w:r>
      <w:r w:rsidR="00FC7CF8" w:rsidRPr="002E09CE">
        <w:t>.</w:t>
      </w:r>
      <w:r w:rsidR="00FC7CF8" w:rsidRPr="002E09CE">
        <w:tab/>
      </w:r>
      <w:r w:rsidR="00613196">
        <w:t xml:space="preserve">ISO 11118:2015 updates the 1999 issue by excluding use with dissolved gases, </w:t>
      </w:r>
      <w:r w:rsidR="00307AB6">
        <w:t>a</w:t>
      </w:r>
      <w:r w:rsidR="009730AF">
        <w:t>ligning</w:t>
      </w:r>
      <w:r w:rsidR="00307AB6">
        <w:t xml:space="preserve"> the burst pressure requirement with the U</w:t>
      </w:r>
      <w:r w:rsidR="008F1E45">
        <w:t>nited States of America</w:t>
      </w:r>
      <w:r w:rsidR="00307AB6">
        <w:t xml:space="preserve"> standard </w:t>
      </w:r>
      <w:r w:rsidR="00EC22C2">
        <w:t>DOT 39 for non-refillable cylinders</w:t>
      </w:r>
      <w:r w:rsidR="009730AF">
        <w:t>,</w:t>
      </w:r>
      <w:r w:rsidR="00EC22C2">
        <w:t xml:space="preserve"> </w:t>
      </w:r>
      <w:r w:rsidR="009730AF">
        <w:t>clarifying and adding</w:t>
      </w:r>
      <w:r w:rsidR="00383179">
        <w:t xml:space="preserve"> to the requirements for obtaining the necessary metallurgical properties</w:t>
      </w:r>
      <w:r w:rsidR="009730AF">
        <w:t xml:space="preserve"> and aligning</w:t>
      </w:r>
      <w:r w:rsidR="00EC22C2">
        <w:t xml:space="preserve"> the marking with UN requirements</w:t>
      </w:r>
      <w:r w:rsidR="008F1E45">
        <w:t xml:space="preserve">. </w:t>
      </w:r>
      <w:r w:rsidR="009730AF">
        <w:t>Also,</w:t>
      </w:r>
      <w:r w:rsidR="00EC22C2">
        <w:t xml:space="preserve"> the applicable valve standard ISO 13340:2001 has been incorporate</w:t>
      </w:r>
      <w:r w:rsidR="008F1E45">
        <w:t xml:space="preserve">d into this cylinder standard. </w:t>
      </w:r>
      <w:r w:rsidR="00EC22C2">
        <w:t xml:space="preserve">This necessitates setting an end date for manufacture according to the </w:t>
      </w:r>
      <w:r w:rsidR="008F1E45">
        <w:t xml:space="preserve">valve standard as shown above. </w:t>
      </w:r>
      <w:r w:rsidR="00EC22C2">
        <w:t xml:space="preserve">The transition period </w:t>
      </w:r>
      <w:r w:rsidR="00DB62C7">
        <w:t xml:space="preserve">for both standards </w:t>
      </w:r>
      <w:r w:rsidR="00EC22C2">
        <w:t xml:space="preserve">is </w:t>
      </w:r>
      <w:r w:rsidR="00892603">
        <w:t xml:space="preserve">proposed as </w:t>
      </w:r>
      <w:r w:rsidR="000C15A9">
        <w:t>four</w:t>
      </w:r>
      <w:r w:rsidR="00892603">
        <w:t xml:space="preserve"> years, i</w:t>
      </w:r>
      <w:r w:rsidR="008F1E45">
        <w:t xml:space="preserve">nstead of the usual six years. </w:t>
      </w:r>
      <w:r w:rsidR="00892603">
        <w:t>The reason for this is that integrating the two standards into one will be a sign</w:t>
      </w:r>
      <w:r w:rsidR="008F1E45">
        <w:t>ificant step forward in safety.</w:t>
      </w:r>
      <w:r w:rsidR="00892603">
        <w:t xml:space="preserve"> It will ensure that the valve to cylinder interface is type approved on the actual cylinder to valve combination; </w:t>
      </w:r>
      <w:r w:rsidR="003B5F03">
        <w:t>until</w:t>
      </w:r>
      <w:r w:rsidR="009730AF">
        <w:t xml:space="preserve"> now, this test wa</w:t>
      </w:r>
      <w:r w:rsidR="00892603">
        <w:t xml:space="preserve">s in the valve standard </w:t>
      </w:r>
      <w:r w:rsidR="009730AF">
        <w:t>and so it</w:t>
      </w:r>
      <w:r w:rsidR="00892603">
        <w:t xml:space="preserve"> only tested a combination believed to be representative of the cylinders to be used</w:t>
      </w:r>
      <w:r w:rsidR="009730AF">
        <w:t xml:space="preserve"> with the valve</w:t>
      </w:r>
      <w:r w:rsidR="00EC22C2">
        <w:t>.</w:t>
      </w:r>
      <w:r w:rsidR="00FC302D">
        <w:t xml:space="preserve"> </w:t>
      </w:r>
      <w:r w:rsidR="009730AF">
        <w:t>ISO 13340</w:t>
      </w:r>
      <w:r w:rsidR="00FC302D">
        <w:t xml:space="preserve"> </w:t>
      </w:r>
      <w:r w:rsidR="007567AF">
        <w:t xml:space="preserve">and this new standard </w:t>
      </w:r>
      <w:r w:rsidR="00FC302D">
        <w:t xml:space="preserve">require that the valve </w:t>
      </w:r>
      <w:r w:rsidR="009730AF">
        <w:t>prevents</w:t>
      </w:r>
      <w:r w:rsidR="00FC302D">
        <w:t xml:space="preserve"> refilling of the cy</w:t>
      </w:r>
      <w:r w:rsidR="008F1E45">
        <w:t xml:space="preserve">linder. </w:t>
      </w:r>
      <w:r w:rsidR="007567AF">
        <w:t>Integrating the valve standard</w:t>
      </w:r>
      <w:r w:rsidR="00FC302D">
        <w:t xml:space="preserve"> in</w:t>
      </w:r>
      <w:r w:rsidR="007567AF">
        <w:t xml:space="preserve">to the cylinder standard </w:t>
      </w:r>
      <w:r w:rsidR="000C15A9">
        <w:t xml:space="preserve">also </w:t>
      </w:r>
      <w:r w:rsidR="00FC302D">
        <w:t>eliminates the possibility of an ord</w:t>
      </w:r>
      <w:r w:rsidR="009730AF">
        <w:t xml:space="preserve">inary </w:t>
      </w:r>
      <w:r w:rsidR="007567AF">
        <w:t xml:space="preserve">refillable </w:t>
      </w:r>
      <w:r w:rsidR="009730AF">
        <w:t>valve being fitted to a</w:t>
      </w:r>
      <w:r w:rsidR="00FC302D">
        <w:t xml:space="preserve"> non-refillable cylinder</w:t>
      </w:r>
      <w:r w:rsidR="007567AF">
        <w:t xml:space="preserve"> which was conformity assessed without the valve</w:t>
      </w:r>
      <w:r w:rsidR="00FC302D">
        <w:t>.</w:t>
      </w:r>
      <w:r w:rsidR="003B1CA9">
        <w:t xml:space="preserve"> </w:t>
      </w:r>
    </w:p>
    <w:p w:rsidR="00AE4A41" w:rsidRPr="008F1E45" w:rsidRDefault="008F1E45" w:rsidP="008F1E45">
      <w:pPr>
        <w:pStyle w:val="HChG"/>
      </w:pPr>
      <w:r>
        <w:tab/>
      </w:r>
      <w:r>
        <w:tab/>
      </w:r>
      <w:r w:rsidR="00AE4A41">
        <w:t>Proposal</w:t>
      </w:r>
      <w:r w:rsidR="006C4652">
        <w:t xml:space="preserve"> </w:t>
      </w:r>
      <w:r w:rsidR="00B9414F">
        <w:t>2</w:t>
      </w:r>
    </w:p>
    <w:p w:rsidR="006C4652" w:rsidRPr="003927BA" w:rsidRDefault="00B9414F" w:rsidP="008F1E45">
      <w:pPr>
        <w:pStyle w:val="SingleTxtG"/>
      </w:pPr>
      <w:r>
        <w:t>4</w:t>
      </w:r>
      <w:r w:rsidR="006F0DDB" w:rsidRPr="005360FB">
        <w:t>.</w:t>
      </w:r>
      <w:r w:rsidR="006F0DDB" w:rsidRPr="005360FB">
        <w:tab/>
      </w:r>
      <w:r w:rsidR="00DB62C7">
        <w:t xml:space="preserve">In the table in </w:t>
      </w:r>
      <w:r w:rsidR="00E54C9E">
        <w:t xml:space="preserve">6.2.2.1.2 amend the entry for ISO 11120: 1999 and </w:t>
      </w:r>
      <w:r w:rsidR="00DB62C7">
        <w:t>i</w:t>
      </w:r>
      <w:r w:rsidR="006F0DDB" w:rsidRPr="005360FB">
        <w:t>n</w:t>
      </w:r>
      <w:r w:rsidR="006C4652" w:rsidRPr="005360FB">
        <w:t xml:space="preserve">sert </w:t>
      </w:r>
      <w:r w:rsidR="00E54C9E">
        <w:t>a new row for ISO 111120: 2015 as shown below.</w:t>
      </w:r>
      <w:r w:rsidR="006C4652" w:rsidRPr="005360FB">
        <w:rPr>
          <w:i/>
        </w:rPr>
        <w:t xml:space="preserve"> </w:t>
      </w:r>
      <w:r w:rsidR="003927BA">
        <w:t>New text is shown underlined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5360FB" w:rsidRPr="005360FB" w:rsidTr="00F76B2F">
        <w:tc>
          <w:tcPr>
            <w:tcW w:w="1560" w:type="dxa"/>
            <w:shd w:val="clear" w:color="auto" w:fill="auto"/>
          </w:tcPr>
          <w:p w:rsidR="005360FB" w:rsidRPr="005360FB" w:rsidRDefault="005360FB" w:rsidP="00E54C9E">
            <w:r w:rsidRPr="005360FB">
              <w:t xml:space="preserve">ISO </w:t>
            </w:r>
            <w:r w:rsidR="00E54C9E">
              <w:t>11120</w:t>
            </w:r>
            <w:r w:rsidRPr="005360FB">
              <w:t>:</w:t>
            </w:r>
            <w:r w:rsidR="00E54C9E">
              <w:t xml:space="preserve"> 1999</w:t>
            </w:r>
          </w:p>
        </w:tc>
        <w:tc>
          <w:tcPr>
            <w:tcW w:w="3969" w:type="dxa"/>
            <w:shd w:val="clear" w:color="auto" w:fill="auto"/>
          </w:tcPr>
          <w:p w:rsidR="00E54C9E" w:rsidRDefault="00E54C9E" w:rsidP="00E54C9E">
            <w:pPr>
              <w:widowControl w:val="0"/>
              <w:suppressAutoHyphens w:val="0"/>
              <w:autoSpaceDE w:val="0"/>
              <w:autoSpaceDN w:val="0"/>
              <w:adjustRightInd w:val="0"/>
              <w:spacing w:line="240" w:lineRule="auto"/>
              <w:rPr>
                <w:lang w:val="en-US"/>
              </w:rPr>
            </w:pPr>
            <w:r>
              <w:rPr>
                <w:lang w:val="en-US"/>
              </w:rPr>
              <w:t>Gas cylinders – Refillable seamless steel tubes for compressed gas transport, of water capacity between 150 l and 3 000 l  – Design, construction and testing</w:t>
            </w:r>
          </w:p>
          <w:p w:rsidR="005360FB" w:rsidRPr="00E54C9E" w:rsidRDefault="00E54C9E" w:rsidP="008F1E45">
            <w:pPr>
              <w:widowControl w:val="0"/>
              <w:suppressAutoHyphens w:val="0"/>
              <w:autoSpaceDE w:val="0"/>
              <w:autoSpaceDN w:val="0"/>
              <w:adjustRightInd w:val="0"/>
              <w:spacing w:after="120" w:line="240" w:lineRule="auto"/>
              <w:rPr>
                <w:i/>
              </w:rPr>
            </w:pPr>
            <w:r w:rsidRPr="00E54C9E">
              <w:rPr>
                <w:b/>
                <w:i/>
                <w:lang w:val="en-US"/>
              </w:rPr>
              <w:t>NOTE:</w:t>
            </w:r>
            <w:r w:rsidRPr="00E54C9E">
              <w:rPr>
                <w:i/>
                <w:lang w:val="en-US"/>
              </w:rPr>
              <w:t xml:space="preserve"> The note concerning the F factor in section 7.1 of this standard shall not be applied for UN tubes.</w:t>
            </w:r>
          </w:p>
        </w:tc>
        <w:tc>
          <w:tcPr>
            <w:tcW w:w="1842" w:type="dxa"/>
            <w:shd w:val="clear" w:color="auto" w:fill="auto"/>
          </w:tcPr>
          <w:p w:rsidR="005360FB" w:rsidRDefault="005360FB" w:rsidP="005360FB">
            <w:pPr>
              <w:rPr>
                <w:strike/>
              </w:rPr>
            </w:pPr>
            <w:r w:rsidRPr="00E54C9E">
              <w:rPr>
                <w:strike/>
              </w:rPr>
              <w:t>Until further notice</w:t>
            </w:r>
          </w:p>
          <w:p w:rsidR="00E54C9E" w:rsidRPr="00E54C9E" w:rsidRDefault="00037350" w:rsidP="005360FB">
            <w:pPr>
              <w:rPr>
                <w:strike/>
              </w:rPr>
            </w:pPr>
            <w:r>
              <w:rPr>
                <w:u w:val="single"/>
              </w:rPr>
              <w:t>Until 31 December 2022</w:t>
            </w:r>
          </w:p>
        </w:tc>
      </w:tr>
      <w:tr w:rsidR="00E54C9E" w:rsidRPr="003927BA" w:rsidTr="00F76B2F">
        <w:tc>
          <w:tcPr>
            <w:tcW w:w="1560" w:type="dxa"/>
            <w:shd w:val="clear" w:color="auto" w:fill="auto"/>
          </w:tcPr>
          <w:p w:rsidR="00E54C9E" w:rsidRPr="003927BA" w:rsidRDefault="00E54C9E" w:rsidP="005360FB">
            <w:pPr>
              <w:rPr>
                <w:u w:val="single"/>
              </w:rPr>
            </w:pPr>
            <w:r w:rsidRPr="003927BA">
              <w:rPr>
                <w:u w:val="single"/>
              </w:rPr>
              <w:t>ISO 11120: 2015</w:t>
            </w:r>
          </w:p>
        </w:tc>
        <w:tc>
          <w:tcPr>
            <w:tcW w:w="3969" w:type="dxa"/>
            <w:shd w:val="clear" w:color="auto" w:fill="auto"/>
          </w:tcPr>
          <w:p w:rsidR="00E54C9E" w:rsidRPr="003927BA" w:rsidRDefault="00E54C9E" w:rsidP="00E54C9E">
            <w:pPr>
              <w:widowControl w:val="0"/>
              <w:suppressAutoHyphens w:val="0"/>
              <w:autoSpaceDE w:val="0"/>
              <w:autoSpaceDN w:val="0"/>
              <w:adjustRightInd w:val="0"/>
              <w:spacing w:line="240" w:lineRule="auto"/>
              <w:rPr>
                <w:u w:val="single"/>
                <w:lang w:val="en-US"/>
              </w:rPr>
            </w:pPr>
            <w:r w:rsidRPr="003927BA">
              <w:rPr>
                <w:u w:val="single"/>
                <w:lang w:val="en-US"/>
              </w:rPr>
              <w:t>Gas cylinders – Refillable seamless steel tubes of water capacity between 150 l and 3 000 l  – Design, construction and testing</w:t>
            </w:r>
          </w:p>
        </w:tc>
        <w:tc>
          <w:tcPr>
            <w:tcW w:w="1842" w:type="dxa"/>
            <w:shd w:val="clear" w:color="auto" w:fill="auto"/>
          </w:tcPr>
          <w:p w:rsidR="00E54C9E" w:rsidRPr="003927BA" w:rsidRDefault="00E54C9E" w:rsidP="00E54C9E">
            <w:pPr>
              <w:rPr>
                <w:u w:val="single"/>
              </w:rPr>
            </w:pPr>
            <w:r w:rsidRPr="003927BA">
              <w:rPr>
                <w:u w:val="single"/>
              </w:rPr>
              <w:t>Until further notice</w:t>
            </w:r>
          </w:p>
          <w:p w:rsidR="00E54C9E" w:rsidRPr="003927BA" w:rsidRDefault="00E54C9E" w:rsidP="00E54C9E">
            <w:pPr>
              <w:rPr>
                <w:u w:val="single"/>
              </w:rPr>
            </w:pPr>
          </w:p>
        </w:tc>
      </w:tr>
    </w:tbl>
    <w:p w:rsidR="004E5A51" w:rsidRPr="00BC38BF" w:rsidRDefault="004E5A51" w:rsidP="004E5A51">
      <w:pPr>
        <w:pStyle w:val="HChG"/>
      </w:pPr>
      <w:r w:rsidRPr="002E09CE">
        <w:lastRenderedPageBreak/>
        <w:tab/>
      </w:r>
      <w:r w:rsidRPr="002E09CE">
        <w:tab/>
      </w:r>
      <w:r w:rsidRPr="00BC38BF">
        <w:t xml:space="preserve">Justification for Proposal </w:t>
      </w:r>
      <w:r w:rsidR="00B9414F">
        <w:t>2</w:t>
      </w:r>
    </w:p>
    <w:p w:rsidR="004E5A51" w:rsidRDefault="00B9414F" w:rsidP="004E5A51">
      <w:pPr>
        <w:spacing w:after="120"/>
        <w:ind w:left="1134"/>
        <w:jc w:val="both"/>
      </w:pPr>
      <w:r>
        <w:t>5</w:t>
      </w:r>
      <w:r w:rsidR="004E5A51" w:rsidRPr="004E5A51">
        <w:t>.</w:t>
      </w:r>
      <w:r w:rsidR="004E5A51" w:rsidRPr="004E5A51">
        <w:tab/>
      </w:r>
      <w:r w:rsidR="00622024">
        <w:t>ISO 11120:2015 has the following improvements:</w:t>
      </w:r>
    </w:p>
    <w:p w:rsidR="00622024" w:rsidRDefault="00622024" w:rsidP="008F1E45">
      <w:pPr>
        <w:pStyle w:val="Bullet1G"/>
      </w:pPr>
      <w:r>
        <w:t>Liquefied gases are included in the scope;</w:t>
      </w:r>
    </w:p>
    <w:p w:rsidR="00622024" w:rsidRDefault="00622024" w:rsidP="008F1E45">
      <w:pPr>
        <w:pStyle w:val="Bullet1G"/>
      </w:pPr>
      <w:r>
        <w:t>Ultrasonic inspection of the base tubing before the manufacturing process is mandatory;</w:t>
      </w:r>
    </w:p>
    <w:p w:rsidR="009969E0" w:rsidRDefault="009969E0" w:rsidP="008F1E45">
      <w:pPr>
        <w:pStyle w:val="Bullet1G"/>
      </w:pPr>
      <w:r>
        <w:t>The permissible levels of phosphorus and sulphur in the steel have been reduced and nickel chrome molybdenum steel is permitted;</w:t>
      </w:r>
    </w:p>
    <w:p w:rsidR="009969E0" w:rsidRDefault="009969E0" w:rsidP="008F1E45">
      <w:pPr>
        <w:pStyle w:val="Bullet1G"/>
      </w:pPr>
      <w:r>
        <w:t xml:space="preserve">A type approval procedure has been added; and </w:t>
      </w:r>
    </w:p>
    <w:p w:rsidR="00622024" w:rsidRDefault="009969E0" w:rsidP="008F1E45">
      <w:pPr>
        <w:pStyle w:val="Bullet1G"/>
      </w:pPr>
      <w:r>
        <w:t xml:space="preserve">The requirements for embrittling gases have been revised. </w:t>
      </w:r>
    </w:p>
    <w:p w:rsidR="005360FB" w:rsidRDefault="00885B73" w:rsidP="004E5A51">
      <w:pPr>
        <w:spacing w:after="120"/>
        <w:ind w:left="1134"/>
        <w:jc w:val="both"/>
      </w:pPr>
      <w:r>
        <w:t xml:space="preserve">The standard </w:t>
      </w:r>
      <w:r w:rsidR="007567AF">
        <w:t xml:space="preserve">six-year </w:t>
      </w:r>
      <w:r>
        <w:t>transition period is proposed.</w:t>
      </w:r>
    </w:p>
    <w:p w:rsidR="00B9414F" w:rsidRPr="00B9414F" w:rsidRDefault="008F1E45" w:rsidP="008F1E45">
      <w:pPr>
        <w:pStyle w:val="HChG"/>
      </w:pPr>
      <w:r>
        <w:tab/>
      </w:r>
      <w:r>
        <w:tab/>
      </w:r>
      <w:r w:rsidR="00B9414F" w:rsidRPr="008F1E45">
        <w:t>Proposal</w:t>
      </w:r>
      <w:r w:rsidR="00B9414F" w:rsidRPr="00B9414F">
        <w:t xml:space="preserve"> 3</w:t>
      </w:r>
    </w:p>
    <w:p w:rsidR="003927BA" w:rsidRDefault="003927BA" w:rsidP="008F1E45">
      <w:pPr>
        <w:pStyle w:val="SingleTxtG"/>
      </w:pPr>
      <w:r>
        <w:t>6.</w:t>
      </w:r>
      <w:r>
        <w:tab/>
        <w:t xml:space="preserve">Following </w:t>
      </w:r>
      <w:r w:rsidR="00F76B2F">
        <w:t xml:space="preserve">paragraph </w:t>
      </w:r>
      <w:r>
        <w:t xml:space="preserve">6.2.2.1.7 insert </w:t>
      </w:r>
      <w:r w:rsidR="00F76B2F">
        <w:t xml:space="preserve">the following </w:t>
      </w:r>
      <w:r>
        <w:t>new paragraph 6.2.2.1.8.</w:t>
      </w:r>
    </w:p>
    <w:p w:rsidR="00B9414F" w:rsidRDefault="00B9414F" w:rsidP="008F1E45">
      <w:pPr>
        <w:widowControl w:val="0"/>
        <w:suppressAutoHyphens w:val="0"/>
        <w:autoSpaceDE w:val="0"/>
        <w:autoSpaceDN w:val="0"/>
        <w:adjustRightInd w:val="0"/>
        <w:spacing w:after="240" w:line="240" w:lineRule="auto"/>
        <w:ind w:left="1701" w:right="1134"/>
        <w:jc w:val="both"/>
        <w:rPr>
          <w:lang w:val="en-US"/>
        </w:rPr>
      </w:pPr>
      <w:r>
        <w:t>6.2.2.</w:t>
      </w:r>
      <w:r w:rsidR="003927BA">
        <w:t>1.8</w:t>
      </w:r>
      <w:r>
        <w:tab/>
      </w:r>
      <w:r w:rsidR="003927BA">
        <w:rPr>
          <w:lang w:val="en-US"/>
        </w:rPr>
        <w:t>The following standard applies for the design, construction and initial inspection and test of UN pressure drums, except that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3927BA" w:rsidRPr="00715700" w:rsidTr="00F76B2F">
        <w:tc>
          <w:tcPr>
            <w:tcW w:w="1560" w:type="dxa"/>
            <w:shd w:val="clear" w:color="auto" w:fill="auto"/>
            <w:vAlign w:val="center"/>
          </w:tcPr>
          <w:p w:rsidR="003927BA" w:rsidRPr="00715700" w:rsidRDefault="003927BA" w:rsidP="00715700">
            <w:pPr>
              <w:jc w:val="center"/>
              <w:rPr>
                <w:b/>
              </w:rPr>
            </w:pPr>
            <w:r w:rsidRPr="00715700">
              <w:rPr>
                <w:b/>
              </w:rPr>
              <w:t>Reference</w:t>
            </w:r>
          </w:p>
        </w:tc>
        <w:tc>
          <w:tcPr>
            <w:tcW w:w="3969" w:type="dxa"/>
            <w:shd w:val="clear" w:color="auto" w:fill="auto"/>
            <w:vAlign w:val="center"/>
          </w:tcPr>
          <w:p w:rsidR="003927BA" w:rsidRPr="00715700" w:rsidRDefault="003927BA" w:rsidP="00715700">
            <w:pPr>
              <w:jc w:val="center"/>
              <w:rPr>
                <w:b/>
              </w:rPr>
            </w:pPr>
            <w:r w:rsidRPr="00715700">
              <w:rPr>
                <w:b/>
              </w:rPr>
              <w:t>Title</w:t>
            </w:r>
          </w:p>
        </w:tc>
        <w:tc>
          <w:tcPr>
            <w:tcW w:w="1842" w:type="dxa"/>
            <w:shd w:val="clear" w:color="auto" w:fill="auto"/>
            <w:vAlign w:val="center"/>
          </w:tcPr>
          <w:p w:rsidR="003927BA" w:rsidRPr="00715700" w:rsidRDefault="003927BA" w:rsidP="00715700">
            <w:pPr>
              <w:jc w:val="center"/>
              <w:rPr>
                <w:b/>
              </w:rPr>
            </w:pPr>
            <w:r w:rsidRPr="00715700">
              <w:rPr>
                <w:b/>
              </w:rPr>
              <w:t>Applicable for Manufacture</w:t>
            </w:r>
          </w:p>
        </w:tc>
      </w:tr>
      <w:tr w:rsidR="003927BA" w:rsidRPr="0029750B" w:rsidTr="00F76B2F">
        <w:tc>
          <w:tcPr>
            <w:tcW w:w="1560" w:type="dxa"/>
            <w:shd w:val="clear" w:color="auto" w:fill="auto"/>
          </w:tcPr>
          <w:p w:rsidR="003927BA" w:rsidRPr="0029750B" w:rsidRDefault="00715700" w:rsidP="00715700">
            <w:r>
              <w:t>ISO 21172-1: 2015</w:t>
            </w:r>
          </w:p>
        </w:tc>
        <w:tc>
          <w:tcPr>
            <w:tcW w:w="3969" w:type="dxa"/>
            <w:shd w:val="clear" w:color="auto" w:fill="auto"/>
          </w:tcPr>
          <w:p w:rsidR="003927BA" w:rsidRPr="0029750B" w:rsidRDefault="00715700" w:rsidP="00715700">
            <w:pPr>
              <w:jc w:val="both"/>
            </w:pPr>
            <w:r w:rsidRPr="00715700">
              <w:t xml:space="preserve">Gas cylinders – Welded steel pressure drums up to 3 000 litres capacity for the transport of gases – Design and construction – Part 1: Capacities up to 1 000 litres </w:t>
            </w:r>
          </w:p>
        </w:tc>
        <w:tc>
          <w:tcPr>
            <w:tcW w:w="1842" w:type="dxa"/>
            <w:shd w:val="clear" w:color="auto" w:fill="auto"/>
          </w:tcPr>
          <w:p w:rsidR="003927BA" w:rsidRPr="0029750B" w:rsidRDefault="003927BA" w:rsidP="00715700">
            <w:pPr>
              <w:jc w:val="both"/>
            </w:pPr>
            <w:r>
              <w:t>Until further notice</w:t>
            </w:r>
          </w:p>
        </w:tc>
      </w:tr>
    </w:tbl>
    <w:p w:rsidR="00B9414F" w:rsidRDefault="008F1E45" w:rsidP="008F1E45">
      <w:pPr>
        <w:pStyle w:val="HChG"/>
      </w:pPr>
      <w:r>
        <w:tab/>
      </w:r>
      <w:r>
        <w:tab/>
      </w:r>
      <w:r w:rsidR="00B9414F">
        <w:t xml:space="preserve">Justification </w:t>
      </w:r>
      <w:r w:rsidR="00B9414F" w:rsidRPr="008F1E45">
        <w:t>for</w:t>
      </w:r>
      <w:r w:rsidR="00B9414F">
        <w:t xml:space="preserve"> Proposal 3</w:t>
      </w:r>
    </w:p>
    <w:p w:rsidR="00B9414F" w:rsidRDefault="00B9414F" w:rsidP="008F1E45">
      <w:pPr>
        <w:pStyle w:val="SingleTxtG"/>
      </w:pPr>
      <w:r>
        <w:t>7.</w:t>
      </w:r>
      <w:r>
        <w:tab/>
      </w:r>
      <w:r w:rsidR="00872DFA">
        <w:t xml:space="preserve">Pressure drums </w:t>
      </w:r>
      <w:r w:rsidR="00392301">
        <w:t xml:space="preserve">are one of the four types of pressure receptacle specified in P200, but until </w:t>
      </w:r>
      <w:r w:rsidR="00392301" w:rsidRPr="008F1E45">
        <w:t>now</w:t>
      </w:r>
      <w:r w:rsidR="00392301">
        <w:t>, there has been no ISO standard covering their design construction and testing.</w:t>
      </w:r>
      <w:r w:rsidR="00872DFA">
        <w:t xml:space="preserve"> </w:t>
      </w:r>
      <w:r w:rsidR="00AC6790">
        <w:t xml:space="preserve">Thus, this proposal fills a long-standing gap in the range of UN pressure receptacles. </w:t>
      </w:r>
      <w:r w:rsidR="00CD305F">
        <w:t xml:space="preserve">16 countries including Australia, Brazil, Canada, China, France, Germany, </w:t>
      </w:r>
      <w:r w:rsidR="00F76B2F">
        <w:t xml:space="preserve">India, </w:t>
      </w:r>
      <w:r w:rsidR="00CD305F">
        <w:t xml:space="preserve">Japan, Republic of Korea, South Africa, United Kingdom and United States of America approved this standard.  There were </w:t>
      </w:r>
      <w:r w:rsidR="00AC6790">
        <w:t xml:space="preserve">no votes of disapproval and the </w:t>
      </w:r>
      <w:r w:rsidR="00CD305F">
        <w:t xml:space="preserve">10 abstentions </w:t>
      </w:r>
      <w:r w:rsidR="00F76B2F">
        <w:t xml:space="preserve">can be explained by </w:t>
      </w:r>
      <w:r w:rsidR="00CD305F">
        <w:t>the unavailability of relevant expertise in those ISO members.</w:t>
      </w:r>
      <w:r w:rsidR="00AC6790">
        <w:t xml:space="preserve">  </w:t>
      </w:r>
    </w:p>
    <w:p w:rsidR="005360FB" w:rsidRPr="008F1E45" w:rsidRDefault="008F1E45" w:rsidP="008F1E45">
      <w:pPr>
        <w:spacing w:before="240"/>
        <w:ind w:left="1134" w:right="1134"/>
        <w:jc w:val="center"/>
        <w:rPr>
          <w:u w:val="single"/>
        </w:rPr>
      </w:pPr>
      <w:r>
        <w:rPr>
          <w:u w:val="single"/>
        </w:rPr>
        <w:tab/>
      </w:r>
      <w:r>
        <w:rPr>
          <w:u w:val="single"/>
        </w:rPr>
        <w:tab/>
      </w:r>
      <w:r>
        <w:rPr>
          <w:u w:val="single"/>
        </w:rPr>
        <w:tab/>
      </w:r>
    </w:p>
    <w:p w:rsidR="005360FB" w:rsidRPr="004E5A51" w:rsidRDefault="005360FB" w:rsidP="0043402F">
      <w:pPr>
        <w:ind w:left="1134"/>
        <w:jc w:val="center"/>
      </w:pPr>
    </w:p>
    <w:sectPr w:rsidR="005360FB" w:rsidRPr="004E5A51" w:rsidSect="0018150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40" w:rsidRDefault="00591D40"/>
  </w:endnote>
  <w:endnote w:type="continuationSeparator" w:id="0">
    <w:p w:rsidR="00591D40" w:rsidRDefault="00591D40"/>
  </w:endnote>
  <w:endnote w:type="continuationNotice" w:id="1">
    <w:p w:rsidR="00591D40" w:rsidRDefault="00591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AF" w:rsidRPr="009D2A5B" w:rsidRDefault="009730A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66652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AF" w:rsidRPr="009D2A5B" w:rsidRDefault="009730A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666527">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AF" w:rsidRPr="0048397A" w:rsidRDefault="008F1E45">
    <w:pPr>
      <w:pStyle w:val="Footer"/>
      <w:rPr>
        <w:sz w:val="20"/>
      </w:rPr>
    </w:pPr>
    <w:r>
      <w:rPr>
        <w:sz w:val="20"/>
      </w:rPr>
      <w:t>GE.15</w:t>
    </w:r>
    <w:r w:rsidR="009730AF">
      <w:rPr>
        <w:sz w:val="20"/>
      </w:rPr>
      <w:t>-</w:t>
    </w:r>
    <w:r w:rsidR="00654307">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40" w:rsidRPr="000B175B" w:rsidRDefault="00591D40" w:rsidP="000B175B">
      <w:pPr>
        <w:tabs>
          <w:tab w:val="right" w:pos="2155"/>
        </w:tabs>
        <w:spacing w:after="80"/>
        <w:ind w:left="680"/>
        <w:rPr>
          <w:u w:val="single"/>
        </w:rPr>
      </w:pPr>
      <w:r>
        <w:rPr>
          <w:u w:val="single"/>
        </w:rPr>
        <w:tab/>
      </w:r>
    </w:p>
  </w:footnote>
  <w:footnote w:type="continuationSeparator" w:id="0">
    <w:p w:rsidR="00591D40" w:rsidRPr="00FC68B7" w:rsidRDefault="00591D40" w:rsidP="00FC68B7">
      <w:pPr>
        <w:tabs>
          <w:tab w:val="left" w:pos="2155"/>
        </w:tabs>
        <w:spacing w:after="80"/>
        <w:ind w:left="680"/>
        <w:rPr>
          <w:u w:val="single"/>
        </w:rPr>
      </w:pPr>
      <w:r>
        <w:rPr>
          <w:u w:val="single"/>
        </w:rPr>
        <w:tab/>
      </w:r>
    </w:p>
  </w:footnote>
  <w:footnote w:type="continuationNotice" w:id="1">
    <w:p w:rsidR="00591D40" w:rsidRDefault="00591D40"/>
  </w:footnote>
  <w:footnote w:id="2">
    <w:p w:rsidR="008F1E45" w:rsidRPr="008F1E45" w:rsidRDefault="008F1E45" w:rsidP="008F1E45">
      <w:pPr>
        <w:pStyle w:val="FootnoteText"/>
        <w:ind w:hanging="112"/>
        <w:rPr>
          <w:lang w:val="fr-CH"/>
        </w:rPr>
      </w:pPr>
      <w:r>
        <w:rPr>
          <w:rStyle w:val="FootnoteReference"/>
        </w:rPr>
        <w:footnoteRef/>
      </w:r>
      <w:r>
        <w:t xml:space="preserve"> </w:t>
      </w:r>
      <w:proofErr w:type="spellStart"/>
      <w:r w:rsidRPr="000C39B8">
        <w:t>Conformément</w:t>
      </w:r>
      <w:proofErr w:type="spellEnd"/>
      <w:r w:rsidRPr="000C39B8">
        <w:t xml:space="preserve"> au programme de travail du Sous-</w:t>
      </w:r>
      <w:proofErr w:type="spellStart"/>
      <w:r w:rsidRPr="000C39B8">
        <w:t>Comité</w:t>
      </w:r>
      <w:proofErr w:type="spellEnd"/>
      <w:r w:rsidRPr="000C39B8">
        <w:t xml:space="preserve"> pour la </w:t>
      </w:r>
      <w:proofErr w:type="spellStart"/>
      <w:r w:rsidRPr="000C39B8">
        <w:t>période</w:t>
      </w:r>
      <w:proofErr w:type="spellEnd"/>
      <w:r w:rsidRPr="000C39B8">
        <w:t xml:space="preserve"> 2015-2016 </w:t>
      </w:r>
      <w:proofErr w:type="spellStart"/>
      <w:r w:rsidRPr="000C39B8">
        <w:t>tel</w:t>
      </w:r>
      <w:proofErr w:type="spellEnd"/>
      <w:r w:rsidRPr="000C39B8">
        <w:t xml:space="preserve"> </w:t>
      </w:r>
      <w:proofErr w:type="spellStart"/>
      <w:r w:rsidRPr="000C39B8">
        <w:t>qu’approuvé</w:t>
      </w:r>
      <w:proofErr w:type="spellEnd"/>
      <w:r w:rsidRPr="000C39B8">
        <w:t xml:space="preserve"> par le </w:t>
      </w:r>
      <w:proofErr w:type="spellStart"/>
      <w:r w:rsidRPr="000C39B8">
        <w:t>Comité</w:t>
      </w:r>
      <w:proofErr w:type="spellEnd"/>
      <w:r w:rsidRPr="000C39B8">
        <w:t xml:space="preserve"> à </w:t>
      </w:r>
      <w:proofErr w:type="spellStart"/>
      <w:r w:rsidRPr="000C39B8">
        <w:t>sa</w:t>
      </w:r>
      <w:proofErr w:type="spellEnd"/>
      <w:r w:rsidRPr="000C39B8">
        <w:t xml:space="preserve"> </w:t>
      </w:r>
      <w:proofErr w:type="spellStart"/>
      <w:r w:rsidRPr="000C39B8">
        <w:t>septième</w:t>
      </w:r>
      <w:proofErr w:type="spellEnd"/>
      <w:r w:rsidRPr="000C39B8">
        <w:t xml:space="preserve"> session (</w:t>
      </w:r>
      <w:proofErr w:type="spellStart"/>
      <w:r w:rsidRPr="000C39B8">
        <w:t>voir</w:t>
      </w:r>
      <w:proofErr w:type="spellEnd"/>
      <w:r w:rsidRPr="000C39B8">
        <w:t xml:space="preserve">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AF" w:rsidRPr="00023445" w:rsidRDefault="009730AF" w:rsidP="00023445">
    <w:pPr>
      <w:pStyle w:val="Header"/>
      <w:rPr>
        <w:szCs w:val="18"/>
      </w:rPr>
    </w:pPr>
    <w:r w:rsidRPr="00023445">
      <w:rPr>
        <w:szCs w:val="18"/>
      </w:rPr>
      <w:t>S</w:t>
    </w:r>
    <w:r w:rsidR="008F1E45">
      <w:rPr>
        <w:szCs w:val="18"/>
      </w:rPr>
      <w:t>T/SG/AC.10/C.3/2015/39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AF" w:rsidRPr="00023445" w:rsidRDefault="009730AF" w:rsidP="00023445">
    <w:pPr>
      <w:pStyle w:val="Header"/>
      <w:jc w:val="right"/>
      <w:rPr>
        <w:szCs w:val="18"/>
      </w:rPr>
    </w:pPr>
    <w:r w:rsidRPr="00023445">
      <w:rPr>
        <w:szCs w:val="18"/>
      </w:rPr>
      <w:t>ST</w:t>
    </w:r>
    <w:r w:rsidR="008F1E45">
      <w:rPr>
        <w:szCs w:val="18"/>
      </w:rPr>
      <w:t>/SG/AC.10/C.3/2015/39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DEB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5"/>
  </w:num>
  <w:num w:numId="13">
    <w:abstractNumId w:val="11"/>
  </w:num>
  <w:num w:numId="14">
    <w:abstractNumId w:val="18"/>
  </w:num>
  <w:num w:numId="15">
    <w:abstractNumId w:val="14"/>
  </w:num>
  <w:num w:numId="16">
    <w:abstractNumId w:val="12"/>
  </w:num>
  <w:num w:numId="17">
    <w:abstractNumId w:val="0"/>
  </w:num>
  <w:num w:numId="18">
    <w:abstractNumId w:val="13"/>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4041"/>
    <w:rsid w:val="000062D2"/>
    <w:rsid w:val="00007271"/>
    <w:rsid w:val="000106EA"/>
    <w:rsid w:val="00021776"/>
    <w:rsid w:val="00023445"/>
    <w:rsid w:val="00030391"/>
    <w:rsid w:val="00037350"/>
    <w:rsid w:val="00037C49"/>
    <w:rsid w:val="00037F90"/>
    <w:rsid w:val="00046B1F"/>
    <w:rsid w:val="00050F6B"/>
    <w:rsid w:val="00051986"/>
    <w:rsid w:val="00051B9C"/>
    <w:rsid w:val="00057447"/>
    <w:rsid w:val="00057E97"/>
    <w:rsid w:val="00066DF5"/>
    <w:rsid w:val="0006793E"/>
    <w:rsid w:val="00072C8C"/>
    <w:rsid w:val="000733B5"/>
    <w:rsid w:val="00077628"/>
    <w:rsid w:val="00081815"/>
    <w:rsid w:val="0009003C"/>
    <w:rsid w:val="000931C0"/>
    <w:rsid w:val="000B0595"/>
    <w:rsid w:val="000B175B"/>
    <w:rsid w:val="000B3A0F"/>
    <w:rsid w:val="000B4EF7"/>
    <w:rsid w:val="000C15A9"/>
    <w:rsid w:val="000C2C03"/>
    <w:rsid w:val="000C2D2E"/>
    <w:rsid w:val="000C4D51"/>
    <w:rsid w:val="000C5384"/>
    <w:rsid w:val="000E0415"/>
    <w:rsid w:val="000E47CA"/>
    <w:rsid w:val="00107320"/>
    <w:rsid w:val="001103AA"/>
    <w:rsid w:val="0011666B"/>
    <w:rsid w:val="00117D3E"/>
    <w:rsid w:val="00121DE7"/>
    <w:rsid w:val="001234B8"/>
    <w:rsid w:val="001275B3"/>
    <w:rsid w:val="00135148"/>
    <w:rsid w:val="001370F8"/>
    <w:rsid w:val="00153694"/>
    <w:rsid w:val="00154A06"/>
    <w:rsid w:val="00155068"/>
    <w:rsid w:val="00160E58"/>
    <w:rsid w:val="00165F3A"/>
    <w:rsid w:val="00181506"/>
    <w:rsid w:val="001B13A5"/>
    <w:rsid w:val="001B4B04"/>
    <w:rsid w:val="001C6663"/>
    <w:rsid w:val="001C7895"/>
    <w:rsid w:val="001C7C7A"/>
    <w:rsid w:val="001D0C8C"/>
    <w:rsid w:val="001D1419"/>
    <w:rsid w:val="001D26DF"/>
    <w:rsid w:val="001D3A03"/>
    <w:rsid w:val="001D7F46"/>
    <w:rsid w:val="001E0B9E"/>
    <w:rsid w:val="001E7B67"/>
    <w:rsid w:val="001F21BB"/>
    <w:rsid w:val="001F7435"/>
    <w:rsid w:val="00202CD0"/>
    <w:rsid w:val="00202DA8"/>
    <w:rsid w:val="0021157B"/>
    <w:rsid w:val="00211E0B"/>
    <w:rsid w:val="00231BA1"/>
    <w:rsid w:val="00234C80"/>
    <w:rsid w:val="00260C8D"/>
    <w:rsid w:val="002653E7"/>
    <w:rsid w:val="00267F5F"/>
    <w:rsid w:val="00282200"/>
    <w:rsid w:val="00286B4D"/>
    <w:rsid w:val="0029049E"/>
    <w:rsid w:val="0029750B"/>
    <w:rsid w:val="00297EA8"/>
    <w:rsid w:val="002A4361"/>
    <w:rsid w:val="002A603B"/>
    <w:rsid w:val="002A6B8F"/>
    <w:rsid w:val="002C18EF"/>
    <w:rsid w:val="002D4643"/>
    <w:rsid w:val="002D4B6C"/>
    <w:rsid w:val="002E09CE"/>
    <w:rsid w:val="002F175C"/>
    <w:rsid w:val="00302E18"/>
    <w:rsid w:val="0030721A"/>
    <w:rsid w:val="00307AB6"/>
    <w:rsid w:val="00320B22"/>
    <w:rsid w:val="003229D8"/>
    <w:rsid w:val="0034446B"/>
    <w:rsid w:val="003453B6"/>
    <w:rsid w:val="003461FF"/>
    <w:rsid w:val="00347DDB"/>
    <w:rsid w:val="00350DA4"/>
    <w:rsid w:val="00352709"/>
    <w:rsid w:val="00363336"/>
    <w:rsid w:val="00371178"/>
    <w:rsid w:val="00383179"/>
    <w:rsid w:val="00392301"/>
    <w:rsid w:val="003927BA"/>
    <w:rsid w:val="00392DE1"/>
    <w:rsid w:val="003A6810"/>
    <w:rsid w:val="003B1CA9"/>
    <w:rsid w:val="003B5F03"/>
    <w:rsid w:val="003C2CC4"/>
    <w:rsid w:val="003D4B23"/>
    <w:rsid w:val="003E312F"/>
    <w:rsid w:val="003E3D8A"/>
    <w:rsid w:val="00407087"/>
    <w:rsid w:val="00410C89"/>
    <w:rsid w:val="00422E03"/>
    <w:rsid w:val="00426B9B"/>
    <w:rsid w:val="004325CB"/>
    <w:rsid w:val="0043402F"/>
    <w:rsid w:val="00442A83"/>
    <w:rsid w:val="0045413A"/>
    <w:rsid w:val="0045495B"/>
    <w:rsid w:val="0048397A"/>
    <w:rsid w:val="004A12F2"/>
    <w:rsid w:val="004B4482"/>
    <w:rsid w:val="004C2461"/>
    <w:rsid w:val="004C333F"/>
    <w:rsid w:val="004C40B9"/>
    <w:rsid w:val="004C4EE9"/>
    <w:rsid w:val="004C7462"/>
    <w:rsid w:val="004D4E04"/>
    <w:rsid w:val="004D5426"/>
    <w:rsid w:val="004D5ABD"/>
    <w:rsid w:val="004D7E81"/>
    <w:rsid w:val="004E0C05"/>
    <w:rsid w:val="004E5A51"/>
    <w:rsid w:val="004E77B2"/>
    <w:rsid w:val="004F2670"/>
    <w:rsid w:val="00503DEB"/>
    <w:rsid w:val="00504B2D"/>
    <w:rsid w:val="0052136D"/>
    <w:rsid w:val="00522B58"/>
    <w:rsid w:val="0052775E"/>
    <w:rsid w:val="00527D3F"/>
    <w:rsid w:val="00533623"/>
    <w:rsid w:val="00535C90"/>
    <w:rsid w:val="005360FB"/>
    <w:rsid w:val="005420F2"/>
    <w:rsid w:val="00544E1B"/>
    <w:rsid w:val="00546993"/>
    <w:rsid w:val="005628B6"/>
    <w:rsid w:val="00591D40"/>
    <w:rsid w:val="005A575C"/>
    <w:rsid w:val="005B3DB3"/>
    <w:rsid w:val="005B4E13"/>
    <w:rsid w:val="005B6F4B"/>
    <w:rsid w:val="005C6FBC"/>
    <w:rsid w:val="005D2D66"/>
    <w:rsid w:val="005D4BE6"/>
    <w:rsid w:val="005D68F4"/>
    <w:rsid w:val="005E6A77"/>
    <w:rsid w:val="005F6DF9"/>
    <w:rsid w:val="005F7B75"/>
    <w:rsid w:val="006001EE"/>
    <w:rsid w:val="00605042"/>
    <w:rsid w:val="00605B54"/>
    <w:rsid w:val="00611232"/>
    <w:rsid w:val="00611FC4"/>
    <w:rsid w:val="00613196"/>
    <w:rsid w:val="006174F9"/>
    <w:rsid w:val="006176FB"/>
    <w:rsid w:val="00621BDE"/>
    <w:rsid w:val="00622024"/>
    <w:rsid w:val="00625568"/>
    <w:rsid w:val="00640B26"/>
    <w:rsid w:val="00652D0A"/>
    <w:rsid w:val="00654307"/>
    <w:rsid w:val="006623D5"/>
    <w:rsid w:val="00662BB6"/>
    <w:rsid w:val="00666527"/>
    <w:rsid w:val="00667F8F"/>
    <w:rsid w:val="00682C07"/>
    <w:rsid w:val="00684C21"/>
    <w:rsid w:val="006A155E"/>
    <w:rsid w:val="006A2530"/>
    <w:rsid w:val="006C3589"/>
    <w:rsid w:val="006C4652"/>
    <w:rsid w:val="006D37AF"/>
    <w:rsid w:val="006D51D0"/>
    <w:rsid w:val="006E564B"/>
    <w:rsid w:val="006E638E"/>
    <w:rsid w:val="006E7191"/>
    <w:rsid w:val="006F01EF"/>
    <w:rsid w:val="006F0DDB"/>
    <w:rsid w:val="00703577"/>
    <w:rsid w:val="00705894"/>
    <w:rsid w:val="00715700"/>
    <w:rsid w:val="0072632A"/>
    <w:rsid w:val="00731FF0"/>
    <w:rsid w:val="007327D5"/>
    <w:rsid w:val="007567AF"/>
    <w:rsid w:val="007611CF"/>
    <w:rsid w:val="007629C8"/>
    <w:rsid w:val="007642A4"/>
    <w:rsid w:val="0077047D"/>
    <w:rsid w:val="00786E2F"/>
    <w:rsid w:val="007B6BA5"/>
    <w:rsid w:val="007C3390"/>
    <w:rsid w:val="007C4F4B"/>
    <w:rsid w:val="007E01E9"/>
    <w:rsid w:val="007E63F3"/>
    <w:rsid w:val="007F1888"/>
    <w:rsid w:val="007F6611"/>
    <w:rsid w:val="007F7106"/>
    <w:rsid w:val="008100FC"/>
    <w:rsid w:val="00811920"/>
    <w:rsid w:val="00815AD0"/>
    <w:rsid w:val="008242D7"/>
    <w:rsid w:val="008257B1"/>
    <w:rsid w:val="00826E9A"/>
    <w:rsid w:val="00843767"/>
    <w:rsid w:val="008521A5"/>
    <w:rsid w:val="00853EBC"/>
    <w:rsid w:val="0086081B"/>
    <w:rsid w:val="0086171D"/>
    <w:rsid w:val="008679D9"/>
    <w:rsid w:val="00871389"/>
    <w:rsid w:val="00872459"/>
    <w:rsid w:val="00872DFA"/>
    <w:rsid w:val="00882E80"/>
    <w:rsid w:val="00883999"/>
    <w:rsid w:val="00885B73"/>
    <w:rsid w:val="00887899"/>
    <w:rsid w:val="008878DE"/>
    <w:rsid w:val="00892603"/>
    <w:rsid w:val="008979B1"/>
    <w:rsid w:val="008A6B25"/>
    <w:rsid w:val="008A6C4F"/>
    <w:rsid w:val="008B2335"/>
    <w:rsid w:val="008B717B"/>
    <w:rsid w:val="008D6F3C"/>
    <w:rsid w:val="008E0678"/>
    <w:rsid w:val="008E57F4"/>
    <w:rsid w:val="008F03AD"/>
    <w:rsid w:val="008F1E45"/>
    <w:rsid w:val="0090194D"/>
    <w:rsid w:val="009079FF"/>
    <w:rsid w:val="00910A62"/>
    <w:rsid w:val="0091237E"/>
    <w:rsid w:val="00916E19"/>
    <w:rsid w:val="009223CA"/>
    <w:rsid w:val="00927A75"/>
    <w:rsid w:val="009321E8"/>
    <w:rsid w:val="00932F3F"/>
    <w:rsid w:val="0093509F"/>
    <w:rsid w:val="00940F93"/>
    <w:rsid w:val="0094558F"/>
    <w:rsid w:val="009554F4"/>
    <w:rsid w:val="009603D2"/>
    <w:rsid w:val="009605B0"/>
    <w:rsid w:val="00961690"/>
    <w:rsid w:val="00962F62"/>
    <w:rsid w:val="009665DB"/>
    <w:rsid w:val="00972CFB"/>
    <w:rsid w:val="009730AF"/>
    <w:rsid w:val="009760F3"/>
    <w:rsid w:val="009839CD"/>
    <w:rsid w:val="00983C3B"/>
    <w:rsid w:val="009969E0"/>
    <w:rsid w:val="009A0E8D"/>
    <w:rsid w:val="009B1518"/>
    <w:rsid w:val="009B26E7"/>
    <w:rsid w:val="009C454F"/>
    <w:rsid w:val="009D2A5B"/>
    <w:rsid w:val="009F4DE9"/>
    <w:rsid w:val="009F6A26"/>
    <w:rsid w:val="00A00A3F"/>
    <w:rsid w:val="00A01489"/>
    <w:rsid w:val="00A176A0"/>
    <w:rsid w:val="00A2573C"/>
    <w:rsid w:val="00A3009E"/>
    <w:rsid w:val="00A3026E"/>
    <w:rsid w:val="00A338F1"/>
    <w:rsid w:val="00A51C2B"/>
    <w:rsid w:val="00A658A6"/>
    <w:rsid w:val="00A72F22"/>
    <w:rsid w:val="00A7360F"/>
    <w:rsid w:val="00A748A6"/>
    <w:rsid w:val="00A769F4"/>
    <w:rsid w:val="00A776B4"/>
    <w:rsid w:val="00A94361"/>
    <w:rsid w:val="00A97439"/>
    <w:rsid w:val="00AA293C"/>
    <w:rsid w:val="00AA4BD0"/>
    <w:rsid w:val="00AB1C7D"/>
    <w:rsid w:val="00AB232E"/>
    <w:rsid w:val="00AC6790"/>
    <w:rsid w:val="00AC72CA"/>
    <w:rsid w:val="00AE4A41"/>
    <w:rsid w:val="00AE76C0"/>
    <w:rsid w:val="00AF0E53"/>
    <w:rsid w:val="00B04B62"/>
    <w:rsid w:val="00B0538F"/>
    <w:rsid w:val="00B11BB4"/>
    <w:rsid w:val="00B22BC2"/>
    <w:rsid w:val="00B240A1"/>
    <w:rsid w:val="00B24349"/>
    <w:rsid w:val="00B30179"/>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9414F"/>
    <w:rsid w:val="00BA4ED2"/>
    <w:rsid w:val="00BB7CD1"/>
    <w:rsid w:val="00BC38BF"/>
    <w:rsid w:val="00BC3FA0"/>
    <w:rsid w:val="00BC74E9"/>
    <w:rsid w:val="00BD28B6"/>
    <w:rsid w:val="00BF68A8"/>
    <w:rsid w:val="00C00584"/>
    <w:rsid w:val="00C04E6E"/>
    <w:rsid w:val="00C050DF"/>
    <w:rsid w:val="00C10FE6"/>
    <w:rsid w:val="00C11A03"/>
    <w:rsid w:val="00C14945"/>
    <w:rsid w:val="00C22C0C"/>
    <w:rsid w:val="00C37144"/>
    <w:rsid w:val="00C40026"/>
    <w:rsid w:val="00C42B3C"/>
    <w:rsid w:val="00C4527F"/>
    <w:rsid w:val="00C463DD"/>
    <w:rsid w:val="00C4724C"/>
    <w:rsid w:val="00C557D6"/>
    <w:rsid w:val="00C629A0"/>
    <w:rsid w:val="00C62C07"/>
    <w:rsid w:val="00C63D2D"/>
    <w:rsid w:val="00C64629"/>
    <w:rsid w:val="00C745C3"/>
    <w:rsid w:val="00C90189"/>
    <w:rsid w:val="00CB3E03"/>
    <w:rsid w:val="00CB5F93"/>
    <w:rsid w:val="00CC1ADB"/>
    <w:rsid w:val="00CD305F"/>
    <w:rsid w:val="00CE4A8F"/>
    <w:rsid w:val="00CF559A"/>
    <w:rsid w:val="00D0663B"/>
    <w:rsid w:val="00D07D06"/>
    <w:rsid w:val="00D2031B"/>
    <w:rsid w:val="00D25FE2"/>
    <w:rsid w:val="00D43252"/>
    <w:rsid w:val="00D47EEA"/>
    <w:rsid w:val="00D550D4"/>
    <w:rsid w:val="00D66F7C"/>
    <w:rsid w:val="00D773DF"/>
    <w:rsid w:val="00D838E4"/>
    <w:rsid w:val="00D84C5B"/>
    <w:rsid w:val="00D9255F"/>
    <w:rsid w:val="00D94663"/>
    <w:rsid w:val="00D95303"/>
    <w:rsid w:val="00D978C6"/>
    <w:rsid w:val="00DA3C1C"/>
    <w:rsid w:val="00DB6229"/>
    <w:rsid w:val="00DB62C7"/>
    <w:rsid w:val="00DC179E"/>
    <w:rsid w:val="00DE4B5B"/>
    <w:rsid w:val="00DF469C"/>
    <w:rsid w:val="00E0214B"/>
    <w:rsid w:val="00E046DF"/>
    <w:rsid w:val="00E15557"/>
    <w:rsid w:val="00E240D2"/>
    <w:rsid w:val="00E27346"/>
    <w:rsid w:val="00E300A7"/>
    <w:rsid w:val="00E36F73"/>
    <w:rsid w:val="00E54C9E"/>
    <w:rsid w:val="00E71610"/>
    <w:rsid w:val="00E71BC8"/>
    <w:rsid w:val="00E7260F"/>
    <w:rsid w:val="00E73F5D"/>
    <w:rsid w:val="00E77E4E"/>
    <w:rsid w:val="00E86A12"/>
    <w:rsid w:val="00E96630"/>
    <w:rsid w:val="00EC106A"/>
    <w:rsid w:val="00EC22C2"/>
    <w:rsid w:val="00EC73C8"/>
    <w:rsid w:val="00ED7A2A"/>
    <w:rsid w:val="00EE10AF"/>
    <w:rsid w:val="00EE6B3A"/>
    <w:rsid w:val="00EF1D7F"/>
    <w:rsid w:val="00F049A3"/>
    <w:rsid w:val="00F2270C"/>
    <w:rsid w:val="00F2392F"/>
    <w:rsid w:val="00F31E5F"/>
    <w:rsid w:val="00F32BB7"/>
    <w:rsid w:val="00F37110"/>
    <w:rsid w:val="00F454F0"/>
    <w:rsid w:val="00F6100A"/>
    <w:rsid w:val="00F6650C"/>
    <w:rsid w:val="00F66565"/>
    <w:rsid w:val="00F76B2F"/>
    <w:rsid w:val="00F93781"/>
    <w:rsid w:val="00FA2FE2"/>
    <w:rsid w:val="00FB1B60"/>
    <w:rsid w:val="00FB613B"/>
    <w:rsid w:val="00FC302D"/>
    <w:rsid w:val="00FC68B7"/>
    <w:rsid w:val="00FC7CF8"/>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48AF-D746-41D9-BA5C-747656F0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5705</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7</cp:revision>
  <cp:lastPrinted>2015-09-01T13:45:00Z</cp:lastPrinted>
  <dcterms:created xsi:type="dcterms:W3CDTF">2015-09-01T13:03:00Z</dcterms:created>
  <dcterms:modified xsi:type="dcterms:W3CDTF">2015-09-01T13:45:00Z</dcterms:modified>
</cp:coreProperties>
</file>