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779" w:rsidRPr="00061664" w:rsidRDefault="00543F78" w:rsidP="003A586A">
      <w:pPr>
        <w:pStyle w:val="HChG"/>
        <w:ind w:firstLine="0"/>
        <w:jc w:val="center"/>
      </w:pPr>
      <w:r w:rsidRPr="0052538D">
        <w:t>Proposal for</w:t>
      </w:r>
      <w:r w:rsidR="0074366D">
        <w:t xml:space="preserve"> </w:t>
      </w:r>
      <w:r w:rsidR="0074366D" w:rsidRPr="00B748AA">
        <w:t>supplement 0</w:t>
      </w:r>
      <w:r w:rsidR="00C2244E">
        <w:t>1</w:t>
      </w:r>
      <w:r w:rsidR="0074366D" w:rsidRPr="00B748AA">
        <w:t xml:space="preserve"> to the </w:t>
      </w:r>
      <w:r w:rsidR="00C2244E">
        <w:t>00</w:t>
      </w:r>
      <w:r w:rsidR="0074366D" w:rsidRPr="00B748AA">
        <w:t xml:space="preserve"> series of</w:t>
      </w:r>
      <w:r w:rsidRPr="00B748AA">
        <w:t xml:space="preserve"> </w:t>
      </w:r>
      <w:r w:rsidR="002A354B" w:rsidRPr="00B748AA">
        <w:t xml:space="preserve">amendments </w:t>
      </w:r>
      <w:r w:rsidR="002A354B" w:rsidRPr="0052538D">
        <w:t xml:space="preserve">to </w:t>
      </w:r>
      <w:r w:rsidR="0052538D">
        <w:t xml:space="preserve">UN </w:t>
      </w:r>
      <w:r w:rsidR="002A354B" w:rsidRPr="0052538D">
        <w:t>Regulation No. 13</w:t>
      </w:r>
      <w:r w:rsidR="00B96358">
        <w:t>0</w:t>
      </w:r>
      <w:r w:rsidR="003A586A">
        <w:t xml:space="preserve"> (LDWS)</w:t>
      </w:r>
    </w:p>
    <w:p w:rsidR="00B26779" w:rsidRDefault="00B26779" w:rsidP="00714CCB">
      <w:pPr>
        <w:pStyle w:val="H1G"/>
        <w:jc w:val="both"/>
        <w:rPr>
          <w:bCs/>
        </w:rPr>
      </w:pPr>
      <w:r w:rsidRPr="00061664">
        <w:tab/>
      </w:r>
      <w:r w:rsidRPr="00061664">
        <w:tab/>
      </w:r>
      <w:r w:rsidRPr="00061664">
        <w:rPr>
          <w:bCs/>
        </w:rPr>
        <w:t xml:space="preserve">Submitted by </w:t>
      </w:r>
      <w:r w:rsidR="00714CCB">
        <w:rPr>
          <w:bCs/>
        </w:rPr>
        <w:t>the experts from the International Organization of Motor Vehicle Manufacturers</w:t>
      </w:r>
    </w:p>
    <w:p w:rsidR="004A2683" w:rsidRPr="00F34305" w:rsidRDefault="004A2683" w:rsidP="004A2683">
      <w:pPr>
        <w:pStyle w:val="SingleTxtG"/>
        <w:ind w:right="1138"/>
        <w:rPr>
          <w:bCs/>
          <w:u w:val="single"/>
        </w:rPr>
      </w:pPr>
      <w:r>
        <w:t>(</w:t>
      </w:r>
      <w:r w:rsidRPr="00F34305">
        <w:t xml:space="preserve">The modifications to the current text of the Regulation are marked in </w:t>
      </w:r>
      <w:r w:rsidRPr="00F34305">
        <w:rPr>
          <w:b/>
        </w:rPr>
        <w:t>bold</w:t>
      </w:r>
      <w:r>
        <w:t xml:space="preserve"> or </w:t>
      </w:r>
      <w:r w:rsidRPr="005C69A5">
        <w:rPr>
          <w:strike/>
        </w:rPr>
        <w:t>strikethrough</w:t>
      </w:r>
      <w:r>
        <w:t xml:space="preserve"> characters)</w:t>
      </w:r>
    </w:p>
    <w:p w:rsidR="005F0642" w:rsidRPr="003450B2" w:rsidRDefault="005F0642" w:rsidP="003A586A">
      <w:pPr>
        <w:pStyle w:val="HChG"/>
        <w:numPr>
          <w:ilvl w:val="0"/>
          <w:numId w:val="31"/>
        </w:numPr>
        <w:rPr>
          <w:snapToGrid w:val="0"/>
        </w:rPr>
      </w:pPr>
      <w:r w:rsidRPr="00714CCB">
        <w:t>Proposal</w:t>
      </w:r>
    </w:p>
    <w:p w:rsidR="00543F78" w:rsidRDefault="00B96358" w:rsidP="00C07F4F">
      <w:pPr>
        <w:pStyle w:val="SingleTxtG"/>
        <w:ind w:right="1138"/>
      </w:pPr>
      <w:r>
        <w:rPr>
          <w:i/>
        </w:rPr>
        <w:t xml:space="preserve">Insert an </w:t>
      </w:r>
      <w:r w:rsidR="005C69A5">
        <w:rPr>
          <w:i/>
        </w:rPr>
        <w:t>Introduction</w:t>
      </w:r>
      <w:r w:rsidR="00B27663">
        <w:t xml:space="preserve">, to </w:t>
      </w:r>
      <w:r w:rsidR="00C07F4F">
        <w:t>read:</w:t>
      </w:r>
    </w:p>
    <w:p w:rsidR="005C69A5" w:rsidRPr="005C69A5" w:rsidRDefault="003A586A" w:rsidP="005C69A5">
      <w:pPr>
        <w:pStyle w:val="SingleTxtG"/>
        <w:ind w:right="1138"/>
        <w:rPr>
          <w:b/>
          <w:bCs/>
        </w:rPr>
      </w:pPr>
      <w:bookmarkStart w:id="0" w:name="_Toc358726234"/>
      <w:bookmarkStart w:id="1" w:name="_Toc358726293"/>
      <w:r>
        <w:rPr>
          <w:b/>
          <w:bCs/>
        </w:rPr>
        <w:t>"</w:t>
      </w:r>
      <w:r w:rsidR="005C69A5" w:rsidRPr="005C69A5">
        <w:rPr>
          <w:b/>
          <w:bCs/>
        </w:rPr>
        <w:t>Introduction (for information)</w:t>
      </w:r>
      <w:bookmarkEnd w:id="0"/>
      <w:bookmarkEnd w:id="1"/>
    </w:p>
    <w:p w:rsidR="00B96358" w:rsidRPr="00B96358" w:rsidRDefault="00B96358" w:rsidP="00B96358">
      <w:pPr>
        <w:spacing w:line="240" w:lineRule="auto"/>
        <w:ind w:left="1134" w:right="1134"/>
        <w:jc w:val="both"/>
        <w:rPr>
          <w:b/>
          <w:lang w:val="en-US"/>
        </w:rPr>
      </w:pPr>
      <w:r w:rsidRPr="00B96358">
        <w:rPr>
          <w:b/>
        </w:rPr>
        <w:t>The intention of this Regulation is to establish uniform provisions for lane departure warning systems (LDWS) fitted to motor vehicles of the categories M</w:t>
      </w:r>
      <w:r w:rsidRPr="00B96358">
        <w:rPr>
          <w:b/>
          <w:vertAlign w:val="subscript"/>
        </w:rPr>
        <w:t>2</w:t>
      </w:r>
      <w:r w:rsidRPr="00B96358">
        <w:rPr>
          <w:b/>
        </w:rPr>
        <w:t>, M</w:t>
      </w:r>
      <w:r w:rsidRPr="00B96358">
        <w:rPr>
          <w:b/>
          <w:vertAlign w:val="subscript"/>
        </w:rPr>
        <w:t>3</w:t>
      </w:r>
      <w:r w:rsidRPr="00B96358">
        <w:rPr>
          <w:b/>
        </w:rPr>
        <w:t>, N</w:t>
      </w:r>
      <w:r w:rsidRPr="00B96358">
        <w:rPr>
          <w:b/>
          <w:vertAlign w:val="subscript"/>
        </w:rPr>
        <w:t>2</w:t>
      </w:r>
      <w:r w:rsidRPr="00B96358">
        <w:rPr>
          <w:b/>
        </w:rPr>
        <w:t xml:space="preserve"> and N</w:t>
      </w:r>
      <w:r w:rsidRPr="00B96358">
        <w:rPr>
          <w:b/>
          <w:vertAlign w:val="subscript"/>
        </w:rPr>
        <w:t>3</w:t>
      </w:r>
      <w:r w:rsidRPr="00B96358">
        <w:rPr>
          <w:b/>
          <w:vertAlign w:val="superscript"/>
        </w:rPr>
        <w:footnoteReference w:id="2"/>
      </w:r>
      <w:r w:rsidRPr="00B96358">
        <w:rPr>
          <w:b/>
        </w:rPr>
        <w:t xml:space="preserve"> primarily used under highway conditions. T</w:t>
      </w:r>
      <w:r w:rsidRPr="00B96358">
        <w:rPr>
          <w:b/>
          <w:lang w:val="en-US"/>
        </w:rPr>
        <w:t xml:space="preserve">hese vehicle categories </w:t>
      </w:r>
      <w:r w:rsidRPr="00B96358">
        <w:rPr>
          <w:b/>
        </w:rPr>
        <w:t xml:space="preserve">will benefit from the fitment of a lane departure warning system, especially in </w:t>
      </w:r>
      <w:r w:rsidRPr="00B96358">
        <w:rPr>
          <w:b/>
          <w:lang w:val="en-US"/>
        </w:rPr>
        <w:t>the field of monotonous driving situations. The benefit of such system installation is to support a distracted or drowsy driver by warning if the vehicle is unintentionally leaving the road.</w:t>
      </w:r>
    </w:p>
    <w:p w:rsidR="00B96358" w:rsidRPr="00B96358" w:rsidRDefault="00B96358" w:rsidP="00B96358">
      <w:pPr>
        <w:spacing w:line="240" w:lineRule="auto"/>
        <w:ind w:left="1134" w:right="1134"/>
        <w:jc w:val="both"/>
        <w:rPr>
          <w:b/>
        </w:rPr>
      </w:pPr>
      <w:r w:rsidRPr="00B96358">
        <w:rPr>
          <w:b/>
          <w:lang w:val="en-US"/>
        </w:rPr>
        <w:t>While, in general, those vehicle categories will benefit from the fitment of an advanced emergency b</w:t>
      </w:r>
      <w:r w:rsidRPr="00B96358">
        <w:rPr>
          <w:b/>
        </w:rPr>
        <w:t>raking system, there are sub-groups where the benefit is rather uncertain because they are primarily used in other conditions than highway conditions. For example v</w:t>
      </w:r>
      <w:proofErr w:type="spellStart"/>
      <w:r w:rsidRPr="00B96358">
        <w:rPr>
          <w:b/>
          <w:lang w:val="en-US"/>
        </w:rPr>
        <w:t>ehicles</w:t>
      </w:r>
      <w:proofErr w:type="spellEnd"/>
      <w:r w:rsidRPr="00B96358">
        <w:rPr>
          <w:b/>
          <w:lang w:val="en-US"/>
        </w:rPr>
        <w:t xml:space="preserve"> of category M</w:t>
      </w:r>
      <w:r w:rsidRPr="003A586A">
        <w:rPr>
          <w:b/>
          <w:vertAlign w:val="subscript"/>
          <w:lang w:val="en-US"/>
        </w:rPr>
        <w:t>2</w:t>
      </w:r>
      <w:r w:rsidRPr="00B96358">
        <w:rPr>
          <w:b/>
          <w:lang w:val="en-US"/>
        </w:rPr>
        <w:t>/M</w:t>
      </w:r>
      <w:r w:rsidRPr="003A586A">
        <w:rPr>
          <w:b/>
          <w:vertAlign w:val="subscript"/>
          <w:lang w:val="en-US"/>
        </w:rPr>
        <w:t>3</w:t>
      </w:r>
      <w:r w:rsidRPr="00B96358">
        <w:rPr>
          <w:b/>
          <w:lang w:val="en-US"/>
        </w:rPr>
        <w:t xml:space="preserve"> class A, I &amp; II (including articulated busses), off road vehicles.</w:t>
      </w:r>
    </w:p>
    <w:p w:rsidR="00B96358" w:rsidRPr="00B96358" w:rsidRDefault="00B96358" w:rsidP="00B96358">
      <w:pPr>
        <w:spacing w:line="240" w:lineRule="auto"/>
        <w:ind w:left="709" w:right="1134"/>
        <w:jc w:val="both"/>
        <w:rPr>
          <w:b/>
          <w:lang w:val="en-US"/>
        </w:rPr>
      </w:pPr>
    </w:p>
    <w:p w:rsidR="00B96358" w:rsidRPr="00B96358" w:rsidRDefault="00B96358" w:rsidP="00B96358">
      <w:pPr>
        <w:spacing w:line="240" w:lineRule="auto"/>
        <w:ind w:left="1134" w:right="1134"/>
        <w:jc w:val="both"/>
        <w:rPr>
          <w:b/>
        </w:rPr>
      </w:pPr>
      <w:r w:rsidRPr="00B96358">
        <w:rPr>
          <w:b/>
        </w:rPr>
        <w:t xml:space="preserve">Regardless from the benefit, there are other sub-groups where the installation of </w:t>
      </w:r>
      <w:r>
        <w:rPr>
          <w:b/>
        </w:rPr>
        <w:t>LDWS</w:t>
      </w:r>
      <w:r w:rsidRPr="00B96358">
        <w:rPr>
          <w:b/>
        </w:rPr>
        <w:t xml:space="preserve"> would be technically difficult. For example:</w:t>
      </w:r>
    </w:p>
    <w:p w:rsidR="00B96358" w:rsidRPr="00B96358" w:rsidRDefault="00B96358" w:rsidP="003A586A">
      <w:pPr>
        <w:numPr>
          <w:ilvl w:val="0"/>
          <w:numId w:val="30"/>
        </w:numPr>
        <w:spacing w:line="240" w:lineRule="auto"/>
        <w:ind w:left="2268" w:right="1134" w:hanging="567"/>
        <w:jc w:val="both"/>
        <w:rPr>
          <w:b/>
          <w:lang w:val="en-US"/>
        </w:rPr>
      </w:pPr>
      <w:r w:rsidRPr="00B96358">
        <w:rPr>
          <w:b/>
        </w:rPr>
        <w:t>Vehicles equipped with split windshields, asymmetrical cabs, windshield of high thickness, front hood vehicles, etc.</w:t>
      </w:r>
    </w:p>
    <w:p w:rsidR="00B96358" w:rsidRPr="00B96358" w:rsidRDefault="00BB66FB" w:rsidP="003A586A">
      <w:pPr>
        <w:numPr>
          <w:ilvl w:val="0"/>
          <w:numId w:val="30"/>
        </w:numPr>
        <w:spacing w:line="240" w:lineRule="auto"/>
        <w:ind w:left="2268" w:right="1134" w:hanging="567"/>
        <w:jc w:val="both"/>
        <w:rPr>
          <w:b/>
          <w:lang w:val="en-US"/>
        </w:rPr>
      </w:pPr>
      <w:r>
        <w:rPr>
          <w:b/>
          <w:lang w:val="en-US"/>
        </w:rPr>
        <w:t>Vehicles whose utilization makes them subject to d</w:t>
      </w:r>
      <w:r w:rsidR="00B96358" w:rsidRPr="00B96358">
        <w:rPr>
          <w:b/>
          <w:lang w:val="en-US"/>
        </w:rPr>
        <w:t>ust, mud and humidity</w:t>
      </w:r>
      <w:r>
        <w:rPr>
          <w:b/>
          <w:lang w:val="en-US"/>
        </w:rPr>
        <w:t>,</w:t>
      </w:r>
      <w:r w:rsidR="00B96358" w:rsidRPr="00B96358">
        <w:rPr>
          <w:b/>
          <w:lang w:val="en-US"/>
        </w:rPr>
        <w:t xml:space="preserve"> </w:t>
      </w:r>
      <w:r>
        <w:rPr>
          <w:b/>
          <w:lang w:val="en-US"/>
        </w:rPr>
        <w:t xml:space="preserve">which </w:t>
      </w:r>
      <w:r w:rsidR="00B96358" w:rsidRPr="00B96358">
        <w:rPr>
          <w:b/>
          <w:lang w:val="en-US"/>
        </w:rPr>
        <w:t>can have negative impacts to the system. Off-Road vehicles are driven seldom on highways</w:t>
      </w:r>
      <w:r>
        <w:rPr>
          <w:b/>
          <w:lang w:val="en-US"/>
        </w:rPr>
        <w:t xml:space="preserve">, rather on e.g. </w:t>
      </w:r>
      <w:r w:rsidR="00B96358" w:rsidRPr="00B96358">
        <w:rPr>
          <w:b/>
          <w:lang w:val="en-US"/>
        </w:rPr>
        <w:t>graveled tracks, off-road</w:t>
      </w:r>
      <w:r>
        <w:rPr>
          <w:b/>
          <w:lang w:val="en-US"/>
        </w:rPr>
        <w:t>, etc</w:t>
      </w:r>
      <w:r w:rsidR="00B96358" w:rsidRPr="00B96358">
        <w:rPr>
          <w:b/>
          <w:lang w:val="en-US"/>
        </w:rPr>
        <w:t>.</w:t>
      </w:r>
    </w:p>
    <w:p w:rsidR="00B96358" w:rsidRPr="00B96358" w:rsidRDefault="00B96358" w:rsidP="003A586A">
      <w:pPr>
        <w:numPr>
          <w:ilvl w:val="0"/>
          <w:numId w:val="30"/>
        </w:numPr>
        <w:spacing w:line="240" w:lineRule="auto"/>
        <w:ind w:left="2268" w:right="1134" w:hanging="567"/>
        <w:jc w:val="both"/>
        <w:rPr>
          <w:b/>
          <w:lang w:val="en-US"/>
        </w:rPr>
      </w:pPr>
      <w:r w:rsidRPr="00B96358">
        <w:rPr>
          <w:b/>
          <w:lang w:val="en-US"/>
        </w:rPr>
        <w:t xml:space="preserve">Furthermore </w:t>
      </w:r>
      <w:r w:rsidR="00BB66FB" w:rsidRPr="00B96358">
        <w:rPr>
          <w:b/>
          <w:lang w:val="en-US"/>
        </w:rPr>
        <w:t>special purpose vehicles</w:t>
      </w:r>
      <w:r w:rsidR="00BB66FB">
        <w:rPr>
          <w:b/>
          <w:lang w:val="en-US"/>
        </w:rPr>
        <w:t xml:space="preserve"> where</w:t>
      </w:r>
      <w:r w:rsidR="00BB66FB" w:rsidRPr="00B96358">
        <w:rPr>
          <w:b/>
          <w:lang w:val="en-US"/>
        </w:rPr>
        <w:t xml:space="preserve"> </w:t>
      </w:r>
      <w:r w:rsidRPr="00B96358">
        <w:rPr>
          <w:b/>
          <w:lang w:val="en-US"/>
        </w:rPr>
        <w:t xml:space="preserve">the </w:t>
      </w:r>
      <w:r w:rsidR="00BB66FB">
        <w:rPr>
          <w:b/>
          <w:lang w:val="en-US"/>
        </w:rPr>
        <w:t>fitment</w:t>
      </w:r>
      <w:r w:rsidRPr="00B96358">
        <w:rPr>
          <w:b/>
          <w:lang w:val="en-US"/>
        </w:rPr>
        <w:t xml:space="preserve"> of the </w:t>
      </w:r>
      <w:r w:rsidR="00BB66FB">
        <w:rPr>
          <w:b/>
          <w:lang w:val="en-US"/>
        </w:rPr>
        <w:t>sensors</w:t>
      </w:r>
      <w:r w:rsidRPr="00B96358">
        <w:rPr>
          <w:b/>
          <w:lang w:val="en-US"/>
        </w:rPr>
        <w:t xml:space="preserve"> is either not possible or doesn’t fulfill the </w:t>
      </w:r>
      <w:r w:rsidR="00BB66FB">
        <w:rPr>
          <w:b/>
          <w:lang w:val="en-US"/>
        </w:rPr>
        <w:t xml:space="preserve">supplier’s </w:t>
      </w:r>
      <w:r w:rsidR="00BB66FB" w:rsidRPr="00B96358">
        <w:rPr>
          <w:b/>
          <w:lang w:val="en-US"/>
        </w:rPr>
        <w:t xml:space="preserve">installation </w:t>
      </w:r>
      <w:r w:rsidR="00BB66FB">
        <w:rPr>
          <w:b/>
          <w:lang w:val="en-US"/>
        </w:rPr>
        <w:t>recommendations</w:t>
      </w:r>
      <w:r w:rsidRPr="00B96358">
        <w:rPr>
          <w:b/>
          <w:lang w:val="en-US"/>
        </w:rPr>
        <w:t xml:space="preserve"> (e.g. snow plows, equipment </w:t>
      </w:r>
      <w:r w:rsidR="00BB66FB">
        <w:rPr>
          <w:b/>
          <w:lang w:val="en-US"/>
        </w:rPr>
        <w:t>on the hood</w:t>
      </w:r>
      <w:r w:rsidRPr="00B96358">
        <w:rPr>
          <w:b/>
          <w:lang w:val="en-US"/>
        </w:rPr>
        <w:t xml:space="preserve"> area etc.). Typically these </w:t>
      </w:r>
      <w:r w:rsidR="00BB66FB" w:rsidRPr="00B96358">
        <w:rPr>
          <w:b/>
          <w:lang w:val="en-US"/>
        </w:rPr>
        <w:t>kinds</w:t>
      </w:r>
      <w:r w:rsidRPr="00B96358">
        <w:rPr>
          <w:b/>
          <w:lang w:val="en-US"/>
        </w:rPr>
        <w:t xml:space="preserve"> of vehicle have a high number of operating hours relating to a small number of kilometers.</w:t>
      </w:r>
    </w:p>
    <w:p w:rsidR="00B96358" w:rsidRPr="00B96358" w:rsidRDefault="00B96358" w:rsidP="003A586A">
      <w:pPr>
        <w:numPr>
          <w:ilvl w:val="0"/>
          <w:numId w:val="30"/>
        </w:numPr>
        <w:spacing w:line="240" w:lineRule="auto"/>
        <w:ind w:left="2268" w:right="1134" w:hanging="567"/>
        <w:jc w:val="both"/>
        <w:rPr>
          <w:b/>
          <w:lang w:val="en-US"/>
        </w:rPr>
      </w:pPr>
      <w:r w:rsidRPr="00B96358">
        <w:rPr>
          <w:b/>
          <w:lang w:val="en-US"/>
        </w:rPr>
        <w:t xml:space="preserve">In EU vehicles with more than 3 axles are mainly used </w:t>
      </w:r>
      <w:r w:rsidR="00BB66FB">
        <w:rPr>
          <w:b/>
          <w:lang w:val="en-US"/>
        </w:rPr>
        <w:t>in built areas</w:t>
      </w:r>
      <w:r w:rsidRPr="00B96358">
        <w:rPr>
          <w:b/>
          <w:lang w:val="en-US"/>
        </w:rPr>
        <w:t xml:space="preserve"> and extremely rare on highways. </w:t>
      </w:r>
    </w:p>
    <w:p w:rsidR="00BB66FB" w:rsidRDefault="00BB66FB" w:rsidP="00BB66FB">
      <w:pPr>
        <w:spacing w:line="240" w:lineRule="auto"/>
        <w:ind w:left="1134" w:right="1134"/>
        <w:jc w:val="both"/>
        <w:rPr>
          <w:b/>
        </w:rPr>
      </w:pPr>
    </w:p>
    <w:p w:rsidR="00B96358" w:rsidRPr="00B96358" w:rsidRDefault="00B96358" w:rsidP="00BB66FB">
      <w:pPr>
        <w:spacing w:line="240" w:lineRule="auto"/>
        <w:ind w:left="1134" w:right="1134"/>
        <w:jc w:val="both"/>
        <w:rPr>
          <w:b/>
        </w:rPr>
      </w:pPr>
      <w:r w:rsidRPr="00B96358">
        <w:rPr>
          <w:b/>
        </w:rPr>
        <w:t>The system shall automatically detect a potential leaving of the road and provide the driver with a warning to bring back the vehicle into the lane.</w:t>
      </w:r>
    </w:p>
    <w:p w:rsidR="00B96358" w:rsidRPr="00B96358" w:rsidRDefault="00B96358" w:rsidP="00BB66FB">
      <w:pPr>
        <w:spacing w:line="240" w:lineRule="auto"/>
        <w:ind w:left="1134" w:right="1134"/>
        <w:jc w:val="both"/>
        <w:rPr>
          <w:b/>
        </w:rPr>
      </w:pPr>
      <w:r w:rsidRPr="00B96358">
        <w:rPr>
          <w:b/>
        </w:rPr>
        <w:t>In the case of a failure in the system, the safe operation of the vehicle shall not be endangered.</w:t>
      </w:r>
    </w:p>
    <w:p w:rsidR="00B96358" w:rsidRPr="00B96358" w:rsidRDefault="00B96358" w:rsidP="00BB66FB">
      <w:pPr>
        <w:spacing w:line="240" w:lineRule="auto"/>
        <w:ind w:left="1134" w:right="1134"/>
        <w:jc w:val="both"/>
        <w:rPr>
          <w:b/>
        </w:rPr>
      </w:pPr>
      <w:r w:rsidRPr="00B96358">
        <w:rPr>
          <w:b/>
        </w:rPr>
        <w:t xml:space="preserve">The system shall provide as a minimum an acoustic or haptic warning, so that an inattentive driver is made aware of a critical situation. </w:t>
      </w:r>
    </w:p>
    <w:p w:rsidR="00B96358" w:rsidRPr="00B96358" w:rsidRDefault="00B96358" w:rsidP="00BB66FB">
      <w:pPr>
        <w:spacing w:line="240" w:lineRule="auto"/>
        <w:ind w:left="1134" w:right="1134"/>
        <w:jc w:val="both"/>
        <w:rPr>
          <w:b/>
        </w:rPr>
      </w:pPr>
      <w:r w:rsidRPr="00B96358">
        <w:rPr>
          <w:b/>
        </w:rPr>
        <w:lastRenderedPageBreak/>
        <w:t>The Regulation cannot include all the traffic conditions and infrastructure features in the type-approval process. Actual conditions and features in the real world should not result in false warnings to the extent that they encourage the driver to switch the system off.</w:t>
      </w:r>
      <w:r w:rsidR="003A586A">
        <w:rPr>
          <w:b/>
        </w:rPr>
        <w:t>"</w:t>
      </w:r>
    </w:p>
    <w:p w:rsidR="00B96358" w:rsidRPr="00B96358" w:rsidRDefault="00B96358" w:rsidP="003A586A">
      <w:pPr>
        <w:pStyle w:val="HChG"/>
        <w:numPr>
          <w:ilvl w:val="0"/>
          <w:numId w:val="31"/>
        </w:numPr>
      </w:pPr>
      <w:r w:rsidRPr="00B96358">
        <w:t>Justification</w:t>
      </w:r>
    </w:p>
    <w:p w:rsidR="00B96358" w:rsidRPr="00B96358" w:rsidRDefault="00B96358" w:rsidP="00B96358">
      <w:pPr>
        <w:spacing w:line="240" w:lineRule="auto"/>
        <w:ind w:left="709" w:right="1134"/>
        <w:jc w:val="both"/>
        <w:rPr>
          <w:b/>
          <w:lang w:val="en-US"/>
        </w:rPr>
      </w:pPr>
    </w:p>
    <w:p w:rsidR="005F0D3E" w:rsidRDefault="005F0D3E" w:rsidP="003A586A">
      <w:pPr>
        <w:pStyle w:val="ListParagraph"/>
        <w:numPr>
          <w:ilvl w:val="0"/>
          <w:numId w:val="33"/>
        </w:numPr>
        <w:spacing w:line="240" w:lineRule="auto"/>
        <w:ind w:left="1134" w:right="1134" w:firstLine="0"/>
        <w:jc w:val="both"/>
      </w:pPr>
      <w:r w:rsidRPr="003A586A">
        <w:rPr>
          <w:lang w:val="en-US"/>
        </w:rPr>
        <w:t>The v</w:t>
      </w:r>
      <w:proofErr w:type="spellStart"/>
      <w:r w:rsidRPr="005F0D3E">
        <w:t>ehicle</w:t>
      </w:r>
      <w:proofErr w:type="spellEnd"/>
      <w:r w:rsidRPr="005F0D3E">
        <w:t xml:space="preserve"> manufacturers are currently implementing LDWS on a large variety of models, e.g. to fulfil requirements mandated by some Contracting Parties. This implementation work confirms the concerns which have been brought up for discussion during the AEBS/LDWS informal group activities and sheds light on a number of technical issues that </w:t>
      </w:r>
      <w:r>
        <w:t>appeared</w:t>
      </w:r>
      <w:r w:rsidRPr="005F0D3E">
        <w:t xml:space="preserve"> when installing lane marking detection devices on some specific vehicles, in particular in case of huge technical diversity and where the vehicle environment can have negative impact on system reliability and on its ability to operate.</w:t>
      </w:r>
      <w:r>
        <w:t xml:space="preserve"> </w:t>
      </w:r>
    </w:p>
    <w:p w:rsidR="005F0D3E" w:rsidRDefault="005F0D3E" w:rsidP="00B96358">
      <w:pPr>
        <w:spacing w:line="240" w:lineRule="auto"/>
        <w:ind w:left="709" w:right="1134"/>
        <w:jc w:val="both"/>
      </w:pPr>
    </w:p>
    <w:p w:rsidR="00B96358" w:rsidRPr="003A586A" w:rsidRDefault="003A586A" w:rsidP="003A586A">
      <w:pPr>
        <w:spacing w:line="240" w:lineRule="auto"/>
        <w:ind w:left="1134" w:right="1134"/>
        <w:jc w:val="both"/>
        <w:rPr>
          <w:lang w:val="en-US"/>
        </w:rPr>
      </w:pPr>
      <w:r w:rsidRPr="003A586A">
        <w:rPr>
          <w:lang w:val="en-US"/>
        </w:rPr>
        <w:t xml:space="preserve">2. </w:t>
      </w:r>
      <w:r>
        <w:rPr>
          <w:lang w:val="en-US"/>
        </w:rPr>
        <w:tab/>
      </w:r>
      <w:r w:rsidR="00B96358" w:rsidRPr="003A586A">
        <w:rPr>
          <w:lang w:val="en-US"/>
        </w:rPr>
        <w:t>LDWS is most efficient for “long distance trucks and c</w:t>
      </w:r>
      <w:r w:rsidR="005F0D3E" w:rsidRPr="003A586A">
        <w:rPr>
          <w:lang w:val="en-US"/>
        </w:rPr>
        <w:t xml:space="preserve">oaches” travelling on highways and </w:t>
      </w:r>
      <w:r w:rsidR="00B96358" w:rsidRPr="003A586A">
        <w:rPr>
          <w:lang w:val="en-US"/>
        </w:rPr>
        <w:t xml:space="preserve">is primarily designed to support the driver during monotone driving conditions </w:t>
      </w:r>
      <w:r w:rsidR="005F0D3E" w:rsidRPr="003A586A">
        <w:rPr>
          <w:lang w:val="en-US"/>
        </w:rPr>
        <w:t>in these conditions</w:t>
      </w:r>
      <w:r w:rsidR="00B96358" w:rsidRPr="003A586A">
        <w:rPr>
          <w:lang w:val="en-US"/>
        </w:rPr>
        <w:t>.</w:t>
      </w:r>
    </w:p>
    <w:p w:rsidR="00B96358" w:rsidRPr="00B96358" w:rsidRDefault="00B96358" w:rsidP="003A586A">
      <w:pPr>
        <w:spacing w:line="240" w:lineRule="auto"/>
        <w:ind w:left="1134" w:right="1134"/>
        <w:jc w:val="both"/>
        <w:rPr>
          <w:lang w:val="en-US"/>
        </w:rPr>
      </w:pPr>
    </w:p>
    <w:p w:rsidR="005F0D3E" w:rsidRPr="005F0D3E" w:rsidRDefault="005F0D3E" w:rsidP="003A586A">
      <w:pPr>
        <w:spacing w:line="240" w:lineRule="auto"/>
        <w:ind w:left="1701" w:right="1134" w:hanging="567"/>
        <w:jc w:val="both"/>
      </w:pPr>
      <w:r w:rsidRPr="005F0D3E">
        <w:t>For example:</w:t>
      </w:r>
    </w:p>
    <w:p w:rsidR="005F0D3E" w:rsidRPr="005F0D3E" w:rsidRDefault="005F0D3E" w:rsidP="003A586A">
      <w:pPr>
        <w:numPr>
          <w:ilvl w:val="0"/>
          <w:numId w:val="27"/>
        </w:numPr>
        <w:spacing w:line="240" w:lineRule="auto"/>
        <w:ind w:left="1701" w:right="1134" w:hanging="567"/>
        <w:jc w:val="both"/>
      </w:pPr>
      <w:r w:rsidRPr="005F0D3E">
        <w:t>Due to the technical environment</w:t>
      </w:r>
      <w:r>
        <w:t xml:space="preserve"> specific to off-road vehicles (</w:t>
      </w:r>
      <w:r w:rsidRPr="005F0D3E">
        <w:t>windshield thickness, split windshields, asymmetrical cabs, front hood vehicles etc.) robust and reliable sensor integration is not always possible.</w:t>
      </w:r>
    </w:p>
    <w:p w:rsidR="005F0D3E" w:rsidRPr="005F0D3E" w:rsidRDefault="005F0D3E" w:rsidP="003A586A">
      <w:pPr>
        <w:numPr>
          <w:ilvl w:val="0"/>
          <w:numId w:val="27"/>
        </w:numPr>
        <w:spacing w:line="240" w:lineRule="auto"/>
        <w:ind w:left="1701" w:right="1134" w:hanging="567"/>
        <w:jc w:val="both"/>
      </w:pPr>
      <w:r w:rsidRPr="005F0D3E">
        <w:t>The environment conditions for construction vehicles may also negatively affect the sensors, in a similar way as for off road vehicles (dust, mud, humidity in off-road areas or on gravelled tracks…).</w:t>
      </w:r>
    </w:p>
    <w:p w:rsidR="005F0D3E" w:rsidRPr="005F0D3E" w:rsidRDefault="005F0D3E" w:rsidP="005F0D3E">
      <w:pPr>
        <w:spacing w:line="240" w:lineRule="auto"/>
        <w:ind w:left="709" w:right="1134"/>
        <w:jc w:val="both"/>
      </w:pPr>
    </w:p>
    <w:p w:rsidR="003A586A" w:rsidRPr="003A586A" w:rsidRDefault="003A586A" w:rsidP="003A586A">
      <w:pPr>
        <w:spacing w:line="240" w:lineRule="auto"/>
        <w:ind w:left="1134" w:right="1134"/>
        <w:jc w:val="both"/>
        <w:rPr>
          <w:lang w:val="en-US"/>
        </w:rPr>
      </w:pPr>
      <w:r>
        <w:rPr>
          <w:lang w:val="en-US"/>
        </w:rPr>
        <w:t>3</w:t>
      </w:r>
      <w:r w:rsidRPr="003A586A">
        <w:rPr>
          <w:lang w:val="en-US"/>
        </w:rPr>
        <w:t xml:space="preserve">. </w:t>
      </w:r>
      <w:r>
        <w:rPr>
          <w:lang w:val="en-US"/>
        </w:rPr>
        <w:tab/>
      </w:r>
      <w:r w:rsidRPr="003A586A">
        <w:rPr>
          <w:lang w:val="en-US"/>
        </w:rPr>
        <w:t>LDWS is most efficient for “long distance trucks and coaches” travelling on highways and is primarily designed to support the driver during monotone driving conditions in these conditions.</w:t>
      </w:r>
      <w:bookmarkStart w:id="2" w:name="_GoBack"/>
      <w:bookmarkEnd w:id="2"/>
    </w:p>
    <w:p w:rsidR="00B96358" w:rsidRPr="00B96358" w:rsidRDefault="00B96358" w:rsidP="00B96358">
      <w:pPr>
        <w:spacing w:line="240" w:lineRule="auto"/>
        <w:ind w:left="709" w:right="1134"/>
        <w:jc w:val="both"/>
        <w:rPr>
          <w:lang w:val="en-US"/>
        </w:rPr>
      </w:pPr>
    </w:p>
    <w:p w:rsidR="00C46A7F" w:rsidRPr="00061664" w:rsidRDefault="00C46A7F" w:rsidP="00C46A7F">
      <w:pPr>
        <w:pStyle w:val="PlainText"/>
        <w:spacing w:before="240"/>
        <w:ind w:left="1134" w:right="1134"/>
        <w:jc w:val="center"/>
        <w:rPr>
          <w:u w:val="single"/>
        </w:rPr>
      </w:pPr>
      <w:r w:rsidRPr="00061664">
        <w:rPr>
          <w:u w:val="single"/>
        </w:rPr>
        <w:tab/>
      </w:r>
      <w:r w:rsidRPr="00061664">
        <w:rPr>
          <w:u w:val="single"/>
        </w:rPr>
        <w:tab/>
      </w:r>
    </w:p>
    <w:sectPr w:rsidR="00C46A7F" w:rsidRPr="00061664" w:rsidSect="003A586A">
      <w:headerReference w:type="even" r:id="rId9"/>
      <w:headerReference w:type="default" r:id="rId10"/>
      <w:footerReference w:type="even" r:id="rId11"/>
      <w:footerReference w:type="default" r:id="rId12"/>
      <w:headerReference w:type="first" r:id="rId13"/>
      <w:endnotePr>
        <w:numFmt w:val="decimal"/>
      </w:endnotePr>
      <w:pgSz w:w="11907" w:h="16840" w:code="9"/>
      <w:pgMar w:top="1796" w:right="1134" w:bottom="1843" w:left="1134" w:header="709"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8D0" w:rsidRDefault="001C78D0"/>
  </w:endnote>
  <w:endnote w:type="continuationSeparator" w:id="0">
    <w:p w:rsidR="001C78D0" w:rsidRDefault="001C78D0"/>
  </w:endnote>
  <w:endnote w:type="continuationNotice" w:id="1">
    <w:p w:rsidR="001C78D0" w:rsidRDefault="001C78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202" w:rsidRPr="00984F9A" w:rsidRDefault="007B3202" w:rsidP="00984F9A">
    <w:pPr>
      <w:pStyle w:val="Footer"/>
      <w:tabs>
        <w:tab w:val="right" w:pos="9638"/>
      </w:tabs>
      <w:rPr>
        <w:sz w:val="18"/>
      </w:rPr>
    </w:pPr>
    <w:r w:rsidRPr="00984F9A">
      <w:rPr>
        <w:b/>
        <w:sz w:val="18"/>
      </w:rPr>
      <w:fldChar w:fldCharType="begin"/>
    </w:r>
    <w:r w:rsidRPr="00984F9A">
      <w:rPr>
        <w:b/>
        <w:sz w:val="18"/>
      </w:rPr>
      <w:instrText xml:space="preserve"> PAGE  \* MERGEFORMAT </w:instrText>
    </w:r>
    <w:r w:rsidRPr="00984F9A">
      <w:rPr>
        <w:b/>
        <w:sz w:val="18"/>
      </w:rPr>
      <w:fldChar w:fldCharType="separate"/>
    </w:r>
    <w:r w:rsidR="0052538D">
      <w:rPr>
        <w:b/>
        <w:noProof/>
        <w:sz w:val="18"/>
      </w:rPr>
      <w:t>2</w:t>
    </w:r>
    <w:r w:rsidRPr="00984F9A">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202" w:rsidRPr="00984F9A" w:rsidRDefault="007B3202" w:rsidP="00984F9A">
    <w:pPr>
      <w:pStyle w:val="Footer"/>
      <w:tabs>
        <w:tab w:val="right" w:pos="9638"/>
      </w:tabs>
      <w:rPr>
        <w:b/>
        <w:sz w:val="18"/>
      </w:rPr>
    </w:pPr>
    <w:r>
      <w:tab/>
    </w:r>
    <w:r w:rsidRPr="00984F9A">
      <w:rPr>
        <w:b/>
        <w:sz w:val="18"/>
      </w:rPr>
      <w:fldChar w:fldCharType="begin"/>
    </w:r>
    <w:r w:rsidRPr="00984F9A">
      <w:rPr>
        <w:b/>
        <w:sz w:val="18"/>
      </w:rPr>
      <w:instrText xml:space="preserve"> PAGE  \* MERGEFORMAT </w:instrText>
    </w:r>
    <w:r w:rsidRPr="00984F9A">
      <w:rPr>
        <w:b/>
        <w:sz w:val="18"/>
      </w:rPr>
      <w:fldChar w:fldCharType="separate"/>
    </w:r>
    <w:r w:rsidR="003A586A">
      <w:rPr>
        <w:b/>
        <w:noProof/>
        <w:sz w:val="18"/>
      </w:rPr>
      <w:t>2</w:t>
    </w:r>
    <w:r w:rsidRPr="00984F9A">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8D0" w:rsidRPr="000B175B" w:rsidRDefault="001C78D0" w:rsidP="000B175B">
      <w:pPr>
        <w:tabs>
          <w:tab w:val="right" w:pos="2155"/>
        </w:tabs>
        <w:spacing w:after="80"/>
        <w:ind w:left="680"/>
        <w:rPr>
          <w:u w:val="single"/>
        </w:rPr>
      </w:pPr>
      <w:r>
        <w:rPr>
          <w:u w:val="single"/>
        </w:rPr>
        <w:tab/>
      </w:r>
    </w:p>
  </w:footnote>
  <w:footnote w:type="continuationSeparator" w:id="0">
    <w:p w:rsidR="001C78D0" w:rsidRPr="00FC68B7" w:rsidRDefault="001C78D0" w:rsidP="00FC68B7">
      <w:pPr>
        <w:tabs>
          <w:tab w:val="left" w:pos="2155"/>
        </w:tabs>
        <w:spacing w:after="80"/>
        <w:ind w:left="680"/>
        <w:rPr>
          <w:u w:val="single"/>
        </w:rPr>
      </w:pPr>
      <w:r>
        <w:rPr>
          <w:u w:val="single"/>
        </w:rPr>
        <w:tab/>
      </w:r>
    </w:p>
  </w:footnote>
  <w:footnote w:type="continuationNotice" w:id="1">
    <w:p w:rsidR="001C78D0" w:rsidRDefault="001C78D0"/>
  </w:footnote>
  <w:footnote w:id="2">
    <w:p w:rsidR="00B96358" w:rsidRPr="008B6EA7" w:rsidRDefault="00B96358" w:rsidP="00B96358">
      <w:pPr>
        <w:pStyle w:val="FootnoteText"/>
        <w:widowControl w:val="0"/>
        <w:tabs>
          <w:tab w:val="clear" w:pos="1021"/>
          <w:tab w:val="right" w:pos="1020"/>
        </w:tabs>
        <w:rPr>
          <w:lang w:val="fr-CH"/>
        </w:rPr>
      </w:pPr>
      <w:r>
        <w:tab/>
      </w:r>
      <w:r>
        <w:rPr>
          <w:rStyle w:val="FootnoteReference"/>
        </w:rPr>
        <w:footnoteRef/>
      </w:r>
      <w:r>
        <w:tab/>
      </w:r>
      <w:r w:rsidRPr="00184718">
        <w:rPr>
          <w:lang w:val="en-US"/>
        </w:rPr>
        <w:t>As defined in the Consolidated Resolution on the Construction of Vehicles (R.E.3.), document</w:t>
      </w:r>
      <w:r>
        <w:rPr>
          <w:lang w:val="en-US"/>
        </w:rPr>
        <w:t xml:space="preserve"> </w:t>
      </w:r>
      <w:r w:rsidRPr="00184718">
        <w:rPr>
          <w:lang w:val="en-US"/>
        </w:rPr>
        <w:t>ECE/TRANS/WP.29/78/Rev.</w:t>
      </w:r>
      <w:r>
        <w:rPr>
          <w:lang w:val="en-US"/>
        </w:rPr>
        <w:t>3</w:t>
      </w:r>
      <w:r w:rsidRPr="00184718">
        <w:rPr>
          <w:lang w:val="en-US"/>
        </w:rPr>
        <w:t>, para. 2</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202" w:rsidRPr="005007B3" w:rsidRDefault="007B3202">
    <w:pPr>
      <w:pStyle w:val="Header"/>
      <w:rPr>
        <w:color w:val="FF0000"/>
      </w:rPr>
    </w:pPr>
    <w:r>
      <w:t>ECE/TRANS/WP.29/GRRF/2013/</w:t>
    </w:r>
    <w:r w:rsidR="005007B3" w:rsidRPr="005007B3">
      <w:rPr>
        <w:color w:val="FF0000"/>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D" w:rsidRDefault="0052538D" w:rsidP="003A586A">
    <w:pPr>
      <w:pStyle w:val="Header"/>
      <w:pBdr>
        <w:bottom w:val="none" w:sz="0" w:space="0" w:color="auto"/>
      </w:pBd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69" w:type="dxa"/>
      <w:tblLook w:val="0000" w:firstRow="0" w:lastRow="0" w:firstColumn="0" w:lastColumn="0" w:noHBand="0" w:noVBand="0"/>
    </w:tblPr>
    <w:tblGrid>
      <w:gridCol w:w="4550"/>
      <w:gridCol w:w="5119"/>
    </w:tblGrid>
    <w:tr w:rsidR="003A586A" w:rsidRPr="00510AA1" w:rsidTr="00A658B6">
      <w:trPr>
        <w:trHeight w:val="1228"/>
      </w:trPr>
      <w:tc>
        <w:tcPr>
          <w:tcW w:w="4550" w:type="dxa"/>
        </w:tcPr>
        <w:p w:rsidR="003A586A" w:rsidRPr="003E4E9F" w:rsidRDefault="003A586A" w:rsidP="00A658B6">
          <w:pPr>
            <w:ind w:left="120"/>
            <w:rPr>
              <w:sz w:val="24"/>
              <w:szCs w:val="24"/>
            </w:rPr>
          </w:pPr>
          <w:r>
            <w:rPr>
              <w:sz w:val="24"/>
              <w:szCs w:val="24"/>
            </w:rPr>
            <w:t>Submitted</w:t>
          </w:r>
          <w:r w:rsidRPr="003E4E9F">
            <w:rPr>
              <w:sz w:val="24"/>
              <w:szCs w:val="24"/>
            </w:rPr>
            <w:t xml:space="preserve"> by </w:t>
          </w:r>
          <w:r>
            <w:rPr>
              <w:sz w:val="24"/>
              <w:szCs w:val="24"/>
            </w:rPr>
            <w:t>the expert from OICA</w:t>
          </w:r>
        </w:p>
      </w:tc>
      <w:tc>
        <w:tcPr>
          <w:tcW w:w="5119" w:type="dxa"/>
        </w:tcPr>
        <w:p w:rsidR="003A586A" w:rsidRPr="003E4E9F" w:rsidRDefault="003A586A" w:rsidP="00A658B6">
          <w:pPr>
            <w:ind w:left="120"/>
            <w:rPr>
              <w:b/>
              <w:bCs/>
              <w:sz w:val="24"/>
              <w:szCs w:val="24"/>
              <w:lang w:val="en-US"/>
            </w:rPr>
          </w:pPr>
          <w:r w:rsidRPr="003E4E9F">
            <w:rPr>
              <w:sz w:val="24"/>
              <w:szCs w:val="24"/>
              <w:u w:val="single"/>
            </w:rPr>
            <w:t>Informal document</w:t>
          </w:r>
          <w:r w:rsidRPr="003E4E9F">
            <w:rPr>
              <w:sz w:val="24"/>
              <w:szCs w:val="24"/>
            </w:rPr>
            <w:t xml:space="preserve"> </w:t>
          </w:r>
          <w:r w:rsidRPr="003E4E9F">
            <w:rPr>
              <w:b/>
              <w:bCs/>
              <w:sz w:val="24"/>
              <w:szCs w:val="24"/>
              <w:lang w:val="en-US"/>
            </w:rPr>
            <w:t>GR</w:t>
          </w:r>
          <w:r>
            <w:rPr>
              <w:b/>
              <w:bCs/>
              <w:sz w:val="24"/>
              <w:szCs w:val="24"/>
              <w:lang w:val="en-US"/>
            </w:rPr>
            <w:t>RF</w:t>
          </w:r>
          <w:r w:rsidRPr="003E4E9F">
            <w:rPr>
              <w:b/>
              <w:bCs/>
              <w:sz w:val="24"/>
              <w:szCs w:val="24"/>
              <w:lang w:val="en-US"/>
            </w:rPr>
            <w:t>-</w:t>
          </w:r>
          <w:r>
            <w:rPr>
              <w:b/>
              <w:bCs/>
              <w:sz w:val="24"/>
              <w:szCs w:val="24"/>
              <w:lang w:val="en-US"/>
            </w:rPr>
            <w:t>78</w:t>
          </w:r>
          <w:r w:rsidRPr="003E4E9F">
            <w:rPr>
              <w:b/>
              <w:bCs/>
              <w:sz w:val="24"/>
              <w:szCs w:val="24"/>
              <w:lang w:val="en-US"/>
            </w:rPr>
            <w:t>-</w:t>
          </w:r>
          <w:r>
            <w:rPr>
              <w:b/>
              <w:bCs/>
              <w:sz w:val="24"/>
              <w:szCs w:val="24"/>
              <w:lang w:val="en-US"/>
            </w:rPr>
            <w:t>32</w:t>
          </w:r>
        </w:p>
        <w:p w:rsidR="003A586A" w:rsidRPr="003A586A" w:rsidRDefault="003A586A" w:rsidP="00A658B6">
          <w:pPr>
            <w:pStyle w:val="Header"/>
            <w:pBdr>
              <w:bottom w:val="none" w:sz="0" w:space="0" w:color="auto"/>
            </w:pBdr>
            <w:ind w:left="120"/>
            <w:rPr>
              <w:b w:val="0"/>
              <w:bCs/>
              <w:sz w:val="24"/>
              <w:szCs w:val="24"/>
              <w:lang w:val="en-US"/>
            </w:rPr>
          </w:pPr>
          <w:r w:rsidRPr="003A586A">
            <w:rPr>
              <w:b w:val="0"/>
              <w:bCs/>
              <w:sz w:val="24"/>
              <w:szCs w:val="24"/>
              <w:lang w:val="en-US"/>
            </w:rPr>
            <w:t>(78</w:t>
          </w:r>
          <w:r w:rsidRPr="003A586A">
            <w:rPr>
              <w:b w:val="0"/>
              <w:bCs/>
              <w:sz w:val="24"/>
              <w:szCs w:val="24"/>
              <w:vertAlign w:val="superscript"/>
              <w:lang w:val="en-US"/>
            </w:rPr>
            <w:t>th</w:t>
          </w:r>
          <w:r w:rsidRPr="003A586A">
            <w:rPr>
              <w:b w:val="0"/>
              <w:bCs/>
              <w:sz w:val="24"/>
              <w:szCs w:val="24"/>
              <w:lang w:val="en-US"/>
            </w:rPr>
            <w:t xml:space="preserve"> GRRF, 16 – 19 </w:t>
          </w:r>
          <w:r w:rsidRPr="003A586A">
            <w:rPr>
              <w:rFonts w:hint="eastAsia"/>
              <w:b w:val="0"/>
              <w:bCs/>
              <w:sz w:val="24"/>
              <w:szCs w:val="24"/>
              <w:lang w:val="en-US"/>
            </w:rPr>
            <w:t>September</w:t>
          </w:r>
          <w:r w:rsidRPr="003A586A">
            <w:rPr>
              <w:b w:val="0"/>
              <w:bCs/>
              <w:sz w:val="24"/>
              <w:szCs w:val="24"/>
              <w:lang w:val="en-US"/>
            </w:rPr>
            <w:t xml:space="preserve"> 2014,</w:t>
          </w:r>
        </w:p>
        <w:p w:rsidR="003A586A" w:rsidRPr="003A586A" w:rsidRDefault="003A586A" w:rsidP="00A658B6">
          <w:pPr>
            <w:pStyle w:val="Header"/>
            <w:pBdr>
              <w:bottom w:val="none" w:sz="0" w:space="0" w:color="auto"/>
            </w:pBdr>
            <w:ind w:left="120"/>
            <w:rPr>
              <w:b w:val="0"/>
              <w:sz w:val="24"/>
              <w:szCs w:val="24"/>
              <w:lang w:val="sv-SE"/>
            </w:rPr>
          </w:pPr>
          <w:r w:rsidRPr="003A586A">
            <w:rPr>
              <w:b w:val="0"/>
              <w:sz w:val="24"/>
              <w:szCs w:val="24"/>
              <w:lang w:val="en-US"/>
            </w:rPr>
            <w:t xml:space="preserve"> </w:t>
          </w:r>
          <w:r w:rsidRPr="003A586A">
            <w:rPr>
              <w:b w:val="0"/>
              <w:sz w:val="24"/>
              <w:szCs w:val="24"/>
              <w:lang w:val="sv-SE"/>
            </w:rPr>
            <w:t>agenda item 2)</w:t>
          </w:r>
        </w:p>
        <w:p w:rsidR="003A586A" w:rsidRPr="00510AA1" w:rsidRDefault="003A586A" w:rsidP="00A658B6">
          <w:pPr>
            <w:pStyle w:val="Header"/>
            <w:pBdr>
              <w:bottom w:val="none" w:sz="0" w:space="0" w:color="auto"/>
            </w:pBdr>
            <w:ind w:left="120"/>
            <w:rPr>
              <w:b w:val="0"/>
              <w:bCs/>
              <w:lang w:val="en-US"/>
            </w:rPr>
          </w:pPr>
        </w:p>
      </w:tc>
    </w:tr>
  </w:tbl>
  <w:p w:rsidR="007B3202" w:rsidRDefault="007B3202" w:rsidP="003A586A">
    <w:pPr>
      <w:pStyle w:val="Header"/>
      <w:pBdr>
        <w:bottom w:val="none" w:sz="0"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nsid w:val="029B2D45"/>
    <w:multiLevelType w:val="hybridMultilevel"/>
    <w:tmpl w:val="3A24D608"/>
    <w:lvl w:ilvl="0" w:tplc="8C9CA84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0BA0315C"/>
    <w:multiLevelType w:val="hybridMultilevel"/>
    <w:tmpl w:val="7F101970"/>
    <w:lvl w:ilvl="0" w:tplc="4A0890F4">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6250347"/>
    <w:multiLevelType w:val="hybridMultilevel"/>
    <w:tmpl w:val="024C86D2"/>
    <w:lvl w:ilvl="0" w:tplc="F796EC5A">
      <w:start w:val="1"/>
      <w:numFmt w:val="upp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nsid w:val="31555875"/>
    <w:multiLevelType w:val="hybridMultilevel"/>
    <w:tmpl w:val="917A930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8">
    <w:nsid w:val="493B3002"/>
    <w:multiLevelType w:val="hybridMultilevel"/>
    <w:tmpl w:val="383A8884"/>
    <w:lvl w:ilvl="0" w:tplc="CB2A9E5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4CBE51D6"/>
    <w:multiLevelType w:val="hybridMultilevel"/>
    <w:tmpl w:val="383A8884"/>
    <w:lvl w:ilvl="0" w:tplc="CB2A9E5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4EA13537"/>
    <w:multiLevelType w:val="hybridMultilevel"/>
    <w:tmpl w:val="E75EBDAA"/>
    <w:lvl w:ilvl="0" w:tplc="C0925100">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nsid w:val="5B687AA1"/>
    <w:multiLevelType w:val="hybridMultilevel"/>
    <w:tmpl w:val="8A8ED35C"/>
    <w:lvl w:ilvl="0" w:tplc="7924E3C0">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2">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nsid w:val="62035051"/>
    <w:multiLevelType w:val="hybridMultilevel"/>
    <w:tmpl w:val="02BAF31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4">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686239A0"/>
    <w:multiLevelType w:val="hybridMultilevel"/>
    <w:tmpl w:val="383A8884"/>
    <w:lvl w:ilvl="0" w:tplc="CB2A9E5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nsid w:val="6CAE30D7"/>
    <w:multiLevelType w:val="hybridMultilevel"/>
    <w:tmpl w:val="C210562C"/>
    <w:lvl w:ilvl="0" w:tplc="4072BA76">
      <w:start w:val="2"/>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7">
    <w:nsid w:val="727A7381"/>
    <w:multiLevelType w:val="hybridMultilevel"/>
    <w:tmpl w:val="F1D2B7A8"/>
    <w:lvl w:ilvl="0" w:tplc="CFBCEB86">
      <w:start w:val="1"/>
      <w:numFmt w:val="upperRoman"/>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2E7676A"/>
    <w:multiLevelType w:val="hybridMultilevel"/>
    <w:tmpl w:val="62DCF756"/>
    <w:lvl w:ilvl="0" w:tplc="23DC1802">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nsid w:val="75726FBC"/>
    <w:multiLevelType w:val="hybridMultilevel"/>
    <w:tmpl w:val="5CA45728"/>
    <w:lvl w:ilvl="0" w:tplc="BE126E78">
      <w:start w:val="1"/>
      <w:numFmt w:val="upperRoman"/>
      <w:lvlText w:val="%1."/>
      <w:lvlJc w:val="left"/>
      <w:pPr>
        <w:ind w:left="1288" w:hanging="72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763F2F45"/>
    <w:multiLevelType w:val="hybridMultilevel"/>
    <w:tmpl w:val="4560F78E"/>
    <w:lvl w:ilvl="0" w:tplc="1220B5D6">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2">
    <w:nsid w:val="7CD00A2C"/>
    <w:multiLevelType w:val="multilevel"/>
    <w:tmpl w:val="0409001F"/>
    <w:numStyleLink w:val="111111"/>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2"/>
  </w:num>
  <w:num w:numId="12">
    <w:abstractNumId w:val="14"/>
  </w:num>
  <w:num w:numId="13">
    <w:abstractNumId w:val="12"/>
  </w:num>
  <w:num w:numId="14">
    <w:abstractNumId w:val="24"/>
  </w:num>
  <w:num w:numId="15">
    <w:abstractNumId w:val="30"/>
  </w:num>
  <w:num w:numId="16">
    <w:abstractNumId w:val="10"/>
  </w:num>
  <w:num w:numId="17">
    <w:abstractNumId w:val="15"/>
  </w:num>
  <w:num w:numId="18">
    <w:abstractNumId w:val="29"/>
  </w:num>
  <w:num w:numId="19">
    <w:abstractNumId w:val="16"/>
  </w:num>
  <w:num w:numId="20">
    <w:abstractNumId w:val="28"/>
  </w:num>
  <w:num w:numId="21">
    <w:abstractNumId w:val="13"/>
  </w:num>
  <w:num w:numId="22">
    <w:abstractNumId w:val="31"/>
  </w:num>
  <w:num w:numId="23">
    <w:abstractNumId w:val="32"/>
    <w:lvlOverride w:ilvl="0">
      <w:lvl w:ilvl="0">
        <w:start w:val="1"/>
        <w:numFmt w:val="decimal"/>
        <w:lvlText w:val="%1."/>
        <w:lvlJc w:val="left"/>
        <w:pPr>
          <w:tabs>
            <w:tab w:val="num" w:pos="360"/>
          </w:tabs>
          <w:ind w:left="360" w:hanging="360"/>
        </w:pPr>
        <w:rPr>
          <w:b w:val="0"/>
        </w:rPr>
      </w:lvl>
    </w:lvlOverride>
  </w:num>
  <w:num w:numId="24">
    <w:abstractNumId w:val="19"/>
  </w:num>
  <w:num w:numId="25">
    <w:abstractNumId w:val="25"/>
  </w:num>
  <w:num w:numId="26">
    <w:abstractNumId w:val="18"/>
  </w:num>
  <w:num w:numId="27">
    <w:abstractNumId w:val="26"/>
  </w:num>
  <w:num w:numId="28">
    <w:abstractNumId w:val="23"/>
  </w:num>
  <w:num w:numId="29">
    <w:abstractNumId w:val="17"/>
  </w:num>
  <w:num w:numId="30">
    <w:abstractNumId w:val="21"/>
  </w:num>
  <w:num w:numId="31">
    <w:abstractNumId w:val="27"/>
  </w:num>
  <w:num w:numId="32">
    <w:abstractNumId w:val="1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n-TT"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rawingGridHorizontalSpacing w:val="100"/>
  <w:displayHorizontalDrawingGridEvery w:val="0"/>
  <w:displayVerticalDrawingGridEvery w:val="0"/>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F9A"/>
    <w:rsid w:val="00021AB7"/>
    <w:rsid w:val="00031630"/>
    <w:rsid w:val="00045099"/>
    <w:rsid w:val="00046B1F"/>
    <w:rsid w:val="00050F6B"/>
    <w:rsid w:val="00052635"/>
    <w:rsid w:val="00057E97"/>
    <w:rsid w:val="00061664"/>
    <w:rsid w:val="000646F4"/>
    <w:rsid w:val="00072C8C"/>
    <w:rsid w:val="000733B5"/>
    <w:rsid w:val="00081815"/>
    <w:rsid w:val="000931C0"/>
    <w:rsid w:val="000A2008"/>
    <w:rsid w:val="000A720C"/>
    <w:rsid w:val="000B0595"/>
    <w:rsid w:val="000B175B"/>
    <w:rsid w:val="000B2F02"/>
    <w:rsid w:val="000B3A0F"/>
    <w:rsid w:val="000B4EF7"/>
    <w:rsid w:val="000C10A7"/>
    <w:rsid w:val="000C2C03"/>
    <w:rsid w:val="000C2D2E"/>
    <w:rsid w:val="000E0415"/>
    <w:rsid w:val="000E0E04"/>
    <w:rsid w:val="001103AA"/>
    <w:rsid w:val="00115F41"/>
    <w:rsid w:val="0011666B"/>
    <w:rsid w:val="00123449"/>
    <w:rsid w:val="001240D9"/>
    <w:rsid w:val="00127567"/>
    <w:rsid w:val="00136E32"/>
    <w:rsid w:val="00162BB7"/>
    <w:rsid w:val="00165F3A"/>
    <w:rsid w:val="00167C7A"/>
    <w:rsid w:val="00182290"/>
    <w:rsid w:val="0018640E"/>
    <w:rsid w:val="001A3955"/>
    <w:rsid w:val="001B2A62"/>
    <w:rsid w:val="001B4B04"/>
    <w:rsid w:val="001C6663"/>
    <w:rsid w:val="001C7895"/>
    <w:rsid w:val="001C78D0"/>
    <w:rsid w:val="001D0C8C"/>
    <w:rsid w:val="001D1419"/>
    <w:rsid w:val="001D26DF"/>
    <w:rsid w:val="001D395D"/>
    <w:rsid w:val="001D3A03"/>
    <w:rsid w:val="001E7B67"/>
    <w:rsid w:val="001F2E2B"/>
    <w:rsid w:val="00202DA8"/>
    <w:rsid w:val="00205F3D"/>
    <w:rsid w:val="00211E0B"/>
    <w:rsid w:val="00220FB1"/>
    <w:rsid w:val="002406F6"/>
    <w:rsid w:val="0024772E"/>
    <w:rsid w:val="00264A18"/>
    <w:rsid w:val="00267754"/>
    <w:rsid w:val="00267F5F"/>
    <w:rsid w:val="00286B4D"/>
    <w:rsid w:val="002A354B"/>
    <w:rsid w:val="002D17B0"/>
    <w:rsid w:val="002D4643"/>
    <w:rsid w:val="002F175C"/>
    <w:rsid w:val="002F5147"/>
    <w:rsid w:val="002F7DE0"/>
    <w:rsid w:val="00302E18"/>
    <w:rsid w:val="00310C4F"/>
    <w:rsid w:val="00317C2D"/>
    <w:rsid w:val="003229D8"/>
    <w:rsid w:val="00322B0C"/>
    <w:rsid w:val="00342B99"/>
    <w:rsid w:val="00352709"/>
    <w:rsid w:val="0035563F"/>
    <w:rsid w:val="003619B5"/>
    <w:rsid w:val="00361AC3"/>
    <w:rsid w:val="00365763"/>
    <w:rsid w:val="00371178"/>
    <w:rsid w:val="00384991"/>
    <w:rsid w:val="00387FF2"/>
    <w:rsid w:val="00392E47"/>
    <w:rsid w:val="0039404A"/>
    <w:rsid w:val="003A586A"/>
    <w:rsid w:val="003A6810"/>
    <w:rsid w:val="003B1E3B"/>
    <w:rsid w:val="003C203F"/>
    <w:rsid w:val="003C2CC4"/>
    <w:rsid w:val="003C42C8"/>
    <w:rsid w:val="003C534D"/>
    <w:rsid w:val="003D4B23"/>
    <w:rsid w:val="003E130E"/>
    <w:rsid w:val="00410C89"/>
    <w:rsid w:val="00422E03"/>
    <w:rsid w:val="00426B9B"/>
    <w:rsid w:val="004325CB"/>
    <w:rsid w:val="004356BB"/>
    <w:rsid w:val="00442A83"/>
    <w:rsid w:val="00446C83"/>
    <w:rsid w:val="0045495B"/>
    <w:rsid w:val="004561E5"/>
    <w:rsid w:val="00480127"/>
    <w:rsid w:val="0048397A"/>
    <w:rsid w:val="00483DBB"/>
    <w:rsid w:val="00485CBB"/>
    <w:rsid w:val="004866B7"/>
    <w:rsid w:val="004921FE"/>
    <w:rsid w:val="004A2683"/>
    <w:rsid w:val="004C2461"/>
    <w:rsid w:val="004C7462"/>
    <w:rsid w:val="004C78C4"/>
    <w:rsid w:val="004E31DA"/>
    <w:rsid w:val="004E77B2"/>
    <w:rsid w:val="005007B3"/>
    <w:rsid w:val="00504B2D"/>
    <w:rsid w:val="0052136D"/>
    <w:rsid w:val="0052538D"/>
    <w:rsid w:val="0052750A"/>
    <w:rsid w:val="0052775E"/>
    <w:rsid w:val="005420F2"/>
    <w:rsid w:val="00543F78"/>
    <w:rsid w:val="0056209A"/>
    <w:rsid w:val="005628B6"/>
    <w:rsid w:val="00570793"/>
    <w:rsid w:val="005761B1"/>
    <w:rsid w:val="005941EC"/>
    <w:rsid w:val="0059724D"/>
    <w:rsid w:val="005B320C"/>
    <w:rsid w:val="005B3DB3"/>
    <w:rsid w:val="005B4E13"/>
    <w:rsid w:val="005C342F"/>
    <w:rsid w:val="005C69A5"/>
    <w:rsid w:val="005C7D1E"/>
    <w:rsid w:val="005F0642"/>
    <w:rsid w:val="005F0D3E"/>
    <w:rsid w:val="005F7B75"/>
    <w:rsid w:val="006001EE"/>
    <w:rsid w:val="00605042"/>
    <w:rsid w:val="00611FC4"/>
    <w:rsid w:val="0061448A"/>
    <w:rsid w:val="006176FB"/>
    <w:rsid w:val="00640B26"/>
    <w:rsid w:val="00652D0A"/>
    <w:rsid w:val="00662BB6"/>
    <w:rsid w:val="00671B51"/>
    <w:rsid w:val="0067362F"/>
    <w:rsid w:val="00676606"/>
    <w:rsid w:val="00684C21"/>
    <w:rsid w:val="006A2530"/>
    <w:rsid w:val="006C3589"/>
    <w:rsid w:val="006D0EEA"/>
    <w:rsid w:val="006D37AF"/>
    <w:rsid w:val="006D51D0"/>
    <w:rsid w:val="006D5FB9"/>
    <w:rsid w:val="006D658E"/>
    <w:rsid w:val="006E564B"/>
    <w:rsid w:val="006E7191"/>
    <w:rsid w:val="006E7F67"/>
    <w:rsid w:val="006F52E5"/>
    <w:rsid w:val="00703577"/>
    <w:rsid w:val="00705894"/>
    <w:rsid w:val="00714CCB"/>
    <w:rsid w:val="0072632A"/>
    <w:rsid w:val="00727AED"/>
    <w:rsid w:val="007327D5"/>
    <w:rsid w:val="0074366D"/>
    <w:rsid w:val="0075633F"/>
    <w:rsid w:val="007629C8"/>
    <w:rsid w:val="0076443B"/>
    <w:rsid w:val="0077047D"/>
    <w:rsid w:val="007813CB"/>
    <w:rsid w:val="007B3202"/>
    <w:rsid w:val="007B6BA5"/>
    <w:rsid w:val="007C3390"/>
    <w:rsid w:val="007C4F4B"/>
    <w:rsid w:val="007E01E9"/>
    <w:rsid w:val="007E63F3"/>
    <w:rsid w:val="007F6611"/>
    <w:rsid w:val="00811920"/>
    <w:rsid w:val="00815AD0"/>
    <w:rsid w:val="00815EDB"/>
    <w:rsid w:val="00822CB1"/>
    <w:rsid w:val="00823D4A"/>
    <w:rsid w:val="008242D7"/>
    <w:rsid w:val="008257B1"/>
    <w:rsid w:val="00832334"/>
    <w:rsid w:val="00834187"/>
    <w:rsid w:val="00843191"/>
    <w:rsid w:val="00843767"/>
    <w:rsid w:val="00855DFD"/>
    <w:rsid w:val="008614BA"/>
    <w:rsid w:val="008679D9"/>
    <w:rsid w:val="00880EC3"/>
    <w:rsid w:val="00883223"/>
    <w:rsid w:val="008878DE"/>
    <w:rsid w:val="008979B1"/>
    <w:rsid w:val="008A1ED5"/>
    <w:rsid w:val="008A6B25"/>
    <w:rsid w:val="008A6C4F"/>
    <w:rsid w:val="008B2335"/>
    <w:rsid w:val="008B2E36"/>
    <w:rsid w:val="008D0E8A"/>
    <w:rsid w:val="008E0678"/>
    <w:rsid w:val="008F31D2"/>
    <w:rsid w:val="00900055"/>
    <w:rsid w:val="00915EF6"/>
    <w:rsid w:val="009223CA"/>
    <w:rsid w:val="00930AB4"/>
    <w:rsid w:val="0093650F"/>
    <w:rsid w:val="00940F93"/>
    <w:rsid w:val="009448C3"/>
    <w:rsid w:val="009760F3"/>
    <w:rsid w:val="00976CFB"/>
    <w:rsid w:val="00984F9A"/>
    <w:rsid w:val="009A0830"/>
    <w:rsid w:val="009A0E8D"/>
    <w:rsid w:val="009B26E7"/>
    <w:rsid w:val="009B64BB"/>
    <w:rsid w:val="009D6E98"/>
    <w:rsid w:val="00A00697"/>
    <w:rsid w:val="00A00A3F"/>
    <w:rsid w:val="00A01489"/>
    <w:rsid w:val="00A3026E"/>
    <w:rsid w:val="00A338F1"/>
    <w:rsid w:val="00A35BE0"/>
    <w:rsid w:val="00A6129C"/>
    <w:rsid w:val="00A6231D"/>
    <w:rsid w:val="00A728F8"/>
    <w:rsid w:val="00A72F22"/>
    <w:rsid w:val="00A7360F"/>
    <w:rsid w:val="00A748A6"/>
    <w:rsid w:val="00A769F4"/>
    <w:rsid w:val="00A776B4"/>
    <w:rsid w:val="00A86129"/>
    <w:rsid w:val="00A94361"/>
    <w:rsid w:val="00AA07F8"/>
    <w:rsid w:val="00AA293C"/>
    <w:rsid w:val="00AA3423"/>
    <w:rsid w:val="00AA4989"/>
    <w:rsid w:val="00AB08AE"/>
    <w:rsid w:val="00AC6CDC"/>
    <w:rsid w:val="00B23617"/>
    <w:rsid w:val="00B2380D"/>
    <w:rsid w:val="00B26779"/>
    <w:rsid w:val="00B26A71"/>
    <w:rsid w:val="00B26EF9"/>
    <w:rsid w:val="00B27663"/>
    <w:rsid w:val="00B30179"/>
    <w:rsid w:val="00B37EB8"/>
    <w:rsid w:val="00B4164F"/>
    <w:rsid w:val="00B421C1"/>
    <w:rsid w:val="00B53C21"/>
    <w:rsid w:val="00B55C71"/>
    <w:rsid w:val="00B56E4A"/>
    <w:rsid w:val="00B56E9C"/>
    <w:rsid w:val="00B63E8F"/>
    <w:rsid w:val="00B64B1F"/>
    <w:rsid w:val="00B6553F"/>
    <w:rsid w:val="00B748AA"/>
    <w:rsid w:val="00B77D05"/>
    <w:rsid w:val="00B81206"/>
    <w:rsid w:val="00B81E12"/>
    <w:rsid w:val="00B868B3"/>
    <w:rsid w:val="00B92AC5"/>
    <w:rsid w:val="00B96358"/>
    <w:rsid w:val="00BA2F02"/>
    <w:rsid w:val="00BA4A8C"/>
    <w:rsid w:val="00BB66FB"/>
    <w:rsid w:val="00BB77C1"/>
    <w:rsid w:val="00BC19FE"/>
    <w:rsid w:val="00BC3FA0"/>
    <w:rsid w:val="00BC74E9"/>
    <w:rsid w:val="00BD53CE"/>
    <w:rsid w:val="00BD7697"/>
    <w:rsid w:val="00BF30B3"/>
    <w:rsid w:val="00BF68A8"/>
    <w:rsid w:val="00C07097"/>
    <w:rsid w:val="00C07F4F"/>
    <w:rsid w:val="00C11A03"/>
    <w:rsid w:val="00C136FC"/>
    <w:rsid w:val="00C2244E"/>
    <w:rsid w:val="00C22C0C"/>
    <w:rsid w:val="00C4527F"/>
    <w:rsid w:val="00C463DD"/>
    <w:rsid w:val="00C46A7F"/>
    <w:rsid w:val="00C4724C"/>
    <w:rsid w:val="00C5656F"/>
    <w:rsid w:val="00C6212B"/>
    <w:rsid w:val="00C629A0"/>
    <w:rsid w:val="00C64629"/>
    <w:rsid w:val="00C745C3"/>
    <w:rsid w:val="00C96DF2"/>
    <w:rsid w:val="00CB2B64"/>
    <w:rsid w:val="00CB3E03"/>
    <w:rsid w:val="00CD4AA6"/>
    <w:rsid w:val="00CE4A8F"/>
    <w:rsid w:val="00D03D95"/>
    <w:rsid w:val="00D13312"/>
    <w:rsid w:val="00D2031B"/>
    <w:rsid w:val="00D248B6"/>
    <w:rsid w:val="00D25FE2"/>
    <w:rsid w:val="00D26E07"/>
    <w:rsid w:val="00D27597"/>
    <w:rsid w:val="00D40AB3"/>
    <w:rsid w:val="00D43252"/>
    <w:rsid w:val="00D47502"/>
    <w:rsid w:val="00D47EEA"/>
    <w:rsid w:val="00D60E5C"/>
    <w:rsid w:val="00D773DF"/>
    <w:rsid w:val="00D95303"/>
    <w:rsid w:val="00D957B0"/>
    <w:rsid w:val="00D978C6"/>
    <w:rsid w:val="00DA3C1C"/>
    <w:rsid w:val="00DC6D39"/>
    <w:rsid w:val="00DD30B3"/>
    <w:rsid w:val="00DD3DD6"/>
    <w:rsid w:val="00DE710F"/>
    <w:rsid w:val="00E043AB"/>
    <w:rsid w:val="00E046DF"/>
    <w:rsid w:val="00E22B0C"/>
    <w:rsid w:val="00E27346"/>
    <w:rsid w:val="00E40A45"/>
    <w:rsid w:val="00E41B14"/>
    <w:rsid w:val="00E54E51"/>
    <w:rsid w:val="00E560CA"/>
    <w:rsid w:val="00E71BC8"/>
    <w:rsid w:val="00E7260F"/>
    <w:rsid w:val="00E73F5D"/>
    <w:rsid w:val="00E77E4E"/>
    <w:rsid w:val="00E83714"/>
    <w:rsid w:val="00E96630"/>
    <w:rsid w:val="00EA2A77"/>
    <w:rsid w:val="00EA7ACE"/>
    <w:rsid w:val="00ED7A2A"/>
    <w:rsid w:val="00EE647C"/>
    <w:rsid w:val="00EF1D7F"/>
    <w:rsid w:val="00F070A5"/>
    <w:rsid w:val="00F31E5F"/>
    <w:rsid w:val="00F34305"/>
    <w:rsid w:val="00F53B7E"/>
    <w:rsid w:val="00F6100A"/>
    <w:rsid w:val="00F93781"/>
    <w:rsid w:val="00FA2121"/>
    <w:rsid w:val="00FB613B"/>
    <w:rsid w:val="00FC0A45"/>
    <w:rsid w:val="00FC68B7"/>
    <w:rsid w:val="00FD0A74"/>
    <w:rsid w:val="00FD3F98"/>
    <w:rsid w:val="00FD53B4"/>
    <w:rsid w:val="00FE106A"/>
    <w:rsid w:val="00FE7450"/>
    <w:rsid w:val="00FE7961"/>
    <w:rsid w:val="00FF145D"/>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69A5"/>
    <w:pPr>
      <w:suppressAutoHyphens/>
      <w:spacing w:line="240" w:lineRule="atLeast"/>
    </w:pPr>
    <w:rPr>
      <w:lang w:val="en-GB"/>
    </w:rPr>
  </w:style>
  <w:style w:type="paragraph" w:styleId="Heading1">
    <w:name w:val="heading 1"/>
    <w:aliases w:val="Table_G"/>
    <w:basedOn w:val="SingleTxtG"/>
    <w:next w:val="SingleTxtG"/>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link w:val="PlainTextChar"/>
    <w:uiPriority w:val="99"/>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BVI fnr, BVI fnr,Footnote symbol,Footnote,Footnote Reference Superscript,SUPERS,-E Fußnotenzeichen"/>
    <w:rsid w:val="000646F4"/>
    <w:rPr>
      <w:rFonts w:ascii="Times New Roman" w:hAnsi="Times New Roman"/>
      <w:sz w:val="18"/>
      <w:vertAlign w:val="superscript"/>
    </w:rPr>
  </w:style>
  <w:style w:type="paragraph" w:styleId="FootnoteText">
    <w:name w:val="footnote text"/>
    <w:aliases w:val="5_G,PP,Footnote Text Char"/>
    <w:basedOn w:val="Normal"/>
    <w:link w:val="FootnoteTextChar1"/>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leGrid1">
    <w:name w:val="Table Grid 1"/>
    <w:basedOn w:val="Table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8A6C4F"/>
    <w:pPr>
      <w:suppressAutoHyphens/>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character" w:customStyle="1" w:styleId="PlainTextChar">
    <w:name w:val="Plain Text Char"/>
    <w:link w:val="PlainText"/>
    <w:uiPriority w:val="99"/>
    <w:semiHidden/>
    <w:rsid w:val="00B26779"/>
    <w:rPr>
      <w:rFonts w:cs="Courier New"/>
      <w:lang w:val="en-GB"/>
    </w:rPr>
  </w:style>
  <w:style w:type="character" w:customStyle="1" w:styleId="FootnoteTextChar1">
    <w:name w:val="Footnote Text Char1"/>
    <w:aliases w:val="5_G Char,PP Char,Footnote Text Char Char"/>
    <w:link w:val="FootnoteText"/>
    <w:rsid w:val="00B26779"/>
    <w:rPr>
      <w:sz w:val="18"/>
      <w:lang w:val="en-GB"/>
    </w:rPr>
  </w:style>
  <w:style w:type="paragraph" w:styleId="BalloonText">
    <w:name w:val="Balloon Text"/>
    <w:basedOn w:val="Normal"/>
    <w:link w:val="BalloonTextChar"/>
    <w:rsid w:val="00127567"/>
    <w:pPr>
      <w:spacing w:line="240" w:lineRule="auto"/>
    </w:pPr>
    <w:rPr>
      <w:rFonts w:ascii="Tahoma" w:hAnsi="Tahoma" w:cs="Tahoma"/>
      <w:sz w:val="16"/>
      <w:szCs w:val="16"/>
    </w:rPr>
  </w:style>
  <w:style w:type="character" w:customStyle="1" w:styleId="BalloonTextChar">
    <w:name w:val="Balloon Text Char"/>
    <w:link w:val="BalloonText"/>
    <w:rsid w:val="00127567"/>
    <w:rPr>
      <w:rFonts w:ascii="Tahoma" w:hAnsi="Tahoma" w:cs="Tahoma"/>
      <w:sz w:val="16"/>
      <w:szCs w:val="16"/>
      <w:lang w:eastAsia="en-US"/>
    </w:rPr>
  </w:style>
  <w:style w:type="character" w:customStyle="1" w:styleId="HChGChar">
    <w:name w:val="_ H _Ch_G Char"/>
    <w:link w:val="HChG"/>
    <w:rsid w:val="00D27597"/>
    <w:rPr>
      <w:b/>
      <w:sz w:val="28"/>
      <w:lang w:val="en-GB"/>
    </w:rPr>
  </w:style>
  <w:style w:type="paragraph" w:styleId="ListParagraph">
    <w:name w:val="List Paragraph"/>
    <w:basedOn w:val="Normal"/>
    <w:uiPriority w:val="34"/>
    <w:qFormat/>
    <w:rsid w:val="00BC19FE"/>
    <w:pPr>
      <w:ind w:left="720"/>
      <w:contextualSpacing/>
    </w:pPr>
  </w:style>
  <w:style w:type="paragraph" w:styleId="CommentSubject">
    <w:name w:val="annotation subject"/>
    <w:basedOn w:val="CommentText"/>
    <w:next w:val="CommentText"/>
    <w:link w:val="CommentSubjectChar"/>
    <w:rsid w:val="00B96358"/>
    <w:pPr>
      <w:spacing w:line="240" w:lineRule="auto"/>
    </w:pPr>
    <w:rPr>
      <w:b/>
      <w:bCs/>
    </w:rPr>
  </w:style>
  <w:style w:type="character" w:customStyle="1" w:styleId="CommentTextChar">
    <w:name w:val="Comment Text Char"/>
    <w:basedOn w:val="DefaultParagraphFont"/>
    <w:link w:val="CommentText"/>
    <w:semiHidden/>
    <w:rsid w:val="00B96358"/>
    <w:rPr>
      <w:lang w:val="en-GB"/>
    </w:rPr>
  </w:style>
  <w:style w:type="character" w:customStyle="1" w:styleId="CommentSubjectChar">
    <w:name w:val="Comment Subject Char"/>
    <w:basedOn w:val="CommentTextChar"/>
    <w:link w:val="CommentSubject"/>
    <w:rsid w:val="00B96358"/>
    <w:rPr>
      <w:b/>
      <w:bCs/>
      <w:lang w:val="en-GB"/>
    </w:rPr>
  </w:style>
  <w:style w:type="character" w:customStyle="1" w:styleId="HeaderChar">
    <w:name w:val="Header Char"/>
    <w:aliases w:val="6_G Char"/>
    <w:basedOn w:val="DefaultParagraphFont"/>
    <w:link w:val="Header"/>
    <w:rsid w:val="003A586A"/>
    <w:rPr>
      <w:b/>
      <w:sz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69A5"/>
    <w:pPr>
      <w:suppressAutoHyphens/>
      <w:spacing w:line="240" w:lineRule="atLeast"/>
    </w:pPr>
    <w:rPr>
      <w:lang w:val="en-GB"/>
    </w:rPr>
  </w:style>
  <w:style w:type="paragraph" w:styleId="Heading1">
    <w:name w:val="heading 1"/>
    <w:aliases w:val="Table_G"/>
    <w:basedOn w:val="SingleTxtG"/>
    <w:next w:val="SingleTxtG"/>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link w:val="PlainTextChar"/>
    <w:uiPriority w:val="99"/>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BVI fnr, BVI fnr,Footnote symbol,Footnote,Footnote Reference Superscript,SUPERS,-E Fußnotenzeichen"/>
    <w:rsid w:val="000646F4"/>
    <w:rPr>
      <w:rFonts w:ascii="Times New Roman" w:hAnsi="Times New Roman"/>
      <w:sz w:val="18"/>
      <w:vertAlign w:val="superscript"/>
    </w:rPr>
  </w:style>
  <w:style w:type="paragraph" w:styleId="FootnoteText">
    <w:name w:val="footnote text"/>
    <w:aliases w:val="5_G,PP,Footnote Text Char"/>
    <w:basedOn w:val="Normal"/>
    <w:link w:val="FootnoteTextChar1"/>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leGrid1">
    <w:name w:val="Table Grid 1"/>
    <w:basedOn w:val="Table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8A6C4F"/>
    <w:pPr>
      <w:suppressAutoHyphens/>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character" w:customStyle="1" w:styleId="PlainTextChar">
    <w:name w:val="Plain Text Char"/>
    <w:link w:val="PlainText"/>
    <w:uiPriority w:val="99"/>
    <w:semiHidden/>
    <w:rsid w:val="00B26779"/>
    <w:rPr>
      <w:rFonts w:cs="Courier New"/>
      <w:lang w:val="en-GB"/>
    </w:rPr>
  </w:style>
  <w:style w:type="character" w:customStyle="1" w:styleId="FootnoteTextChar1">
    <w:name w:val="Footnote Text Char1"/>
    <w:aliases w:val="5_G Char,PP Char,Footnote Text Char Char"/>
    <w:link w:val="FootnoteText"/>
    <w:rsid w:val="00B26779"/>
    <w:rPr>
      <w:sz w:val="18"/>
      <w:lang w:val="en-GB"/>
    </w:rPr>
  </w:style>
  <w:style w:type="paragraph" w:styleId="BalloonText">
    <w:name w:val="Balloon Text"/>
    <w:basedOn w:val="Normal"/>
    <w:link w:val="BalloonTextChar"/>
    <w:rsid w:val="00127567"/>
    <w:pPr>
      <w:spacing w:line="240" w:lineRule="auto"/>
    </w:pPr>
    <w:rPr>
      <w:rFonts w:ascii="Tahoma" w:hAnsi="Tahoma" w:cs="Tahoma"/>
      <w:sz w:val="16"/>
      <w:szCs w:val="16"/>
    </w:rPr>
  </w:style>
  <w:style w:type="character" w:customStyle="1" w:styleId="BalloonTextChar">
    <w:name w:val="Balloon Text Char"/>
    <w:link w:val="BalloonText"/>
    <w:rsid w:val="00127567"/>
    <w:rPr>
      <w:rFonts w:ascii="Tahoma" w:hAnsi="Tahoma" w:cs="Tahoma"/>
      <w:sz w:val="16"/>
      <w:szCs w:val="16"/>
      <w:lang w:eastAsia="en-US"/>
    </w:rPr>
  </w:style>
  <w:style w:type="character" w:customStyle="1" w:styleId="HChGChar">
    <w:name w:val="_ H _Ch_G Char"/>
    <w:link w:val="HChG"/>
    <w:rsid w:val="00D27597"/>
    <w:rPr>
      <w:b/>
      <w:sz w:val="28"/>
      <w:lang w:val="en-GB"/>
    </w:rPr>
  </w:style>
  <w:style w:type="paragraph" w:styleId="ListParagraph">
    <w:name w:val="List Paragraph"/>
    <w:basedOn w:val="Normal"/>
    <w:uiPriority w:val="34"/>
    <w:qFormat/>
    <w:rsid w:val="00BC19FE"/>
    <w:pPr>
      <w:ind w:left="720"/>
      <w:contextualSpacing/>
    </w:pPr>
  </w:style>
  <w:style w:type="paragraph" w:styleId="CommentSubject">
    <w:name w:val="annotation subject"/>
    <w:basedOn w:val="CommentText"/>
    <w:next w:val="CommentText"/>
    <w:link w:val="CommentSubjectChar"/>
    <w:rsid w:val="00B96358"/>
    <w:pPr>
      <w:spacing w:line="240" w:lineRule="auto"/>
    </w:pPr>
    <w:rPr>
      <w:b/>
      <w:bCs/>
    </w:rPr>
  </w:style>
  <w:style w:type="character" w:customStyle="1" w:styleId="CommentTextChar">
    <w:name w:val="Comment Text Char"/>
    <w:basedOn w:val="DefaultParagraphFont"/>
    <w:link w:val="CommentText"/>
    <w:semiHidden/>
    <w:rsid w:val="00B96358"/>
    <w:rPr>
      <w:lang w:val="en-GB"/>
    </w:rPr>
  </w:style>
  <w:style w:type="character" w:customStyle="1" w:styleId="CommentSubjectChar">
    <w:name w:val="Comment Subject Char"/>
    <w:basedOn w:val="CommentTextChar"/>
    <w:link w:val="CommentSubject"/>
    <w:rsid w:val="00B96358"/>
    <w:rPr>
      <w:b/>
      <w:bCs/>
      <w:lang w:val="en-GB"/>
    </w:rPr>
  </w:style>
  <w:style w:type="character" w:customStyle="1" w:styleId="HeaderChar">
    <w:name w:val="Header Char"/>
    <w:aliases w:val="6_G Char"/>
    <w:basedOn w:val="DefaultParagraphFont"/>
    <w:link w:val="Header"/>
    <w:rsid w:val="003A586A"/>
    <w:rPr>
      <w:b/>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444030">
      <w:bodyDiv w:val="1"/>
      <w:marLeft w:val="0"/>
      <w:marRight w:val="0"/>
      <w:marTop w:val="0"/>
      <w:marBottom w:val="0"/>
      <w:divBdr>
        <w:top w:val="none" w:sz="0" w:space="0" w:color="auto"/>
        <w:left w:val="none" w:sz="0" w:space="0" w:color="auto"/>
        <w:bottom w:val="none" w:sz="0" w:space="0" w:color="auto"/>
        <w:right w:val="none" w:sz="0" w:space="0" w:color="auto"/>
      </w:divBdr>
    </w:div>
    <w:div w:id="1449667132">
      <w:bodyDiv w:val="1"/>
      <w:marLeft w:val="0"/>
      <w:marRight w:val="0"/>
      <w:marTop w:val="0"/>
      <w:marBottom w:val="0"/>
      <w:divBdr>
        <w:top w:val="none" w:sz="0" w:space="0" w:color="auto"/>
        <w:left w:val="none" w:sz="0" w:space="0" w:color="auto"/>
        <w:bottom w:val="none" w:sz="0" w:space="0" w:color="auto"/>
        <w:right w:val="none" w:sz="0" w:space="0" w:color="auto"/>
      </w:divBdr>
    </w:div>
    <w:div w:id="148373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ramm\AppData\Roaming\Microsoft\Templates\TRANS\TRANS_WP29_2009_E.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17EA461D-6B82-47D9-A2F1-D67B1B861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TRANS_WP29_2009_E</Template>
  <TotalTime>1</TotalTime>
  <Pages>2</Pages>
  <Words>627</Words>
  <Characters>3574</Characters>
  <Application>Microsoft Office Word</Application>
  <DocSecurity>0</DocSecurity>
  <Lines>29</Lines>
  <Paragraphs>8</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ECE-ISU</Company>
  <LinksUpToDate>false</LinksUpToDate>
  <CharactersWithSpaces>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GRRF; hans.hesse@man.eu</dc:creator>
  <cp:lastModifiedBy>Armengol</cp:lastModifiedBy>
  <cp:revision>2</cp:revision>
  <cp:lastPrinted>2014-05-23T06:58:00Z</cp:lastPrinted>
  <dcterms:created xsi:type="dcterms:W3CDTF">2014-09-15T12:22:00Z</dcterms:created>
  <dcterms:modified xsi:type="dcterms:W3CDTF">2014-09-15T12:22:00Z</dcterms:modified>
</cp:coreProperties>
</file>