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0E4463" w:rsidTr="009F0F06">
        <w:trPr>
          <w:trHeight w:val="851"/>
        </w:trPr>
        <w:tc>
          <w:tcPr>
            <w:tcW w:w="1259" w:type="dxa"/>
            <w:tcBorders>
              <w:top w:val="nil"/>
              <w:left w:val="nil"/>
              <w:bottom w:val="single" w:sz="4" w:space="0" w:color="auto"/>
              <w:right w:val="nil"/>
            </w:tcBorders>
          </w:tcPr>
          <w:p w:rsidR="00446DE4" w:rsidRPr="000E4463"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0E4463" w:rsidRDefault="00B3317B" w:rsidP="00F54674">
            <w:pPr>
              <w:spacing w:after="80" w:line="340" w:lineRule="exact"/>
              <w:rPr>
                <w:sz w:val="28"/>
                <w:szCs w:val="28"/>
              </w:rPr>
            </w:pPr>
            <w:r w:rsidRPr="000E4463">
              <w:rPr>
                <w:sz w:val="28"/>
                <w:szCs w:val="28"/>
              </w:rPr>
              <w:t>United Nations</w:t>
            </w:r>
          </w:p>
        </w:tc>
        <w:tc>
          <w:tcPr>
            <w:tcW w:w="6144" w:type="dxa"/>
            <w:gridSpan w:val="2"/>
            <w:tcBorders>
              <w:top w:val="nil"/>
              <w:left w:val="nil"/>
              <w:bottom w:val="single" w:sz="4" w:space="0" w:color="auto"/>
              <w:right w:val="nil"/>
            </w:tcBorders>
            <w:vAlign w:val="bottom"/>
          </w:tcPr>
          <w:p w:rsidR="00446DE4" w:rsidRPr="000E4463" w:rsidRDefault="00EC578D" w:rsidP="00EC578D">
            <w:pPr>
              <w:jc w:val="right"/>
            </w:pPr>
            <w:r w:rsidRPr="000E4463">
              <w:rPr>
                <w:sz w:val="40"/>
              </w:rPr>
              <w:t>ST</w:t>
            </w:r>
            <w:r w:rsidRPr="000E4463">
              <w:t>/SG/AC.10/C.3/10</w:t>
            </w:r>
            <w:r w:rsidR="007844A4">
              <w:t>6</w:t>
            </w:r>
            <w:r w:rsidR="0057307B">
              <w:t>/</w:t>
            </w:r>
            <w:r w:rsidRPr="000E4463">
              <w:t>Add.1</w:t>
            </w:r>
          </w:p>
        </w:tc>
      </w:tr>
      <w:tr w:rsidR="00CF7123" w:rsidRPr="000E4463" w:rsidTr="009F0F06">
        <w:trPr>
          <w:trHeight w:val="2835"/>
        </w:trPr>
        <w:tc>
          <w:tcPr>
            <w:tcW w:w="1259" w:type="dxa"/>
            <w:tcBorders>
              <w:top w:val="single" w:sz="4" w:space="0" w:color="auto"/>
              <w:left w:val="nil"/>
              <w:bottom w:val="single" w:sz="12" w:space="0" w:color="auto"/>
              <w:right w:val="nil"/>
            </w:tcBorders>
          </w:tcPr>
          <w:p w:rsidR="00CF7123" w:rsidRPr="000E4463" w:rsidRDefault="00CF7123" w:rsidP="00CF7123">
            <w:pPr>
              <w:spacing w:before="120"/>
              <w:jc w:val="center"/>
            </w:pPr>
            <w:r w:rsidRPr="000E4463">
              <w:rPr>
                <w:noProof/>
                <w:lang w:eastAsia="en-GB"/>
              </w:rPr>
              <w:drawing>
                <wp:inline distT="0" distB="0" distL="0" distR="0" wp14:anchorId="3D8B56D1" wp14:editId="258E5756">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F7123" w:rsidRPr="000E4463" w:rsidRDefault="00CF7123" w:rsidP="00CF7123">
            <w:pPr>
              <w:spacing w:before="120" w:line="420" w:lineRule="exact"/>
              <w:rPr>
                <w:b/>
                <w:sz w:val="40"/>
                <w:szCs w:val="40"/>
              </w:rPr>
            </w:pPr>
            <w:r w:rsidRPr="000E4463">
              <w:rPr>
                <w:b/>
                <w:sz w:val="40"/>
                <w:szCs w:val="40"/>
              </w:rPr>
              <w:t>Secretariat</w:t>
            </w:r>
          </w:p>
        </w:tc>
        <w:tc>
          <w:tcPr>
            <w:tcW w:w="2930" w:type="dxa"/>
            <w:tcBorders>
              <w:top w:val="single" w:sz="4" w:space="0" w:color="auto"/>
              <w:left w:val="nil"/>
              <w:bottom w:val="single" w:sz="12" w:space="0" w:color="auto"/>
              <w:right w:val="nil"/>
            </w:tcBorders>
          </w:tcPr>
          <w:p w:rsidR="00CF7123" w:rsidRPr="000E4463" w:rsidRDefault="00CF7123" w:rsidP="00CF7123">
            <w:pPr>
              <w:spacing w:before="240" w:line="240" w:lineRule="exact"/>
            </w:pPr>
            <w:r w:rsidRPr="000E4463">
              <w:t>Distr.: General</w:t>
            </w:r>
          </w:p>
          <w:p w:rsidR="00CF7123" w:rsidRPr="000E4463" w:rsidRDefault="007405ED" w:rsidP="00CF7123">
            <w:pPr>
              <w:spacing w:after="120" w:line="240" w:lineRule="exact"/>
            </w:pPr>
            <w:r>
              <w:t>30</w:t>
            </w:r>
            <w:r w:rsidR="00CF7123" w:rsidRPr="000E4463">
              <w:t xml:space="preserve"> July 201</w:t>
            </w:r>
            <w:r w:rsidR="00CF7123">
              <w:t>8</w:t>
            </w:r>
          </w:p>
          <w:p w:rsidR="00CF7123" w:rsidRPr="000E4463" w:rsidRDefault="00CF7123" w:rsidP="00CF7123">
            <w:pPr>
              <w:spacing w:before="120" w:after="120" w:line="240" w:lineRule="exact"/>
            </w:pPr>
            <w:r w:rsidRPr="000E4463">
              <w:t>English</w:t>
            </w:r>
            <w:r>
              <w:br/>
            </w:r>
            <w:r w:rsidRPr="000E4463">
              <w:t>Original: English and French</w:t>
            </w:r>
          </w:p>
        </w:tc>
      </w:tr>
    </w:tbl>
    <w:p w:rsidR="00EC578D" w:rsidRPr="000E4463" w:rsidRDefault="00EC578D" w:rsidP="00EC578D">
      <w:pPr>
        <w:spacing w:before="120"/>
        <w:rPr>
          <w:b/>
          <w:sz w:val="24"/>
          <w:szCs w:val="24"/>
        </w:rPr>
      </w:pPr>
      <w:r w:rsidRPr="000E4463">
        <w:rPr>
          <w:b/>
          <w:sz w:val="24"/>
          <w:szCs w:val="24"/>
        </w:rPr>
        <w:t>Committee of Experts on the Transport of Dangerous Goods</w:t>
      </w:r>
      <w:r w:rsidRPr="000E4463">
        <w:rPr>
          <w:b/>
          <w:sz w:val="24"/>
          <w:szCs w:val="24"/>
        </w:rPr>
        <w:br/>
        <w:t>and on the Globally Harmonized System of Classification</w:t>
      </w:r>
      <w:r w:rsidRPr="000E4463">
        <w:rPr>
          <w:b/>
          <w:sz w:val="24"/>
          <w:szCs w:val="24"/>
        </w:rPr>
        <w:br/>
        <w:t>and Labelling of Chemicals</w:t>
      </w:r>
    </w:p>
    <w:p w:rsidR="009F0F06" w:rsidRPr="000E4463" w:rsidRDefault="00EC578D" w:rsidP="00A74BCC">
      <w:pPr>
        <w:spacing w:before="120"/>
      </w:pPr>
      <w:r w:rsidRPr="000E4463">
        <w:rPr>
          <w:b/>
        </w:rPr>
        <w:t>Sub-Committee of Experts on the Transport of Dangerous Goods</w:t>
      </w:r>
    </w:p>
    <w:p w:rsidR="00B372D4" w:rsidRPr="000E4463" w:rsidRDefault="00B372D4" w:rsidP="00B372D4">
      <w:pPr>
        <w:pStyle w:val="HChG"/>
        <w:spacing w:before="240" w:after="120"/>
      </w:pPr>
      <w:r w:rsidRPr="000E4463">
        <w:tab/>
      </w:r>
      <w:r w:rsidRPr="000E4463">
        <w:tab/>
        <w:t>Report of the Sub-Committee of Experts on the Transport of Dangerous Goods on its fifty-</w:t>
      </w:r>
      <w:r w:rsidR="007B5BF0">
        <w:t>third</w:t>
      </w:r>
      <w:r w:rsidRPr="000E4463">
        <w:t xml:space="preserve"> session</w:t>
      </w:r>
    </w:p>
    <w:p w:rsidR="00B372D4" w:rsidRPr="000E4463" w:rsidRDefault="00B372D4" w:rsidP="00B372D4">
      <w:pPr>
        <w:pStyle w:val="H23G"/>
        <w:spacing w:before="120" w:after="240"/>
        <w:rPr>
          <w:b w:val="0"/>
        </w:rPr>
      </w:pPr>
      <w:r w:rsidRPr="000E4463">
        <w:tab/>
      </w:r>
      <w:r w:rsidRPr="000E4463">
        <w:tab/>
      </w:r>
      <w:r w:rsidRPr="000E4463">
        <w:rPr>
          <w:b w:val="0"/>
        </w:rPr>
        <w:t>held</w:t>
      </w:r>
      <w:r w:rsidR="00A74BCC" w:rsidRPr="000E4463">
        <w:rPr>
          <w:b w:val="0"/>
        </w:rPr>
        <w:t xml:space="preserve"> in Geneva from </w:t>
      </w:r>
      <w:r w:rsidR="00DF5DFE">
        <w:rPr>
          <w:b w:val="0"/>
        </w:rPr>
        <w:t>25 June to 4 July 2018</w:t>
      </w:r>
      <w:bookmarkStart w:id="0" w:name="_GoBack"/>
      <w:bookmarkEnd w:id="0"/>
    </w:p>
    <w:p w:rsidR="00B372D4" w:rsidRPr="000E4463" w:rsidRDefault="00B372D4" w:rsidP="008C6606">
      <w:pPr>
        <w:pStyle w:val="H1G"/>
      </w:pPr>
      <w:r w:rsidRPr="000E4463">
        <w:tab/>
      </w:r>
      <w:r w:rsidRPr="000E4463">
        <w:tab/>
        <w:t>Addendum</w:t>
      </w:r>
    </w:p>
    <w:p w:rsidR="00144A79" w:rsidRDefault="008C6606" w:rsidP="00CD3217">
      <w:pPr>
        <w:spacing w:line="200" w:lineRule="atLeast"/>
        <w:rPr>
          <w:sz w:val="28"/>
        </w:rPr>
      </w:pPr>
      <w:r>
        <w:rPr>
          <w:sz w:val="28"/>
        </w:rPr>
        <w:t>Table of c</w:t>
      </w:r>
      <w:r w:rsidR="00144A79" w:rsidRPr="000E4463">
        <w:rPr>
          <w:sz w:val="28"/>
        </w:rPr>
        <w:t>ontents</w:t>
      </w:r>
    </w:p>
    <w:p w:rsidR="00CD3217" w:rsidRPr="000E4463" w:rsidRDefault="00CD3217" w:rsidP="00CD3217">
      <w:pPr>
        <w:spacing w:line="200" w:lineRule="atLeast"/>
        <w:rPr>
          <w:sz w:val="28"/>
        </w:rPr>
      </w:pPr>
    </w:p>
    <w:p w:rsidR="00144A79" w:rsidRPr="000E4463" w:rsidRDefault="00144A79" w:rsidP="005E41E1">
      <w:pPr>
        <w:tabs>
          <w:tab w:val="right" w:pos="850"/>
          <w:tab w:val="left" w:pos="1134"/>
          <w:tab w:val="left" w:pos="1559"/>
          <w:tab w:val="left" w:pos="1984"/>
          <w:tab w:val="left" w:leader="dot" w:pos="7654"/>
          <w:tab w:val="right" w:pos="8929"/>
          <w:tab w:val="right" w:pos="9638"/>
        </w:tabs>
        <w:spacing w:after="120"/>
      </w:pPr>
      <w:r w:rsidRPr="000E4463">
        <w:t>Annexes</w:t>
      </w:r>
    </w:p>
    <w:p w:rsidR="00B372D4" w:rsidRPr="000E4463" w:rsidRDefault="00B372D4" w:rsidP="00B372D4">
      <w:pPr>
        <w:tabs>
          <w:tab w:val="right" w:pos="8929"/>
          <w:tab w:val="right" w:pos="9638"/>
        </w:tabs>
        <w:spacing w:after="120"/>
        <w:ind w:left="283"/>
      </w:pPr>
      <w:r w:rsidRPr="000E4463">
        <w:rPr>
          <w:i/>
          <w:sz w:val="18"/>
        </w:rPr>
        <w:tab/>
      </w:r>
      <w:r w:rsidRPr="000E4463">
        <w:rPr>
          <w:i/>
          <w:sz w:val="18"/>
        </w:rPr>
        <w:tab/>
        <w:t>Page</w:t>
      </w:r>
    </w:p>
    <w:p w:rsidR="00144A79" w:rsidRPr="000E4463" w:rsidRDefault="005E41E1" w:rsidP="005E41E1">
      <w:pPr>
        <w:tabs>
          <w:tab w:val="right" w:pos="850"/>
          <w:tab w:val="left" w:pos="1418"/>
          <w:tab w:val="left" w:pos="1843"/>
          <w:tab w:val="left" w:leader="dot" w:pos="7654"/>
          <w:tab w:val="right" w:pos="8929"/>
          <w:tab w:val="right" w:pos="9638"/>
        </w:tabs>
        <w:spacing w:before="120" w:after="120"/>
        <w:ind w:left="851" w:hanging="1"/>
      </w:pPr>
      <w:r>
        <w:tab/>
      </w:r>
      <w:r w:rsidR="00144A79" w:rsidRPr="000E4463">
        <w:t>I.</w:t>
      </w:r>
      <w:r w:rsidR="00144A79" w:rsidRPr="000E4463">
        <w:tab/>
      </w:r>
      <w:r w:rsidR="00656F35" w:rsidRPr="000E4463">
        <w:t xml:space="preserve">Draft amendments to the twentieth revised edition of the </w:t>
      </w:r>
      <w:r w:rsidR="00656F35" w:rsidRPr="000E4463">
        <w:br/>
      </w:r>
      <w:r w:rsidR="008C6606">
        <w:tab/>
      </w:r>
      <w:r w:rsidR="00656F35" w:rsidRPr="000E4463">
        <w:t xml:space="preserve">Recommendations on the Transport of Dangerous Goods, </w:t>
      </w:r>
      <w:r w:rsidR="00656F35" w:rsidRPr="000E4463">
        <w:br/>
      </w:r>
      <w:r w:rsidR="008C6606">
        <w:tab/>
      </w:r>
      <w:r w:rsidR="00656F35" w:rsidRPr="000E4463">
        <w:t>Model Regulations (ST/SG/AC.10/1/Rev.20)</w:t>
      </w:r>
      <w:r w:rsidR="00144A79" w:rsidRPr="000E4463">
        <w:tab/>
      </w:r>
      <w:r w:rsidR="00144A79" w:rsidRPr="000E4463">
        <w:tab/>
      </w:r>
      <w:r w:rsidR="00144A79" w:rsidRPr="000E4463">
        <w:tab/>
      </w:r>
      <w:r w:rsidR="009B54A4" w:rsidRPr="000E4463">
        <w:t>2</w:t>
      </w:r>
    </w:p>
    <w:p w:rsidR="00EC578D" w:rsidRPr="000E4463" w:rsidRDefault="008B12BE" w:rsidP="008B12BE">
      <w:pPr>
        <w:tabs>
          <w:tab w:val="right" w:pos="850"/>
          <w:tab w:val="left" w:pos="1418"/>
          <w:tab w:val="left" w:pos="1843"/>
          <w:tab w:val="left" w:leader="dot" w:pos="7654"/>
          <w:tab w:val="right" w:pos="8929"/>
          <w:tab w:val="right" w:pos="9638"/>
        </w:tabs>
        <w:spacing w:before="120" w:after="120"/>
        <w:ind w:left="1418" w:hanging="568"/>
      </w:pPr>
      <w:r w:rsidRPr="00837B90">
        <w:t>II.</w:t>
      </w:r>
      <w:r w:rsidRPr="00837B90">
        <w:tab/>
        <w:t xml:space="preserve">Draft amendments to the sixth revised edition of the Recommendations on the </w:t>
      </w:r>
      <w:r w:rsidRPr="00837B90">
        <w:br/>
        <w:t xml:space="preserve">Transport of Dangerous Goods, Manual of Tests and Criteria (ST/SG/AC.10/11/Rev.6) </w:t>
      </w:r>
      <w:r w:rsidRPr="00837B90">
        <w:br/>
        <w:t>(as amended by ST/SG/AC.10/11/Rev.6/Amend.1)</w:t>
      </w:r>
      <w:r w:rsidRPr="00837B90">
        <w:tab/>
      </w:r>
      <w:r w:rsidR="00EC578D" w:rsidRPr="000E4463">
        <w:tab/>
      </w:r>
      <w:r w:rsidR="00EC578D" w:rsidRPr="000E4463">
        <w:tab/>
      </w:r>
      <w:r w:rsidR="00EF1DD1">
        <w:t>15</w:t>
      </w:r>
    </w:p>
    <w:p w:rsidR="00EC578D" w:rsidRPr="000E4463" w:rsidRDefault="005E41E1" w:rsidP="005E41E1">
      <w:pPr>
        <w:tabs>
          <w:tab w:val="right" w:pos="850"/>
          <w:tab w:val="left" w:pos="1418"/>
          <w:tab w:val="left" w:pos="1843"/>
          <w:tab w:val="left" w:leader="dot" w:pos="7654"/>
          <w:tab w:val="right" w:pos="8929"/>
          <w:tab w:val="right" w:pos="9638"/>
        </w:tabs>
        <w:spacing w:before="120" w:after="120"/>
        <w:ind w:left="851" w:hanging="1"/>
      </w:pPr>
      <w:r>
        <w:tab/>
      </w:r>
      <w:r w:rsidR="00EC578D" w:rsidRPr="000E4463">
        <w:t>II</w:t>
      </w:r>
      <w:r w:rsidR="00144A79" w:rsidRPr="000E4463">
        <w:t>I</w:t>
      </w:r>
      <w:r w:rsidR="00EC578D" w:rsidRPr="000E4463">
        <w:t>.</w:t>
      </w:r>
      <w:r w:rsidR="00C80BE1" w:rsidRPr="000E4463">
        <w:tab/>
      </w:r>
      <w:r w:rsidR="00656F35" w:rsidRPr="000E4463">
        <w:t>Corrections to the twentieth revised edition of t</w:t>
      </w:r>
      <w:r>
        <w:t>he Recommendations</w:t>
      </w:r>
      <w:r>
        <w:br/>
      </w:r>
      <w:r w:rsidR="008C6606">
        <w:tab/>
      </w:r>
      <w:r w:rsidR="00656F35" w:rsidRPr="000E4463">
        <w:t>on the Transport of Dange</w:t>
      </w:r>
      <w:r>
        <w:t xml:space="preserve">rous Goods, Model Regulations </w:t>
      </w:r>
      <w:r>
        <w:br/>
      </w:r>
      <w:r w:rsidR="008C6606">
        <w:tab/>
      </w:r>
      <w:r w:rsidR="00656F35" w:rsidRPr="000E4463">
        <w:t>(ST/SG/AC.10/1/Rev.20)</w:t>
      </w:r>
      <w:r w:rsidR="00EC578D" w:rsidRPr="000E4463">
        <w:tab/>
      </w:r>
      <w:r w:rsidR="00EC578D" w:rsidRPr="000E4463">
        <w:tab/>
      </w:r>
      <w:r w:rsidR="00EC578D" w:rsidRPr="000E4463">
        <w:tab/>
      </w:r>
      <w:r w:rsidR="00EF1DD1">
        <w:t>2</w:t>
      </w:r>
      <w:r w:rsidR="000C511A" w:rsidRPr="000E4463">
        <w:t>4</w:t>
      </w:r>
    </w:p>
    <w:p w:rsidR="00EC578D" w:rsidRPr="000E4463" w:rsidRDefault="00EC578D" w:rsidP="009F0F06"/>
    <w:p w:rsidR="007844A4" w:rsidRDefault="00EC578D" w:rsidP="004048A1">
      <w:pPr>
        <w:suppressAutoHyphens w:val="0"/>
        <w:spacing w:line="240" w:lineRule="auto"/>
        <w:rPr>
          <w:b/>
          <w:sz w:val="28"/>
        </w:rPr>
      </w:pPr>
      <w:r w:rsidRPr="000E4463">
        <w:br w:type="page"/>
      </w:r>
    </w:p>
    <w:p w:rsidR="00065930" w:rsidRDefault="00EC578D" w:rsidP="004C12CE">
      <w:pPr>
        <w:pStyle w:val="HChG"/>
      </w:pPr>
      <w:bookmarkStart w:id="1" w:name="_Hlk520388796"/>
      <w:r w:rsidRPr="000E4463">
        <w:lastRenderedPageBreak/>
        <w:t xml:space="preserve">Annex </w:t>
      </w:r>
      <w:r w:rsidR="00C51426" w:rsidRPr="000E4463">
        <w:t>I</w:t>
      </w:r>
      <w:r w:rsidRPr="000E4463">
        <w:tab/>
      </w:r>
      <w:r w:rsidR="007030B4" w:rsidRPr="000E4463">
        <w:tab/>
      </w:r>
    </w:p>
    <w:p w:rsidR="007030B4" w:rsidRPr="000E4463" w:rsidRDefault="000519DB" w:rsidP="000519DB">
      <w:pPr>
        <w:pStyle w:val="HChG"/>
      </w:pPr>
      <w:r>
        <w:tab/>
      </w:r>
      <w:r>
        <w:tab/>
      </w:r>
      <w:r w:rsidR="007030B4" w:rsidRPr="000E4463">
        <w:t xml:space="preserve">Draft amendments to the </w:t>
      </w:r>
      <w:r w:rsidR="003C04D6" w:rsidRPr="000E4463">
        <w:t>twentie</w:t>
      </w:r>
      <w:r w:rsidR="007030B4" w:rsidRPr="000E4463">
        <w:t>th revised edition of the Recommendations on the Transport of Dangerous Goods,</w:t>
      </w:r>
      <w:r w:rsidR="007030B4" w:rsidRPr="000E4463">
        <w:br/>
        <w:t>Model Regulations (ST/SG/AC.10/1/Rev.20)</w:t>
      </w:r>
    </w:p>
    <w:bookmarkEnd w:id="1"/>
    <w:p w:rsidR="00C338CD" w:rsidRPr="006A6A78" w:rsidRDefault="007030B4" w:rsidP="000519DB">
      <w:pPr>
        <w:pStyle w:val="H1G"/>
        <w:rPr>
          <w:lang w:val="en-US"/>
        </w:rPr>
      </w:pPr>
      <w:r w:rsidRPr="000E4463">
        <w:tab/>
      </w:r>
      <w:r w:rsidRPr="000E4463">
        <w:tab/>
      </w:r>
      <w:r w:rsidR="004C12CE">
        <w:rPr>
          <w:lang w:val="en-US"/>
        </w:rPr>
        <w:tab/>
      </w:r>
      <w:r w:rsidR="00C338CD" w:rsidRPr="006A6A78">
        <w:rPr>
          <w:lang w:val="en-US"/>
        </w:rPr>
        <w:t xml:space="preserve">Chapter </w:t>
      </w:r>
      <w:r w:rsidR="00C338CD">
        <w:rPr>
          <w:lang w:val="en-US"/>
        </w:rPr>
        <w:t>1.4</w:t>
      </w:r>
    </w:p>
    <w:p w:rsidR="001706D3" w:rsidRPr="0040076D" w:rsidRDefault="001706D3" w:rsidP="00C338CD">
      <w:pPr>
        <w:pStyle w:val="SingleTxtG"/>
      </w:pPr>
      <w:r w:rsidRPr="0040076D">
        <w:t>1.4.1 table,</w:t>
      </w:r>
      <w:r w:rsidRPr="0040076D">
        <w:tab/>
        <w:t>Add the new entries “05</w:t>
      </w:r>
      <w:r w:rsidR="00A936C0" w:rsidRPr="0040076D">
        <w:t>12</w:t>
      </w:r>
      <w:r w:rsidRPr="0040076D">
        <w:t>” and “05</w:t>
      </w:r>
      <w:r w:rsidR="00A936C0" w:rsidRPr="0040076D">
        <w:t>13</w:t>
      </w:r>
      <w:r w:rsidRPr="0040076D">
        <w:t>” to read as follows:</w:t>
      </w:r>
    </w:p>
    <w:p w:rsidR="001706D3" w:rsidRPr="0040076D" w:rsidRDefault="001706D3" w:rsidP="001706D3">
      <w:pPr>
        <w:pStyle w:val="SingleTxtG"/>
      </w:pPr>
      <w:r w:rsidRPr="0040076D">
        <w:t>“Class 1, Division 1.4</w:t>
      </w:r>
      <w:r w:rsidRPr="0040076D">
        <w:tab/>
        <w:t>UN Nos. 0104, 0237, 0255, 0267, 0289, 0361, 0365, 0366, 0440, 0441, 0455, 0456, 0500, 05</w:t>
      </w:r>
      <w:r w:rsidR="007E10D0" w:rsidRPr="0040076D">
        <w:t>12</w:t>
      </w:r>
      <w:r w:rsidRPr="0040076D">
        <w:t xml:space="preserve"> and 05</w:t>
      </w:r>
      <w:r w:rsidR="007E10D0" w:rsidRPr="0040076D">
        <w:t>13</w:t>
      </w:r>
      <w:r w:rsidRPr="0040076D">
        <w:t>”.</w:t>
      </w:r>
    </w:p>
    <w:p w:rsidR="001706D3" w:rsidRPr="00571DE1" w:rsidRDefault="001706D3" w:rsidP="001706D3">
      <w:pPr>
        <w:pStyle w:val="SingleTxtG"/>
        <w:rPr>
          <w:i/>
          <w:iCs/>
          <w:lang w:val="en-US"/>
        </w:rPr>
      </w:pPr>
      <w:r w:rsidRPr="0040076D">
        <w:rPr>
          <w:i/>
          <w:iCs/>
          <w:lang w:val="en-US"/>
        </w:rPr>
        <w:t xml:space="preserve">(Reference document: </w:t>
      </w:r>
      <w:r w:rsidR="0089475D" w:rsidRPr="001539C6">
        <w:rPr>
          <w:i/>
          <w:iCs/>
        </w:rPr>
        <w:t>ST/SG/AC.10/C.3/201</w:t>
      </w:r>
      <w:r w:rsidR="0089475D">
        <w:rPr>
          <w:i/>
          <w:iCs/>
        </w:rPr>
        <w:t>8</w:t>
      </w:r>
      <w:r w:rsidR="0089475D" w:rsidRPr="001539C6">
        <w:rPr>
          <w:i/>
          <w:iCs/>
        </w:rPr>
        <w:t>/</w:t>
      </w:r>
      <w:r w:rsidR="0089475D">
        <w:rPr>
          <w:i/>
          <w:iCs/>
        </w:rPr>
        <w:t xml:space="preserve">58 and </w:t>
      </w:r>
      <w:r w:rsidRPr="0040076D">
        <w:rPr>
          <w:i/>
          <w:iCs/>
          <w:lang w:val="en-US"/>
        </w:rPr>
        <w:t>informal document INF.</w:t>
      </w:r>
      <w:r w:rsidR="003A656F" w:rsidRPr="0040076D">
        <w:rPr>
          <w:i/>
          <w:iCs/>
          <w:lang w:val="en-US"/>
        </w:rPr>
        <w:t>67</w:t>
      </w:r>
      <w:r w:rsidRPr="0040076D">
        <w:rPr>
          <w:i/>
          <w:iCs/>
          <w:lang w:val="en-US"/>
        </w:rPr>
        <w:t>, annex 2, amendment 1)</w:t>
      </w:r>
    </w:p>
    <w:p w:rsidR="00C338CD" w:rsidRPr="00632EF6" w:rsidRDefault="001706D3" w:rsidP="001706D3">
      <w:pPr>
        <w:pStyle w:val="SingleTxtG"/>
        <w:rPr>
          <w:lang w:val="en-US"/>
        </w:rPr>
      </w:pPr>
      <w:r>
        <w:t>1</w:t>
      </w:r>
      <w:r w:rsidR="00C338CD" w:rsidRPr="00632EF6">
        <w:rPr>
          <w:lang w:val="en-US"/>
        </w:rPr>
        <w:t>.4.3.2.3</w:t>
      </w:r>
      <w:r w:rsidR="00C338CD" w:rsidRPr="00632EF6">
        <w:rPr>
          <w:lang w:val="en-US"/>
        </w:rPr>
        <w:tab/>
        <w:t xml:space="preserve">In footnote 2, replace </w:t>
      </w:r>
      <w:r w:rsidR="00C338CD">
        <w:rPr>
          <w:lang w:val="en-US"/>
        </w:rPr>
        <w:t>“</w:t>
      </w:r>
      <w:r w:rsidR="00C338CD" w:rsidRPr="00632EF6">
        <w:rPr>
          <w:lang w:val="en-US"/>
        </w:rPr>
        <w:t>INFCIRC/225/Rev.4 (corrected), IAEA Vienna (1999)</w:t>
      </w:r>
      <w:r w:rsidR="00C338CD">
        <w:rPr>
          <w:lang w:val="en-US"/>
        </w:rPr>
        <w:t>”</w:t>
      </w:r>
      <w:r w:rsidR="00C338CD" w:rsidRPr="00632EF6">
        <w:rPr>
          <w:lang w:val="en-US"/>
        </w:rPr>
        <w:t> </w:t>
      </w:r>
      <w:r w:rsidR="00C338CD">
        <w:rPr>
          <w:lang w:val="en-US"/>
        </w:rPr>
        <w:t>by</w:t>
      </w:r>
      <w:r w:rsidR="00C338CD" w:rsidRPr="00632EF6">
        <w:rPr>
          <w:lang w:val="en-US"/>
        </w:rPr>
        <w:t> </w:t>
      </w:r>
      <w:r w:rsidR="00C338CD">
        <w:rPr>
          <w:lang w:val="en-US"/>
        </w:rPr>
        <w:t>“</w:t>
      </w:r>
      <w:r w:rsidR="00C338CD" w:rsidRPr="00632EF6">
        <w:rPr>
          <w:lang w:val="en-US"/>
        </w:rPr>
        <w:t xml:space="preserve">INFCIRC/225/Rev.5, </w:t>
      </w:r>
      <w:r w:rsidR="00C338CD">
        <w:rPr>
          <w:lang w:val="en-US"/>
        </w:rPr>
        <w:t>IAEA</w:t>
      </w:r>
      <w:r w:rsidR="00C338CD" w:rsidRPr="00632EF6">
        <w:rPr>
          <w:lang w:val="en-US"/>
        </w:rPr>
        <w:t>, Vienn</w:t>
      </w:r>
      <w:r w:rsidR="00C338CD">
        <w:rPr>
          <w:lang w:val="en-US"/>
        </w:rPr>
        <w:t>a</w:t>
      </w:r>
      <w:r w:rsidR="00C338CD" w:rsidRPr="00632EF6">
        <w:rPr>
          <w:lang w:val="en-US"/>
        </w:rPr>
        <w:t xml:space="preserve"> (2011)</w:t>
      </w:r>
      <w:r w:rsidR="00C338CD">
        <w:rPr>
          <w:lang w:val="en-US"/>
        </w:rPr>
        <w:t>”.</w:t>
      </w:r>
    </w:p>
    <w:p w:rsidR="00C338CD" w:rsidRDefault="00C338CD" w:rsidP="00C338CD">
      <w:pPr>
        <w:pStyle w:val="SingleTxtG"/>
        <w:rPr>
          <w:i/>
          <w:iCs/>
          <w:lang w:val="en-US"/>
        </w:rPr>
      </w:pPr>
      <w:r w:rsidRPr="00216FF6">
        <w:rPr>
          <w:i/>
          <w:iCs/>
          <w:lang w:val="en-US"/>
        </w:rPr>
        <w:t>(Reference document:</w:t>
      </w:r>
      <w:r w:rsidRPr="00216FF6">
        <w:rPr>
          <w:lang w:val="en-US"/>
        </w:rPr>
        <w:t xml:space="preserve"> </w:t>
      </w:r>
      <w:r>
        <w:rPr>
          <w:i/>
          <w:iCs/>
          <w:lang w:val="en-US"/>
        </w:rPr>
        <w:t>ST/SG/AC.10/C.3/2017/33/Rev.1)</w:t>
      </w:r>
    </w:p>
    <w:p w:rsidR="00C44277" w:rsidRDefault="00C338CD" w:rsidP="004C12CE">
      <w:pPr>
        <w:pStyle w:val="H1G"/>
      </w:pPr>
      <w:r>
        <w:tab/>
      </w:r>
      <w:r>
        <w:tab/>
      </w:r>
      <w:r w:rsidR="00A37209">
        <w:tab/>
      </w:r>
      <w:r w:rsidR="00C44277">
        <w:t>Chapter 2.1</w:t>
      </w:r>
    </w:p>
    <w:p w:rsidR="00C44277" w:rsidRPr="00C44277" w:rsidRDefault="00C44277" w:rsidP="00C44277">
      <w:pPr>
        <w:pStyle w:val="SingleTxtG"/>
      </w:pPr>
      <w:r w:rsidRPr="00C44277">
        <w:t>2.1.3.6.4 (b)</w:t>
      </w:r>
      <w:r w:rsidRPr="00C44277">
        <w:tab/>
      </w:r>
      <w:r w:rsidR="004C12CE">
        <w:t>In the Note, delete “such as described in ISO 12097-3” and add the following new sentence:</w:t>
      </w:r>
    </w:p>
    <w:p w:rsidR="00C44277" w:rsidRPr="00C44277" w:rsidRDefault="00C44277" w:rsidP="004C12CE">
      <w:pPr>
        <w:pStyle w:val="SingleTxtG"/>
      </w:pPr>
      <w:r w:rsidRPr="00C44277">
        <w:t>“One such method is described in ISO 14451-2 using a heating rate of 80 K/min.</w:t>
      </w:r>
      <w:r>
        <w:t>”</w:t>
      </w:r>
      <w:r w:rsidRPr="00C44277">
        <w:t xml:space="preserve">  </w:t>
      </w:r>
    </w:p>
    <w:p w:rsidR="00C44277" w:rsidRPr="004F64CF" w:rsidRDefault="00C44277" w:rsidP="00C44277">
      <w:pPr>
        <w:pStyle w:val="SingleTxtG"/>
        <w:rPr>
          <w:i/>
          <w:iCs/>
          <w:lang w:val="en-US"/>
        </w:rPr>
      </w:pPr>
      <w:r w:rsidRPr="004F64CF">
        <w:rPr>
          <w:i/>
          <w:iCs/>
          <w:lang w:val="en-US"/>
        </w:rPr>
        <w:t>(Reference document:</w:t>
      </w:r>
      <w:r w:rsidR="0089475D">
        <w:rPr>
          <w:i/>
          <w:iCs/>
          <w:lang w:val="en-US"/>
        </w:rPr>
        <w:t xml:space="preserve"> </w:t>
      </w:r>
      <w:r w:rsidR="004F64CF" w:rsidRPr="004F64CF">
        <w:rPr>
          <w:i/>
          <w:iCs/>
          <w:lang w:val="en-US"/>
        </w:rPr>
        <w:t>ST/SG/AC.10/C.</w:t>
      </w:r>
      <w:r w:rsidR="004F64CF">
        <w:rPr>
          <w:i/>
          <w:iCs/>
          <w:lang w:val="en-US"/>
        </w:rPr>
        <w:t>3/2018/6 and</w:t>
      </w:r>
      <w:r w:rsidRPr="004F64CF">
        <w:rPr>
          <w:i/>
          <w:iCs/>
          <w:lang w:val="en-US"/>
        </w:rPr>
        <w:t xml:space="preserve"> informal document INF.67, annex 2, amendment 6)</w:t>
      </w:r>
    </w:p>
    <w:p w:rsidR="00203CA8" w:rsidRDefault="00C44277" w:rsidP="004C12CE">
      <w:pPr>
        <w:pStyle w:val="H1G"/>
      </w:pPr>
      <w:r w:rsidRPr="004F64CF">
        <w:rPr>
          <w:lang w:val="en-US"/>
        </w:rPr>
        <w:tab/>
      </w:r>
      <w:r w:rsidRPr="004F64CF">
        <w:rPr>
          <w:lang w:val="en-US"/>
        </w:rPr>
        <w:tab/>
      </w:r>
      <w:r>
        <w:t>C</w:t>
      </w:r>
      <w:r w:rsidR="00203CA8">
        <w:t>hapter 2.2</w:t>
      </w:r>
    </w:p>
    <w:p w:rsidR="00203CA8" w:rsidRDefault="00203CA8" w:rsidP="00203CA8">
      <w:pPr>
        <w:pStyle w:val="SingleTxtG"/>
      </w:pPr>
      <w:r>
        <w:t>2.2.2.1 (a) (ii)</w:t>
      </w:r>
      <w:r>
        <w:tab/>
      </w:r>
      <w:r>
        <w:tab/>
        <w:t xml:space="preserve">Replace “ISO 10156:2010” </w:t>
      </w:r>
      <w:r w:rsidR="004F64CF">
        <w:t>by</w:t>
      </w:r>
      <w:r>
        <w:t xml:space="preserve"> “ISO 10156:2017”.</w:t>
      </w:r>
    </w:p>
    <w:p w:rsidR="00203CA8" w:rsidRPr="00CC56EE" w:rsidRDefault="00203CA8" w:rsidP="00203CA8">
      <w:pPr>
        <w:pStyle w:val="SingleTxtG"/>
        <w:rPr>
          <w:i/>
          <w:iCs/>
        </w:rPr>
      </w:pPr>
      <w:r w:rsidRPr="00CC56EE">
        <w:rPr>
          <w:i/>
          <w:iCs/>
        </w:rPr>
        <w:t>(Reference document</w:t>
      </w:r>
      <w:r w:rsidR="00961D84">
        <w:rPr>
          <w:i/>
          <w:iCs/>
        </w:rPr>
        <w:t>:</w:t>
      </w:r>
      <w:r w:rsidRPr="00CC56EE">
        <w:rPr>
          <w:i/>
          <w:iCs/>
        </w:rPr>
        <w:t xml:space="preserve"> ST/SG/AC.10/C.3/2018/2)</w:t>
      </w:r>
    </w:p>
    <w:p w:rsidR="00203CA8" w:rsidRDefault="00203CA8" w:rsidP="00203CA8">
      <w:pPr>
        <w:pStyle w:val="SingleTxtG"/>
      </w:pPr>
      <w:r>
        <w:t>2.2.2.1 (b) (iii)</w:t>
      </w:r>
      <w:r>
        <w:tab/>
        <w:t>In the Note, replace “ISO 10156:2010” by “ISO 10156:2017”.</w:t>
      </w:r>
    </w:p>
    <w:p w:rsidR="00203CA8" w:rsidRPr="00CC56EE" w:rsidRDefault="00203CA8" w:rsidP="00203CA8">
      <w:pPr>
        <w:pStyle w:val="SingleTxtG"/>
        <w:rPr>
          <w:i/>
          <w:iCs/>
        </w:rPr>
      </w:pPr>
      <w:r w:rsidRPr="00CC56EE">
        <w:rPr>
          <w:i/>
          <w:iCs/>
        </w:rPr>
        <w:t>(Reference document</w:t>
      </w:r>
      <w:r w:rsidR="00961D84">
        <w:rPr>
          <w:i/>
          <w:iCs/>
        </w:rPr>
        <w:t>:</w:t>
      </w:r>
      <w:r w:rsidRPr="00CC56EE">
        <w:rPr>
          <w:i/>
          <w:iCs/>
        </w:rPr>
        <w:t xml:space="preserve"> ST/SG/AC.10/C.3/2018/2)</w:t>
      </w:r>
    </w:p>
    <w:p w:rsidR="00203CA8" w:rsidRDefault="00203CA8" w:rsidP="00203CA8">
      <w:pPr>
        <w:pStyle w:val="SingleTxtG"/>
      </w:pPr>
      <w:r w:rsidRPr="006A7F00">
        <w:t xml:space="preserve">2.2.3 </w:t>
      </w:r>
      <w:r w:rsidR="00365E79" w:rsidRPr="006A7F00">
        <w:t xml:space="preserve">(a) and </w:t>
      </w:r>
      <w:r w:rsidRPr="006A7F00">
        <w:t>(d)</w:t>
      </w:r>
      <w:r>
        <w:tab/>
        <w:t>Replace “ISO 10156:2010” by “ISO 10156:2017”.</w:t>
      </w:r>
    </w:p>
    <w:p w:rsidR="00203CA8" w:rsidRPr="00CE3CF5" w:rsidRDefault="00203CA8" w:rsidP="00203CA8">
      <w:pPr>
        <w:pStyle w:val="SingleTxtG"/>
        <w:rPr>
          <w:i/>
          <w:iCs/>
        </w:rPr>
      </w:pPr>
      <w:r w:rsidRPr="00CC56EE">
        <w:rPr>
          <w:i/>
          <w:iCs/>
        </w:rPr>
        <w:t>(Reference document</w:t>
      </w:r>
      <w:r w:rsidR="00961D84">
        <w:rPr>
          <w:i/>
          <w:iCs/>
        </w:rPr>
        <w:t>:</w:t>
      </w:r>
      <w:r w:rsidRPr="00CC56EE">
        <w:rPr>
          <w:i/>
          <w:iCs/>
        </w:rPr>
        <w:t xml:space="preserve"> ST/SG</w:t>
      </w:r>
      <w:r>
        <w:rPr>
          <w:i/>
          <w:iCs/>
        </w:rPr>
        <w:t>/AC.10/C.3/2018/2)</w:t>
      </w:r>
    </w:p>
    <w:p w:rsidR="00500DA7" w:rsidRDefault="00203CA8" w:rsidP="004C12CE">
      <w:pPr>
        <w:pStyle w:val="H1G"/>
      </w:pPr>
      <w:r>
        <w:tab/>
      </w:r>
      <w:r>
        <w:tab/>
      </w:r>
      <w:r w:rsidR="00500DA7">
        <w:t>Chapter 2.4</w:t>
      </w:r>
    </w:p>
    <w:p w:rsidR="00500DA7" w:rsidRPr="00500DA7" w:rsidRDefault="00500DA7" w:rsidP="00961D84">
      <w:pPr>
        <w:pStyle w:val="SingleTxtG"/>
      </w:pPr>
      <w:r>
        <w:t>2.4.3.2.3.1</w:t>
      </w:r>
      <w:r>
        <w:tab/>
      </w:r>
      <w:r w:rsidR="00961D84">
        <w:t>In the Note, delete “except for type G”.</w:t>
      </w:r>
    </w:p>
    <w:p w:rsidR="00500DA7" w:rsidRPr="001B36C9" w:rsidRDefault="00500DA7" w:rsidP="00500DA7">
      <w:pPr>
        <w:pStyle w:val="SingleTxtG"/>
        <w:rPr>
          <w:lang w:val="en-US"/>
        </w:rPr>
      </w:pPr>
      <w:r w:rsidRPr="001B36C9">
        <w:rPr>
          <w:i/>
          <w:iCs/>
          <w:lang w:val="en-US"/>
        </w:rPr>
        <w:t xml:space="preserve">(Reference document: </w:t>
      </w:r>
      <w:r w:rsidR="00961D84" w:rsidRPr="00CC56EE">
        <w:rPr>
          <w:i/>
          <w:iCs/>
        </w:rPr>
        <w:t>ST/SG</w:t>
      </w:r>
      <w:r w:rsidR="00961D84">
        <w:rPr>
          <w:i/>
          <w:iCs/>
        </w:rPr>
        <w:t>/AC.10/C.3/2018/</w:t>
      </w:r>
      <w:r w:rsidR="00C351AD">
        <w:rPr>
          <w:i/>
          <w:iCs/>
        </w:rPr>
        <w:t>1</w:t>
      </w:r>
      <w:r w:rsidR="00961D84">
        <w:rPr>
          <w:i/>
          <w:iCs/>
        </w:rPr>
        <w:t xml:space="preserve"> and </w:t>
      </w:r>
      <w:r w:rsidRPr="001B36C9">
        <w:rPr>
          <w:i/>
          <w:iCs/>
          <w:lang w:val="en-US"/>
        </w:rPr>
        <w:t>informal document INF.67, annex 2, amendment 8)</w:t>
      </w:r>
      <w:r w:rsidRPr="001B36C9">
        <w:rPr>
          <w:lang w:val="en-US"/>
        </w:rPr>
        <w:tab/>
      </w:r>
      <w:r w:rsidRPr="001B36C9">
        <w:rPr>
          <w:lang w:val="en-US"/>
        </w:rPr>
        <w:tab/>
      </w:r>
    </w:p>
    <w:p w:rsidR="00203CA8" w:rsidRDefault="00500DA7" w:rsidP="004C12CE">
      <w:pPr>
        <w:pStyle w:val="H1G"/>
      </w:pPr>
      <w:r w:rsidRPr="001B36C9">
        <w:rPr>
          <w:lang w:val="en-US"/>
        </w:rPr>
        <w:lastRenderedPageBreak/>
        <w:tab/>
      </w:r>
      <w:r w:rsidRPr="001B36C9">
        <w:rPr>
          <w:lang w:val="en-US"/>
        </w:rPr>
        <w:tab/>
      </w:r>
      <w:r w:rsidR="00203CA8">
        <w:t>Chapter 2.5</w:t>
      </w:r>
    </w:p>
    <w:p w:rsidR="00203CA8" w:rsidRPr="003B3A0D" w:rsidRDefault="00203CA8" w:rsidP="00203CA8">
      <w:pPr>
        <w:pStyle w:val="SingleTxtG"/>
      </w:pPr>
      <w:r w:rsidRPr="00E816ED">
        <w:t>2.5.</w:t>
      </w:r>
      <w:r w:rsidR="007B5B1C" w:rsidRPr="00E816ED">
        <w:t>3.2</w:t>
      </w:r>
      <w:r w:rsidRPr="00E816ED">
        <w:t>.4</w:t>
      </w:r>
      <w:r>
        <w:tab/>
      </w:r>
      <w:r>
        <w:tab/>
        <w:t>In the table, for “</w:t>
      </w:r>
      <w:r w:rsidRPr="00234E6F">
        <w:t>D</w:t>
      </w:r>
      <w:r>
        <w:t>I</w:t>
      </w:r>
      <w:r w:rsidRPr="00234E6F">
        <w:t>-(4-</w:t>
      </w:r>
      <w:r>
        <w:t>tert</w:t>
      </w:r>
      <w:r w:rsidRPr="00234E6F">
        <w:t>-</w:t>
      </w:r>
      <w:r>
        <w:t>BUTYLCYCLOHEXYL</w:t>
      </w:r>
      <w:r w:rsidRPr="00234E6F">
        <w:t xml:space="preserve">) </w:t>
      </w:r>
      <w:r>
        <w:t>PEROXYDICARBONATE”, for concentration “</w:t>
      </w:r>
      <w:r w:rsidRPr="00CA445C">
        <w:t>≤</w:t>
      </w:r>
      <w:r>
        <w:t xml:space="preserve"> </w:t>
      </w:r>
      <w:r w:rsidRPr="00CA445C">
        <w:t>42</w:t>
      </w:r>
      <w:r>
        <w:t xml:space="preserve"> as a paste”, in column “Packing Method”, replace “OP7” by “OP8” and in column “Number (Generic entry)”, replace “3116” by “3118”.</w:t>
      </w:r>
    </w:p>
    <w:p w:rsidR="00203CA8" w:rsidRDefault="00203CA8" w:rsidP="00203CA8">
      <w:pPr>
        <w:pStyle w:val="SingleTxtG"/>
        <w:rPr>
          <w:i/>
          <w:iCs/>
          <w:lang w:val="en-US"/>
        </w:rPr>
      </w:pPr>
      <w:r w:rsidRPr="008024E1">
        <w:rPr>
          <w:i/>
          <w:iCs/>
        </w:rPr>
        <w:t>(</w:t>
      </w:r>
      <w:r w:rsidRPr="008024E1">
        <w:rPr>
          <w:i/>
          <w:iCs/>
          <w:lang w:val="en-US"/>
        </w:rPr>
        <w:t>Reference document: ST/SG/AC.10/C.3/2018/29)</w:t>
      </w:r>
    </w:p>
    <w:p w:rsidR="00C338CD" w:rsidRDefault="00C338CD" w:rsidP="004C12CE">
      <w:pPr>
        <w:pStyle w:val="H1G"/>
      </w:pPr>
      <w:r>
        <w:tab/>
      </w:r>
      <w:r>
        <w:tab/>
        <w:t>Chapter 2.6</w:t>
      </w:r>
    </w:p>
    <w:p w:rsidR="00C338CD" w:rsidRDefault="00C338CD" w:rsidP="00C338CD">
      <w:pPr>
        <w:pStyle w:val="SingleTxtG"/>
      </w:pPr>
      <w:r>
        <w:t>2.6.1 (b)</w:t>
      </w:r>
      <w:r>
        <w:tab/>
        <w:t xml:space="preserve">Delete “, </w:t>
      </w:r>
      <w:proofErr w:type="spellStart"/>
      <w:r>
        <w:t>rickettsiae</w:t>
      </w:r>
      <w:proofErr w:type="spellEnd"/>
      <w:r>
        <w:t>”.</w:t>
      </w:r>
    </w:p>
    <w:p w:rsidR="00C338CD" w:rsidRDefault="00C338CD" w:rsidP="00C338CD">
      <w:pPr>
        <w:pStyle w:val="SingleTxtG"/>
        <w:rPr>
          <w:i/>
          <w:iCs/>
        </w:rPr>
      </w:pPr>
      <w:r w:rsidRPr="006B4002">
        <w:rPr>
          <w:i/>
          <w:iCs/>
        </w:rPr>
        <w:t xml:space="preserve">(Reference document: </w:t>
      </w:r>
      <w:r w:rsidR="00C351AD" w:rsidRPr="00CC56EE">
        <w:rPr>
          <w:i/>
          <w:iCs/>
        </w:rPr>
        <w:t>ST/SG</w:t>
      </w:r>
      <w:r w:rsidR="00C351AD">
        <w:rPr>
          <w:i/>
          <w:iCs/>
        </w:rPr>
        <w:t xml:space="preserve">/AC.10/C.3/2018/26 and </w:t>
      </w:r>
      <w:r w:rsidRPr="006B4002">
        <w:rPr>
          <w:i/>
          <w:iCs/>
        </w:rPr>
        <w:t>informal document INF.68)</w:t>
      </w:r>
    </w:p>
    <w:p w:rsidR="00C338CD" w:rsidRDefault="00C338CD" w:rsidP="00C338CD">
      <w:pPr>
        <w:pStyle w:val="SingleTxtG"/>
      </w:pPr>
      <w:r>
        <w:t>2.6.3.1.1</w:t>
      </w:r>
      <w:r>
        <w:tab/>
        <w:t xml:space="preserve">Delete “, </w:t>
      </w:r>
      <w:proofErr w:type="spellStart"/>
      <w:r>
        <w:t>rickettsiae</w:t>
      </w:r>
      <w:proofErr w:type="spellEnd"/>
      <w:r>
        <w:t>”.</w:t>
      </w:r>
    </w:p>
    <w:p w:rsidR="00C338CD" w:rsidRPr="001B36C9" w:rsidRDefault="00C338CD" w:rsidP="00C338CD">
      <w:pPr>
        <w:pStyle w:val="SingleTxtG"/>
        <w:rPr>
          <w:i/>
          <w:iCs/>
          <w:lang w:val="en-US"/>
        </w:rPr>
      </w:pPr>
      <w:r w:rsidRPr="001B36C9">
        <w:rPr>
          <w:i/>
          <w:iCs/>
          <w:lang w:val="en-US"/>
        </w:rPr>
        <w:t>(Reference document:</w:t>
      </w:r>
      <w:r w:rsidR="00C351AD" w:rsidRPr="00C351AD">
        <w:rPr>
          <w:i/>
          <w:iCs/>
        </w:rPr>
        <w:t xml:space="preserve"> </w:t>
      </w:r>
      <w:r w:rsidR="00C351AD" w:rsidRPr="00CC56EE">
        <w:rPr>
          <w:i/>
          <w:iCs/>
        </w:rPr>
        <w:t>ST/SG</w:t>
      </w:r>
      <w:r w:rsidR="00C351AD">
        <w:rPr>
          <w:i/>
          <w:iCs/>
        </w:rPr>
        <w:t>/AC.10/C.3/2018/26 and</w:t>
      </w:r>
      <w:r w:rsidRPr="001B36C9">
        <w:rPr>
          <w:i/>
          <w:iCs/>
          <w:lang w:val="en-US"/>
        </w:rPr>
        <w:t xml:space="preserve"> informal document INF.68)</w:t>
      </w:r>
    </w:p>
    <w:p w:rsidR="00C338CD" w:rsidRDefault="00C338CD" w:rsidP="00C338CD">
      <w:pPr>
        <w:pStyle w:val="SingleTxtG"/>
      </w:pPr>
      <w:r w:rsidRPr="00341490">
        <w:t>2.6.3.2.2.</w:t>
      </w:r>
      <w:r w:rsidR="00341490">
        <w:t>2, Note 3</w:t>
      </w:r>
      <w:r>
        <w:tab/>
        <w:t>Delete “, mycoplasmas, rickettsia”.</w:t>
      </w:r>
    </w:p>
    <w:p w:rsidR="00C338CD" w:rsidRDefault="00C338CD" w:rsidP="00C338CD">
      <w:pPr>
        <w:pStyle w:val="SingleTxtG"/>
        <w:rPr>
          <w:i/>
          <w:iCs/>
        </w:rPr>
      </w:pPr>
      <w:r w:rsidRPr="006B4002">
        <w:rPr>
          <w:i/>
          <w:iCs/>
        </w:rPr>
        <w:t xml:space="preserve">(Reference document: </w:t>
      </w:r>
      <w:r w:rsidR="00C351AD" w:rsidRPr="00CC56EE">
        <w:rPr>
          <w:i/>
          <w:iCs/>
        </w:rPr>
        <w:t>ST/SG</w:t>
      </w:r>
      <w:r w:rsidR="00C351AD">
        <w:rPr>
          <w:i/>
          <w:iCs/>
        </w:rPr>
        <w:t xml:space="preserve">/AC.10/C.3/2018/26 and </w:t>
      </w:r>
      <w:r w:rsidRPr="006B4002">
        <w:rPr>
          <w:i/>
          <w:iCs/>
        </w:rPr>
        <w:t>informal document INF.68)</w:t>
      </w:r>
    </w:p>
    <w:p w:rsidR="00203CA8" w:rsidRPr="008024E1" w:rsidRDefault="001E426F" w:rsidP="00C351AD">
      <w:pPr>
        <w:pStyle w:val="H1G"/>
      </w:pPr>
      <w:r>
        <w:tab/>
      </w:r>
      <w:r>
        <w:tab/>
      </w:r>
      <w:r w:rsidR="00203CA8" w:rsidRPr="008024E1">
        <w:tab/>
        <w:t>Chapter 3.2, Dangerous Goods List</w:t>
      </w:r>
    </w:p>
    <w:p w:rsidR="007E10D0" w:rsidRPr="00FE4DAE" w:rsidRDefault="007E10D0" w:rsidP="00FE4DAE">
      <w:pPr>
        <w:pStyle w:val="SingleTxtG"/>
      </w:pPr>
      <w:r w:rsidRPr="00FE4DAE">
        <w:t xml:space="preserve">Add the following new </w:t>
      </w:r>
      <w:r w:rsidR="008B12BE">
        <w:t>entries</w:t>
      </w:r>
      <w:r w:rsidRPr="00FE4DAE">
        <w:t>:</w:t>
      </w:r>
    </w:p>
    <w:tbl>
      <w:tblPr>
        <w:tblW w:w="4675" w:type="pc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
        <w:gridCol w:w="2413"/>
        <w:gridCol w:w="609"/>
        <w:gridCol w:w="437"/>
        <w:gridCol w:w="698"/>
        <w:gridCol w:w="489"/>
        <w:gridCol w:w="617"/>
        <w:gridCol w:w="617"/>
        <w:gridCol w:w="663"/>
        <w:gridCol w:w="617"/>
        <w:gridCol w:w="617"/>
        <w:gridCol w:w="699"/>
      </w:tblGrid>
      <w:tr w:rsidR="00CF61E5" w:rsidRPr="00051154" w:rsidTr="00CF61E5">
        <w:trPr>
          <w:trHeight w:hRule="exact" w:val="370"/>
        </w:trPr>
        <w:tc>
          <w:tcPr>
            <w:tcW w:w="299"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(1)</w:t>
            </w:r>
          </w:p>
        </w:tc>
        <w:tc>
          <w:tcPr>
            <w:tcW w:w="1346"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(2)</w:t>
            </w:r>
          </w:p>
        </w:tc>
        <w:tc>
          <w:tcPr>
            <w:tcW w:w="318"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(3)</w:t>
            </w:r>
          </w:p>
        </w:tc>
        <w:tc>
          <w:tcPr>
            <w:tcW w:w="249"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(4)</w:t>
            </w:r>
          </w:p>
        </w:tc>
        <w:tc>
          <w:tcPr>
            <w:tcW w:w="394"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(5)</w:t>
            </w:r>
          </w:p>
        </w:tc>
        <w:tc>
          <w:tcPr>
            <w:tcW w:w="255"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(6)</w:t>
            </w:r>
          </w:p>
        </w:tc>
        <w:tc>
          <w:tcPr>
            <w:tcW w:w="349"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(7a)</w:t>
            </w:r>
          </w:p>
        </w:tc>
        <w:tc>
          <w:tcPr>
            <w:tcW w:w="349"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(7b)</w:t>
            </w:r>
          </w:p>
        </w:tc>
        <w:tc>
          <w:tcPr>
            <w:tcW w:w="349"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(8)</w:t>
            </w:r>
          </w:p>
        </w:tc>
        <w:tc>
          <w:tcPr>
            <w:tcW w:w="349"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(9)</w:t>
            </w:r>
          </w:p>
        </w:tc>
        <w:tc>
          <w:tcPr>
            <w:tcW w:w="349" w:type="pct"/>
          </w:tcPr>
          <w:p w:rsidR="00CF61E5" w:rsidRPr="00051154" w:rsidRDefault="00CF61E5" w:rsidP="00CF61E5">
            <w:pPr>
              <w:suppressAutoHyphens w:val="0"/>
              <w:spacing w:before="40" w:after="120" w:line="276" w:lineRule="auto"/>
              <w:jc w:val="center"/>
              <w:rPr>
                <w:bCs/>
                <w:sz w:val="18"/>
                <w:szCs w:val="18"/>
              </w:rPr>
            </w:pPr>
            <w:r w:rsidRPr="00051154">
              <w:rPr>
                <w:bCs/>
                <w:sz w:val="18"/>
                <w:szCs w:val="18"/>
              </w:rPr>
              <w:t>(10)</w:t>
            </w:r>
          </w:p>
        </w:tc>
        <w:tc>
          <w:tcPr>
            <w:tcW w:w="396" w:type="pct"/>
          </w:tcPr>
          <w:p w:rsidR="00CF61E5" w:rsidRPr="00051154" w:rsidRDefault="00CF61E5" w:rsidP="00CF61E5">
            <w:pPr>
              <w:suppressAutoHyphens w:val="0"/>
              <w:spacing w:before="40" w:after="120" w:line="276" w:lineRule="auto"/>
              <w:jc w:val="center"/>
              <w:rPr>
                <w:bCs/>
                <w:iCs/>
                <w:sz w:val="18"/>
                <w:szCs w:val="18"/>
              </w:rPr>
            </w:pPr>
            <w:r w:rsidRPr="00051154">
              <w:rPr>
                <w:bCs/>
                <w:iCs/>
                <w:sz w:val="18"/>
                <w:szCs w:val="18"/>
              </w:rPr>
              <w:t>(11)</w:t>
            </w:r>
          </w:p>
        </w:tc>
      </w:tr>
      <w:tr w:rsidR="00CF61E5" w:rsidRPr="00051154" w:rsidTr="00CF61E5">
        <w:trPr>
          <w:trHeight w:hRule="exact" w:val="775"/>
        </w:trPr>
        <w:tc>
          <w:tcPr>
            <w:tcW w:w="299" w:type="pct"/>
          </w:tcPr>
          <w:p w:rsidR="007E10D0" w:rsidRPr="00051154" w:rsidRDefault="007E10D0" w:rsidP="00CF61E5">
            <w:pPr>
              <w:suppressAutoHyphens w:val="0"/>
              <w:spacing w:before="40" w:after="120" w:line="276" w:lineRule="auto"/>
              <w:jc w:val="center"/>
              <w:rPr>
                <w:bCs/>
                <w:sz w:val="18"/>
                <w:szCs w:val="18"/>
              </w:rPr>
            </w:pPr>
            <w:r w:rsidRPr="00051154">
              <w:rPr>
                <w:bCs/>
                <w:sz w:val="18"/>
                <w:szCs w:val="18"/>
              </w:rPr>
              <w:t>0511</w:t>
            </w:r>
          </w:p>
        </w:tc>
        <w:tc>
          <w:tcPr>
            <w:tcW w:w="1346" w:type="pct"/>
          </w:tcPr>
          <w:p w:rsidR="007E10D0" w:rsidRPr="00051154" w:rsidRDefault="007E10D0" w:rsidP="00CE3F88">
            <w:pPr>
              <w:pStyle w:val="TableParagraph"/>
              <w:spacing w:before="6"/>
              <w:ind w:left="6" w:right="6"/>
              <w:jc w:val="left"/>
              <w:rPr>
                <w:b/>
                <w:sz w:val="18"/>
                <w:szCs w:val="18"/>
              </w:rPr>
            </w:pPr>
            <w:r w:rsidRPr="00051154">
              <w:rPr>
                <w:sz w:val="18"/>
                <w:szCs w:val="18"/>
              </w:rPr>
              <w:t>DETONATORS, ELECTRONIC programmable for blasting†</w:t>
            </w:r>
          </w:p>
        </w:tc>
        <w:tc>
          <w:tcPr>
            <w:tcW w:w="318" w:type="pct"/>
          </w:tcPr>
          <w:p w:rsidR="007E10D0" w:rsidRPr="00051154" w:rsidRDefault="007E10D0" w:rsidP="00CE3F88">
            <w:pPr>
              <w:pStyle w:val="TableParagraph"/>
              <w:spacing w:before="6"/>
              <w:ind w:left="127" w:right="126"/>
              <w:rPr>
                <w:b/>
                <w:sz w:val="18"/>
                <w:szCs w:val="18"/>
              </w:rPr>
            </w:pPr>
            <w:r w:rsidRPr="00051154">
              <w:rPr>
                <w:sz w:val="18"/>
                <w:szCs w:val="18"/>
              </w:rPr>
              <w:t>1.1B</w:t>
            </w:r>
          </w:p>
        </w:tc>
        <w:tc>
          <w:tcPr>
            <w:tcW w:w="249" w:type="pct"/>
          </w:tcPr>
          <w:p w:rsidR="007E10D0" w:rsidRPr="00051154" w:rsidRDefault="007E10D0" w:rsidP="00CE3F88">
            <w:pPr>
              <w:pStyle w:val="TableParagraph"/>
              <w:spacing w:before="6"/>
              <w:ind w:left="107" w:right="107"/>
              <w:rPr>
                <w:b/>
                <w:sz w:val="18"/>
                <w:szCs w:val="18"/>
              </w:rPr>
            </w:pPr>
          </w:p>
        </w:tc>
        <w:tc>
          <w:tcPr>
            <w:tcW w:w="394" w:type="pct"/>
          </w:tcPr>
          <w:p w:rsidR="007E10D0" w:rsidRPr="00051154" w:rsidRDefault="007E10D0" w:rsidP="00CE3F88">
            <w:pPr>
              <w:pStyle w:val="TableParagraph"/>
              <w:spacing w:before="6"/>
              <w:ind w:left="67" w:right="67"/>
              <w:rPr>
                <w:b/>
                <w:sz w:val="18"/>
                <w:szCs w:val="18"/>
              </w:rPr>
            </w:pPr>
          </w:p>
        </w:tc>
        <w:tc>
          <w:tcPr>
            <w:tcW w:w="255" w:type="pct"/>
          </w:tcPr>
          <w:p w:rsidR="007E10D0" w:rsidRPr="00051154" w:rsidRDefault="007E10D0" w:rsidP="00CE3F88">
            <w:pPr>
              <w:pStyle w:val="TableParagraph"/>
              <w:spacing w:before="6"/>
              <w:ind w:left="106" w:right="102"/>
              <w:rPr>
                <w:b/>
                <w:sz w:val="18"/>
                <w:szCs w:val="18"/>
              </w:rPr>
            </w:pPr>
          </w:p>
        </w:tc>
        <w:tc>
          <w:tcPr>
            <w:tcW w:w="349" w:type="pct"/>
          </w:tcPr>
          <w:p w:rsidR="007E10D0" w:rsidRPr="00051154" w:rsidRDefault="007E10D0" w:rsidP="00CE3F88">
            <w:pPr>
              <w:pStyle w:val="TableParagraph"/>
              <w:spacing w:before="6"/>
              <w:ind w:left="-15" w:right="16"/>
              <w:rPr>
                <w:b/>
                <w:sz w:val="18"/>
                <w:szCs w:val="18"/>
              </w:rPr>
            </w:pPr>
            <w:r w:rsidRPr="00051154">
              <w:rPr>
                <w:sz w:val="18"/>
                <w:szCs w:val="18"/>
              </w:rPr>
              <w:t>0</w:t>
            </w:r>
          </w:p>
        </w:tc>
        <w:tc>
          <w:tcPr>
            <w:tcW w:w="349" w:type="pct"/>
          </w:tcPr>
          <w:p w:rsidR="007E10D0" w:rsidRPr="00051154" w:rsidRDefault="007E10D0" w:rsidP="00CE3F88">
            <w:pPr>
              <w:pStyle w:val="TableParagraph"/>
              <w:spacing w:before="6"/>
              <w:rPr>
                <w:b/>
                <w:sz w:val="18"/>
                <w:szCs w:val="18"/>
              </w:rPr>
            </w:pPr>
            <w:r w:rsidRPr="00051154">
              <w:rPr>
                <w:sz w:val="18"/>
                <w:szCs w:val="18"/>
              </w:rPr>
              <w:t>E0</w:t>
            </w:r>
          </w:p>
        </w:tc>
        <w:tc>
          <w:tcPr>
            <w:tcW w:w="349" w:type="pct"/>
          </w:tcPr>
          <w:p w:rsidR="007E10D0" w:rsidRPr="00051154" w:rsidRDefault="007E10D0" w:rsidP="00CE3F88">
            <w:pPr>
              <w:pStyle w:val="TableParagraph"/>
              <w:spacing w:before="6"/>
              <w:ind w:left="141" w:right="141"/>
              <w:rPr>
                <w:b/>
                <w:sz w:val="18"/>
                <w:szCs w:val="18"/>
              </w:rPr>
            </w:pPr>
            <w:r w:rsidRPr="00051154">
              <w:rPr>
                <w:sz w:val="18"/>
                <w:szCs w:val="18"/>
              </w:rPr>
              <w:t>P131</w:t>
            </w:r>
          </w:p>
        </w:tc>
        <w:tc>
          <w:tcPr>
            <w:tcW w:w="349" w:type="pct"/>
          </w:tcPr>
          <w:p w:rsidR="007E10D0" w:rsidRPr="00051154" w:rsidRDefault="007E10D0" w:rsidP="00CE3F88">
            <w:pPr>
              <w:pStyle w:val="TableParagraph"/>
              <w:spacing w:before="6"/>
              <w:ind w:right="226"/>
              <w:jc w:val="right"/>
              <w:rPr>
                <w:b/>
                <w:sz w:val="18"/>
                <w:szCs w:val="18"/>
                <w:u w:val="single"/>
              </w:rPr>
            </w:pPr>
          </w:p>
        </w:tc>
        <w:tc>
          <w:tcPr>
            <w:tcW w:w="349" w:type="pct"/>
          </w:tcPr>
          <w:p w:rsidR="007E10D0" w:rsidRPr="00051154" w:rsidRDefault="007E10D0" w:rsidP="00CE3F88">
            <w:pPr>
              <w:pStyle w:val="TableParagraph"/>
              <w:spacing w:before="6"/>
              <w:ind w:left="7" w:right="8"/>
              <w:rPr>
                <w:b/>
                <w:sz w:val="18"/>
                <w:szCs w:val="18"/>
                <w:u w:val="single"/>
              </w:rPr>
            </w:pPr>
          </w:p>
        </w:tc>
        <w:tc>
          <w:tcPr>
            <w:tcW w:w="396" w:type="pct"/>
          </w:tcPr>
          <w:p w:rsidR="007E10D0" w:rsidRPr="00051154" w:rsidRDefault="007E10D0" w:rsidP="00CE3F88">
            <w:pPr>
              <w:pStyle w:val="TableParagraph"/>
              <w:spacing w:before="6"/>
              <w:ind w:left="213"/>
              <w:jc w:val="left"/>
              <w:rPr>
                <w:b/>
                <w:sz w:val="18"/>
                <w:szCs w:val="18"/>
                <w:u w:val="single"/>
              </w:rPr>
            </w:pPr>
          </w:p>
        </w:tc>
      </w:tr>
      <w:tr w:rsidR="00CF61E5" w:rsidRPr="00051154" w:rsidTr="00CF61E5">
        <w:trPr>
          <w:trHeight w:hRule="exact" w:val="811"/>
        </w:trPr>
        <w:tc>
          <w:tcPr>
            <w:tcW w:w="299" w:type="pct"/>
          </w:tcPr>
          <w:p w:rsidR="007E10D0" w:rsidRPr="00051154" w:rsidRDefault="007E10D0" w:rsidP="00CF61E5">
            <w:pPr>
              <w:suppressAutoHyphens w:val="0"/>
              <w:spacing w:before="40" w:after="120" w:line="276" w:lineRule="auto"/>
              <w:jc w:val="center"/>
              <w:rPr>
                <w:bCs/>
                <w:sz w:val="18"/>
                <w:szCs w:val="18"/>
              </w:rPr>
            </w:pPr>
            <w:r w:rsidRPr="00051154">
              <w:rPr>
                <w:bCs/>
                <w:sz w:val="18"/>
                <w:szCs w:val="18"/>
              </w:rPr>
              <w:t>0512</w:t>
            </w:r>
          </w:p>
        </w:tc>
        <w:tc>
          <w:tcPr>
            <w:tcW w:w="1346" w:type="pct"/>
          </w:tcPr>
          <w:p w:rsidR="007E10D0" w:rsidRPr="00051154" w:rsidRDefault="007E10D0" w:rsidP="00CE3F88">
            <w:pPr>
              <w:pStyle w:val="TableParagraph"/>
              <w:spacing w:before="6"/>
              <w:ind w:left="6" w:right="6"/>
              <w:jc w:val="left"/>
              <w:rPr>
                <w:sz w:val="18"/>
                <w:szCs w:val="18"/>
              </w:rPr>
            </w:pPr>
            <w:r w:rsidRPr="00051154">
              <w:rPr>
                <w:sz w:val="18"/>
                <w:szCs w:val="18"/>
              </w:rPr>
              <w:t>DETONATORS, ELECTRONIC programmable for blasting†</w:t>
            </w:r>
          </w:p>
        </w:tc>
        <w:tc>
          <w:tcPr>
            <w:tcW w:w="318" w:type="pct"/>
          </w:tcPr>
          <w:p w:rsidR="007E10D0" w:rsidRPr="00051154" w:rsidRDefault="007E10D0" w:rsidP="00CE3F88">
            <w:pPr>
              <w:pStyle w:val="TableParagraph"/>
              <w:spacing w:before="6"/>
              <w:ind w:left="127" w:right="126"/>
              <w:rPr>
                <w:sz w:val="18"/>
                <w:szCs w:val="18"/>
              </w:rPr>
            </w:pPr>
            <w:r w:rsidRPr="00051154">
              <w:rPr>
                <w:sz w:val="18"/>
                <w:szCs w:val="18"/>
              </w:rPr>
              <w:t>1.4B</w:t>
            </w:r>
          </w:p>
        </w:tc>
        <w:tc>
          <w:tcPr>
            <w:tcW w:w="249" w:type="pct"/>
          </w:tcPr>
          <w:p w:rsidR="007E10D0" w:rsidRPr="00051154" w:rsidRDefault="007E10D0" w:rsidP="00CE3F88">
            <w:pPr>
              <w:pStyle w:val="TableParagraph"/>
              <w:spacing w:before="6"/>
              <w:ind w:left="107" w:right="107"/>
              <w:rPr>
                <w:b/>
                <w:sz w:val="18"/>
                <w:szCs w:val="18"/>
              </w:rPr>
            </w:pPr>
          </w:p>
        </w:tc>
        <w:tc>
          <w:tcPr>
            <w:tcW w:w="394" w:type="pct"/>
          </w:tcPr>
          <w:p w:rsidR="007E10D0" w:rsidRPr="00051154" w:rsidRDefault="007E10D0" w:rsidP="00CE3F88">
            <w:pPr>
              <w:pStyle w:val="TableParagraph"/>
              <w:spacing w:before="6"/>
              <w:ind w:left="67" w:right="67"/>
              <w:rPr>
                <w:b/>
                <w:sz w:val="18"/>
                <w:szCs w:val="18"/>
              </w:rPr>
            </w:pPr>
          </w:p>
        </w:tc>
        <w:tc>
          <w:tcPr>
            <w:tcW w:w="255" w:type="pct"/>
          </w:tcPr>
          <w:p w:rsidR="007E10D0" w:rsidRPr="00051154" w:rsidRDefault="007E10D0" w:rsidP="00CE3F88">
            <w:pPr>
              <w:pStyle w:val="TableParagraph"/>
              <w:spacing w:before="6"/>
              <w:ind w:left="106" w:right="102"/>
              <w:rPr>
                <w:b/>
                <w:sz w:val="18"/>
                <w:szCs w:val="18"/>
              </w:rPr>
            </w:pPr>
          </w:p>
        </w:tc>
        <w:tc>
          <w:tcPr>
            <w:tcW w:w="349" w:type="pct"/>
          </w:tcPr>
          <w:p w:rsidR="007E10D0" w:rsidRPr="00051154" w:rsidRDefault="007E10D0" w:rsidP="00CE3F88">
            <w:pPr>
              <w:pStyle w:val="TableParagraph"/>
              <w:spacing w:before="6"/>
              <w:ind w:left="-15" w:right="16"/>
              <w:rPr>
                <w:sz w:val="18"/>
                <w:szCs w:val="18"/>
              </w:rPr>
            </w:pPr>
            <w:r w:rsidRPr="00051154">
              <w:rPr>
                <w:sz w:val="18"/>
                <w:szCs w:val="18"/>
              </w:rPr>
              <w:t>0</w:t>
            </w:r>
          </w:p>
        </w:tc>
        <w:tc>
          <w:tcPr>
            <w:tcW w:w="349" w:type="pct"/>
          </w:tcPr>
          <w:p w:rsidR="007E10D0" w:rsidRPr="00051154" w:rsidRDefault="007E10D0" w:rsidP="00CE3F88">
            <w:pPr>
              <w:pStyle w:val="TableParagraph"/>
              <w:spacing w:before="6"/>
              <w:rPr>
                <w:sz w:val="18"/>
                <w:szCs w:val="18"/>
              </w:rPr>
            </w:pPr>
            <w:r w:rsidRPr="00051154">
              <w:rPr>
                <w:sz w:val="18"/>
                <w:szCs w:val="18"/>
              </w:rPr>
              <w:t>E0</w:t>
            </w:r>
          </w:p>
        </w:tc>
        <w:tc>
          <w:tcPr>
            <w:tcW w:w="349" w:type="pct"/>
          </w:tcPr>
          <w:p w:rsidR="007E10D0" w:rsidRPr="00051154" w:rsidRDefault="007E10D0" w:rsidP="00CE3F88">
            <w:pPr>
              <w:pStyle w:val="TableParagraph"/>
              <w:spacing w:before="6"/>
              <w:ind w:left="141" w:right="141"/>
              <w:rPr>
                <w:sz w:val="18"/>
                <w:szCs w:val="18"/>
              </w:rPr>
            </w:pPr>
            <w:r w:rsidRPr="00051154">
              <w:rPr>
                <w:sz w:val="18"/>
                <w:szCs w:val="18"/>
              </w:rPr>
              <w:t>P131</w:t>
            </w:r>
          </w:p>
        </w:tc>
        <w:tc>
          <w:tcPr>
            <w:tcW w:w="349" w:type="pct"/>
          </w:tcPr>
          <w:p w:rsidR="007E10D0" w:rsidRPr="00051154" w:rsidRDefault="007E10D0" w:rsidP="00CE3F88">
            <w:pPr>
              <w:pStyle w:val="TableParagraph"/>
              <w:spacing w:before="6"/>
              <w:ind w:right="226"/>
              <w:jc w:val="right"/>
              <w:rPr>
                <w:b/>
                <w:sz w:val="18"/>
                <w:szCs w:val="18"/>
                <w:u w:val="single"/>
              </w:rPr>
            </w:pPr>
          </w:p>
        </w:tc>
        <w:tc>
          <w:tcPr>
            <w:tcW w:w="349" w:type="pct"/>
          </w:tcPr>
          <w:p w:rsidR="007E10D0" w:rsidRPr="00051154" w:rsidRDefault="007E10D0" w:rsidP="00CE3F88">
            <w:pPr>
              <w:pStyle w:val="TableParagraph"/>
              <w:spacing w:before="6"/>
              <w:ind w:left="7" w:right="8"/>
              <w:rPr>
                <w:b/>
                <w:sz w:val="18"/>
                <w:szCs w:val="18"/>
                <w:u w:val="single"/>
              </w:rPr>
            </w:pPr>
          </w:p>
        </w:tc>
        <w:tc>
          <w:tcPr>
            <w:tcW w:w="396" w:type="pct"/>
          </w:tcPr>
          <w:p w:rsidR="007E10D0" w:rsidRPr="00051154" w:rsidRDefault="007E10D0" w:rsidP="00CE3F88">
            <w:pPr>
              <w:pStyle w:val="TableParagraph"/>
              <w:spacing w:before="6"/>
              <w:ind w:left="213"/>
              <w:jc w:val="left"/>
              <w:rPr>
                <w:b/>
                <w:sz w:val="18"/>
                <w:szCs w:val="18"/>
                <w:u w:val="single"/>
              </w:rPr>
            </w:pPr>
          </w:p>
        </w:tc>
      </w:tr>
      <w:tr w:rsidR="00CF61E5" w:rsidRPr="00051154" w:rsidTr="00CF61E5">
        <w:trPr>
          <w:trHeight w:hRule="exact" w:val="811"/>
        </w:trPr>
        <w:tc>
          <w:tcPr>
            <w:tcW w:w="299" w:type="pct"/>
          </w:tcPr>
          <w:p w:rsidR="007E10D0" w:rsidRPr="00051154" w:rsidRDefault="007E10D0" w:rsidP="00CF61E5">
            <w:pPr>
              <w:suppressAutoHyphens w:val="0"/>
              <w:spacing w:before="40" w:after="120" w:line="276" w:lineRule="auto"/>
              <w:jc w:val="center"/>
              <w:rPr>
                <w:bCs/>
                <w:sz w:val="18"/>
                <w:szCs w:val="18"/>
              </w:rPr>
            </w:pPr>
            <w:r w:rsidRPr="00051154">
              <w:rPr>
                <w:bCs/>
                <w:sz w:val="18"/>
                <w:szCs w:val="18"/>
              </w:rPr>
              <w:t>0513</w:t>
            </w:r>
          </w:p>
        </w:tc>
        <w:tc>
          <w:tcPr>
            <w:tcW w:w="1346" w:type="pct"/>
          </w:tcPr>
          <w:p w:rsidR="007E10D0" w:rsidRPr="00051154" w:rsidRDefault="007E10D0" w:rsidP="00CE3F88">
            <w:pPr>
              <w:pStyle w:val="TableParagraph"/>
              <w:spacing w:before="6"/>
              <w:ind w:left="6" w:right="6"/>
              <w:jc w:val="left"/>
              <w:rPr>
                <w:sz w:val="18"/>
                <w:szCs w:val="18"/>
              </w:rPr>
            </w:pPr>
            <w:r w:rsidRPr="00051154">
              <w:rPr>
                <w:sz w:val="18"/>
                <w:szCs w:val="18"/>
              </w:rPr>
              <w:t>DETONATORS, ELECTRONIC programmable for blasting†</w:t>
            </w:r>
          </w:p>
        </w:tc>
        <w:tc>
          <w:tcPr>
            <w:tcW w:w="318" w:type="pct"/>
          </w:tcPr>
          <w:p w:rsidR="007E10D0" w:rsidRPr="00051154" w:rsidRDefault="007E10D0" w:rsidP="00CE3F88">
            <w:pPr>
              <w:pStyle w:val="TableParagraph"/>
              <w:spacing w:before="6"/>
              <w:ind w:left="127" w:right="126"/>
              <w:rPr>
                <w:sz w:val="18"/>
                <w:szCs w:val="18"/>
              </w:rPr>
            </w:pPr>
            <w:r w:rsidRPr="00051154">
              <w:rPr>
                <w:sz w:val="18"/>
                <w:szCs w:val="18"/>
              </w:rPr>
              <w:t>1.4S</w:t>
            </w:r>
          </w:p>
        </w:tc>
        <w:tc>
          <w:tcPr>
            <w:tcW w:w="249" w:type="pct"/>
          </w:tcPr>
          <w:p w:rsidR="007E10D0" w:rsidRPr="00051154" w:rsidRDefault="007E10D0" w:rsidP="00CE3F88">
            <w:pPr>
              <w:pStyle w:val="TableParagraph"/>
              <w:spacing w:before="6"/>
              <w:ind w:left="107" w:right="107"/>
              <w:rPr>
                <w:b/>
                <w:sz w:val="18"/>
                <w:szCs w:val="18"/>
              </w:rPr>
            </w:pPr>
          </w:p>
        </w:tc>
        <w:tc>
          <w:tcPr>
            <w:tcW w:w="394" w:type="pct"/>
          </w:tcPr>
          <w:p w:rsidR="007E10D0" w:rsidRPr="00051154" w:rsidRDefault="007E10D0" w:rsidP="00CE3F88">
            <w:pPr>
              <w:pStyle w:val="TableParagraph"/>
              <w:spacing w:before="6"/>
              <w:ind w:left="67" w:right="67"/>
              <w:rPr>
                <w:b/>
                <w:sz w:val="18"/>
                <w:szCs w:val="18"/>
              </w:rPr>
            </w:pPr>
          </w:p>
        </w:tc>
        <w:tc>
          <w:tcPr>
            <w:tcW w:w="255" w:type="pct"/>
          </w:tcPr>
          <w:p w:rsidR="007E10D0" w:rsidRPr="00051154" w:rsidRDefault="007E10D0" w:rsidP="00CE3F88">
            <w:pPr>
              <w:pStyle w:val="TableParagraph"/>
              <w:spacing w:before="6"/>
              <w:ind w:left="106" w:right="102"/>
              <w:rPr>
                <w:b/>
                <w:sz w:val="18"/>
                <w:szCs w:val="18"/>
              </w:rPr>
            </w:pPr>
            <w:r w:rsidRPr="00051154">
              <w:rPr>
                <w:sz w:val="18"/>
                <w:szCs w:val="18"/>
              </w:rPr>
              <w:t>347</w:t>
            </w:r>
          </w:p>
        </w:tc>
        <w:tc>
          <w:tcPr>
            <w:tcW w:w="349" w:type="pct"/>
          </w:tcPr>
          <w:p w:rsidR="007E10D0" w:rsidRPr="00051154" w:rsidRDefault="007E10D0" w:rsidP="00CE3F88">
            <w:pPr>
              <w:pStyle w:val="TableParagraph"/>
              <w:spacing w:before="6"/>
              <w:ind w:left="-15" w:right="16"/>
              <w:rPr>
                <w:sz w:val="18"/>
                <w:szCs w:val="18"/>
              </w:rPr>
            </w:pPr>
            <w:r w:rsidRPr="00051154">
              <w:rPr>
                <w:sz w:val="18"/>
                <w:szCs w:val="18"/>
              </w:rPr>
              <w:t>0</w:t>
            </w:r>
          </w:p>
        </w:tc>
        <w:tc>
          <w:tcPr>
            <w:tcW w:w="349" w:type="pct"/>
          </w:tcPr>
          <w:p w:rsidR="007E10D0" w:rsidRPr="00051154" w:rsidRDefault="007E10D0" w:rsidP="00CE3F88">
            <w:pPr>
              <w:pStyle w:val="TableParagraph"/>
              <w:spacing w:before="6"/>
              <w:rPr>
                <w:sz w:val="18"/>
                <w:szCs w:val="18"/>
              </w:rPr>
            </w:pPr>
            <w:r w:rsidRPr="00051154">
              <w:rPr>
                <w:sz w:val="18"/>
                <w:szCs w:val="18"/>
              </w:rPr>
              <w:t>E0</w:t>
            </w:r>
          </w:p>
        </w:tc>
        <w:tc>
          <w:tcPr>
            <w:tcW w:w="349" w:type="pct"/>
          </w:tcPr>
          <w:p w:rsidR="007E10D0" w:rsidRPr="00051154" w:rsidRDefault="007E10D0" w:rsidP="00CE3F88">
            <w:pPr>
              <w:pStyle w:val="TableParagraph"/>
              <w:spacing w:before="6"/>
              <w:ind w:left="141" w:right="141"/>
              <w:rPr>
                <w:sz w:val="18"/>
                <w:szCs w:val="18"/>
              </w:rPr>
            </w:pPr>
            <w:r w:rsidRPr="00051154">
              <w:rPr>
                <w:sz w:val="18"/>
                <w:szCs w:val="18"/>
              </w:rPr>
              <w:t>P131</w:t>
            </w:r>
          </w:p>
        </w:tc>
        <w:tc>
          <w:tcPr>
            <w:tcW w:w="349" w:type="pct"/>
          </w:tcPr>
          <w:p w:rsidR="007E10D0" w:rsidRPr="00051154" w:rsidRDefault="007E10D0" w:rsidP="00CE3F88">
            <w:pPr>
              <w:pStyle w:val="TableParagraph"/>
              <w:spacing w:before="6"/>
              <w:ind w:right="226"/>
              <w:jc w:val="right"/>
              <w:rPr>
                <w:b/>
                <w:sz w:val="18"/>
                <w:szCs w:val="18"/>
                <w:u w:val="single"/>
              </w:rPr>
            </w:pPr>
          </w:p>
        </w:tc>
        <w:tc>
          <w:tcPr>
            <w:tcW w:w="349" w:type="pct"/>
          </w:tcPr>
          <w:p w:rsidR="007E10D0" w:rsidRPr="00051154" w:rsidRDefault="007E10D0" w:rsidP="00CE3F88">
            <w:pPr>
              <w:pStyle w:val="TableParagraph"/>
              <w:spacing w:before="6"/>
              <w:ind w:left="7" w:right="8"/>
              <w:rPr>
                <w:b/>
                <w:sz w:val="18"/>
                <w:szCs w:val="18"/>
                <w:u w:val="single"/>
              </w:rPr>
            </w:pPr>
          </w:p>
        </w:tc>
        <w:tc>
          <w:tcPr>
            <w:tcW w:w="396" w:type="pct"/>
          </w:tcPr>
          <w:p w:rsidR="007E10D0" w:rsidRPr="00051154" w:rsidRDefault="007E10D0" w:rsidP="00CE3F88">
            <w:pPr>
              <w:pStyle w:val="TableParagraph"/>
              <w:spacing w:before="6"/>
              <w:ind w:left="213"/>
              <w:jc w:val="left"/>
              <w:rPr>
                <w:b/>
                <w:sz w:val="18"/>
                <w:szCs w:val="18"/>
                <w:u w:val="single"/>
              </w:rPr>
            </w:pPr>
          </w:p>
        </w:tc>
      </w:tr>
    </w:tbl>
    <w:p w:rsidR="003A656F" w:rsidRPr="000A5267" w:rsidRDefault="007E10D0" w:rsidP="007C6585">
      <w:pPr>
        <w:pStyle w:val="H23G"/>
        <w:tabs>
          <w:tab w:val="left" w:pos="1075"/>
        </w:tabs>
        <w:rPr>
          <w:b w:val="0"/>
          <w:bCs/>
          <w:i/>
          <w:iCs/>
          <w:lang w:val="en-US"/>
        </w:rPr>
      </w:pPr>
      <w:r w:rsidRPr="00571DE1">
        <w:rPr>
          <w:b w:val="0"/>
          <w:bCs/>
          <w:lang w:val="fr-CH"/>
        </w:rPr>
        <w:tab/>
      </w:r>
      <w:r w:rsidRPr="00571DE1">
        <w:rPr>
          <w:b w:val="0"/>
          <w:bCs/>
          <w:lang w:val="fr-CH"/>
        </w:rPr>
        <w:tab/>
      </w:r>
      <w:r w:rsidR="003A656F" w:rsidRPr="000A5267">
        <w:rPr>
          <w:b w:val="0"/>
          <w:bCs/>
          <w:i/>
          <w:iCs/>
          <w:lang w:val="en-US"/>
        </w:rPr>
        <w:t xml:space="preserve">(Reference document: </w:t>
      </w:r>
      <w:r w:rsidR="00E474A3" w:rsidRPr="00E474A3">
        <w:rPr>
          <w:b w:val="0"/>
          <w:bCs/>
          <w:i/>
          <w:iCs/>
        </w:rPr>
        <w:t>ST/SG/AC.10/C.3/2018/</w:t>
      </w:r>
      <w:r w:rsidR="00E474A3">
        <w:rPr>
          <w:b w:val="0"/>
          <w:bCs/>
          <w:i/>
          <w:iCs/>
        </w:rPr>
        <w:t>58 and</w:t>
      </w:r>
      <w:r w:rsidR="00E474A3">
        <w:rPr>
          <w:i/>
          <w:iCs/>
        </w:rPr>
        <w:t xml:space="preserve"> </w:t>
      </w:r>
      <w:r w:rsidR="003A656F" w:rsidRPr="000A5267">
        <w:rPr>
          <w:b w:val="0"/>
          <w:bCs/>
          <w:i/>
          <w:iCs/>
          <w:lang w:val="en-US"/>
        </w:rPr>
        <w:t xml:space="preserve">informal document </w:t>
      </w:r>
      <w:r w:rsidR="002C2762" w:rsidRPr="000A5267">
        <w:rPr>
          <w:b w:val="0"/>
          <w:bCs/>
          <w:i/>
          <w:iCs/>
          <w:lang w:val="en-US"/>
        </w:rPr>
        <w:t>INF.</w:t>
      </w:r>
      <w:r w:rsidR="003A656F" w:rsidRPr="000A5267">
        <w:rPr>
          <w:b w:val="0"/>
          <w:bCs/>
          <w:i/>
          <w:iCs/>
          <w:lang w:val="en-US"/>
        </w:rPr>
        <w:t>67, annex 2, amendment 2)</w:t>
      </w:r>
    </w:p>
    <w:p w:rsidR="007C6585" w:rsidRPr="000E4463" w:rsidRDefault="003A656F" w:rsidP="007C6585">
      <w:pPr>
        <w:pStyle w:val="H23G"/>
        <w:tabs>
          <w:tab w:val="left" w:pos="1075"/>
        </w:tabs>
        <w:rPr>
          <w:b w:val="0"/>
          <w:bCs/>
        </w:rPr>
      </w:pPr>
      <w:r w:rsidRPr="000A5267">
        <w:rPr>
          <w:b w:val="0"/>
          <w:bCs/>
          <w:lang w:val="en-US"/>
        </w:rPr>
        <w:tab/>
      </w:r>
      <w:r w:rsidRPr="000A5267">
        <w:rPr>
          <w:b w:val="0"/>
          <w:bCs/>
          <w:lang w:val="en-US"/>
        </w:rPr>
        <w:tab/>
      </w:r>
      <w:r w:rsidR="007C6585" w:rsidRPr="000E4463">
        <w:rPr>
          <w:b w:val="0"/>
          <w:bCs/>
        </w:rPr>
        <w:t>Insert the following new entry:</w:t>
      </w:r>
    </w:p>
    <w:tbl>
      <w:tblPr>
        <w:tblW w:w="902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06"/>
        <w:gridCol w:w="2420"/>
        <w:gridCol w:w="567"/>
        <w:gridCol w:w="425"/>
        <w:gridCol w:w="709"/>
        <w:gridCol w:w="567"/>
        <w:gridCol w:w="567"/>
        <w:gridCol w:w="567"/>
        <w:gridCol w:w="709"/>
        <w:gridCol w:w="567"/>
        <w:gridCol w:w="709"/>
        <w:gridCol w:w="708"/>
      </w:tblGrid>
      <w:tr w:rsidR="007C6585" w:rsidRPr="00051154" w:rsidTr="00E474A3">
        <w:trPr>
          <w:cantSplit/>
          <w:tblHeader/>
        </w:trPr>
        <w:tc>
          <w:tcPr>
            <w:tcW w:w="506"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(1)</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(7a)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sz w:val="18"/>
                <w:szCs w:val="18"/>
              </w:rPr>
            </w:pPr>
            <w:r w:rsidRPr="00051154">
              <w:rPr>
                <w:bCs/>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120" w:line="276" w:lineRule="auto"/>
              <w:jc w:val="center"/>
              <w:rPr>
                <w:bCs/>
                <w:iCs/>
                <w:sz w:val="18"/>
                <w:szCs w:val="18"/>
              </w:rPr>
            </w:pPr>
            <w:r w:rsidRPr="00051154">
              <w:rPr>
                <w:bCs/>
                <w:iCs/>
                <w:sz w:val="18"/>
                <w:szCs w:val="18"/>
              </w:rPr>
              <w:t>(11)</w:t>
            </w:r>
          </w:p>
        </w:tc>
      </w:tr>
      <w:tr w:rsidR="007C6585" w:rsidRPr="00051154" w:rsidTr="00E474A3">
        <w:trPr>
          <w:cantSplit/>
        </w:trPr>
        <w:tc>
          <w:tcPr>
            <w:tcW w:w="506"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0A5267" w:rsidP="001E426F">
            <w:pPr>
              <w:suppressAutoHyphens w:val="0"/>
              <w:spacing w:line="200" w:lineRule="exact"/>
              <w:rPr>
                <w:sz w:val="18"/>
                <w:szCs w:val="18"/>
              </w:rPr>
            </w:pPr>
            <w:r>
              <w:rPr>
                <w:b/>
                <w:bCs/>
              </w:rPr>
              <w:t>[</w:t>
            </w:r>
            <w:r w:rsidR="007C6585" w:rsidRPr="00051154">
              <w:rPr>
                <w:sz w:val="18"/>
                <w:szCs w:val="18"/>
              </w:rPr>
              <w:t>3549</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tabs>
                <w:tab w:val="left" w:pos="288"/>
                <w:tab w:val="left" w:pos="576"/>
                <w:tab w:val="left" w:pos="864"/>
                <w:tab w:val="left" w:pos="1152"/>
              </w:tabs>
              <w:spacing w:before="40" w:after="40" w:line="210" w:lineRule="exact"/>
              <w:ind w:right="40"/>
              <w:rPr>
                <w:sz w:val="18"/>
                <w:szCs w:val="18"/>
              </w:rPr>
            </w:pPr>
            <w:r w:rsidRPr="00051154">
              <w:rPr>
                <w:sz w:val="18"/>
                <w:szCs w:val="18"/>
              </w:rPr>
              <w:t>MEDICAL WASTE, CATEGORY A, AFFECTING HUMANS, solid or MEDICAL WASTE, CATEGORY A, AFFECTING ANIMALS only, solid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40" w:line="220" w:lineRule="exact"/>
              <w:ind w:right="113"/>
              <w:jc w:val="center"/>
              <w:rPr>
                <w:sz w:val="18"/>
                <w:szCs w:val="18"/>
                <w:lang w:val="fr-FR"/>
              </w:rPr>
            </w:pPr>
            <w:r w:rsidRPr="00051154">
              <w:rPr>
                <w:sz w:val="18"/>
                <w:szCs w:val="18"/>
                <w:lang w:val="fr-FR"/>
              </w:rPr>
              <w:t>6.2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40" w:line="220" w:lineRule="exact"/>
              <w:ind w:right="113"/>
              <w:jc w:val="center"/>
              <w:rPr>
                <w:sz w:val="18"/>
                <w:szCs w:val="18"/>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40" w:line="220" w:lineRule="exact"/>
              <w:ind w:right="113"/>
              <w:jc w:val="center"/>
              <w:rPr>
                <w:sz w:val="18"/>
                <w:szCs w:val="18"/>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40" w:line="220" w:lineRule="exact"/>
              <w:ind w:right="113"/>
              <w:jc w:val="center"/>
              <w:rPr>
                <w:sz w:val="18"/>
                <w:szCs w:val="18"/>
                <w:lang w:val="fr-FR"/>
              </w:rPr>
            </w:pPr>
            <w:r w:rsidRPr="00051154">
              <w:rPr>
                <w:sz w:val="18"/>
                <w:szCs w:val="18"/>
                <w:lang w:val="fr-FR"/>
              </w:rPr>
              <w:t>395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40" w:line="220" w:lineRule="exact"/>
              <w:ind w:right="113"/>
              <w:jc w:val="center"/>
              <w:rPr>
                <w:sz w:val="18"/>
                <w:szCs w:val="18"/>
                <w:lang w:val="fr-FR"/>
              </w:rPr>
            </w:pPr>
            <w:r w:rsidRPr="00051154">
              <w:rPr>
                <w:sz w:val="18"/>
                <w:szCs w:val="18"/>
                <w:lang w:val="fr-FR"/>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40" w:line="220" w:lineRule="exact"/>
              <w:ind w:right="113"/>
              <w:jc w:val="center"/>
              <w:rPr>
                <w:sz w:val="18"/>
                <w:szCs w:val="18"/>
                <w:lang w:val="fr-FR"/>
              </w:rPr>
            </w:pPr>
            <w:r w:rsidRPr="00051154">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40" w:line="220" w:lineRule="exact"/>
              <w:ind w:right="113"/>
              <w:jc w:val="center"/>
              <w:rPr>
                <w:sz w:val="18"/>
                <w:szCs w:val="18"/>
                <w:lang w:val="fr-FR"/>
              </w:rPr>
            </w:pPr>
            <w:r w:rsidRPr="00051154">
              <w:rPr>
                <w:sz w:val="18"/>
                <w:szCs w:val="18"/>
                <w:lang w:val="fr-FR"/>
              </w:rPr>
              <w:t>P622</w:t>
            </w:r>
          </w:p>
          <w:p w:rsidR="007C6585" w:rsidRPr="00051154" w:rsidRDefault="007C6585" w:rsidP="001E426F">
            <w:pPr>
              <w:suppressAutoHyphens w:val="0"/>
              <w:spacing w:before="40" w:after="40" w:line="220" w:lineRule="exact"/>
              <w:ind w:right="113"/>
              <w:jc w:val="center"/>
              <w:rPr>
                <w:sz w:val="18"/>
                <w:szCs w:val="18"/>
                <w:highlight w:val="yellow"/>
                <w:lang w:val="fr-FR"/>
              </w:rPr>
            </w:pPr>
            <w:r w:rsidRPr="00051154">
              <w:rPr>
                <w:sz w:val="18"/>
                <w:szCs w:val="18"/>
                <w:lang w:val="fr-FR"/>
              </w:rPr>
              <w:t>LP622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40" w:line="220" w:lineRule="exact"/>
              <w:ind w:right="113"/>
              <w:jc w:val="center"/>
              <w:rPr>
                <w:sz w:val="18"/>
                <w:szCs w:val="18"/>
                <w:highlight w:val="yellow"/>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7C6585" w:rsidP="001E426F">
            <w:pPr>
              <w:suppressAutoHyphens w:val="0"/>
              <w:spacing w:before="40" w:after="40" w:line="220" w:lineRule="exact"/>
              <w:ind w:right="113"/>
              <w:jc w:val="center"/>
              <w:rPr>
                <w:sz w:val="18"/>
                <w:szCs w:val="18"/>
                <w:lang w:val="fr-F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585" w:rsidRPr="00051154" w:rsidRDefault="000A5267" w:rsidP="001E426F">
            <w:pPr>
              <w:suppressAutoHyphens w:val="0"/>
              <w:spacing w:before="40" w:after="40" w:line="220" w:lineRule="exact"/>
              <w:ind w:right="113"/>
              <w:jc w:val="center"/>
              <w:rPr>
                <w:sz w:val="18"/>
                <w:szCs w:val="18"/>
                <w:lang w:val="fr-FR"/>
              </w:rPr>
            </w:pPr>
            <w:r>
              <w:rPr>
                <w:sz w:val="18"/>
                <w:szCs w:val="18"/>
                <w:lang w:val="fr-FR"/>
              </w:rPr>
              <w:t>]</w:t>
            </w:r>
          </w:p>
        </w:tc>
      </w:tr>
    </w:tbl>
    <w:p w:rsidR="007C6585" w:rsidRPr="0038305B" w:rsidRDefault="000A5267" w:rsidP="007C6585">
      <w:pPr>
        <w:pStyle w:val="SingleTxtG"/>
        <w:rPr>
          <w:i/>
          <w:iCs/>
        </w:rPr>
      </w:pPr>
      <w:r>
        <w:rPr>
          <w:i/>
          <w:iCs/>
        </w:rPr>
        <w:t xml:space="preserve"> </w:t>
      </w:r>
      <w:r w:rsidR="007C6585">
        <w:rPr>
          <w:i/>
          <w:iCs/>
        </w:rPr>
        <w:t>(Reference document</w:t>
      </w:r>
      <w:r w:rsidR="007C6585" w:rsidRPr="0038305B">
        <w:rPr>
          <w:i/>
          <w:iCs/>
        </w:rPr>
        <w:t xml:space="preserve">: </w:t>
      </w:r>
      <w:bookmarkStart w:id="2" w:name="_Hlk520469102"/>
      <w:r w:rsidR="00B605F8" w:rsidRPr="00B605F8">
        <w:rPr>
          <w:i/>
          <w:iCs/>
        </w:rPr>
        <w:t>ST/SG/AC.10/C.3/2018/20</w:t>
      </w:r>
      <w:bookmarkEnd w:id="2"/>
      <w:r w:rsidR="00B605F8" w:rsidRPr="00B605F8">
        <w:rPr>
          <w:i/>
          <w:iCs/>
        </w:rPr>
        <w:t xml:space="preserve"> and</w:t>
      </w:r>
      <w:r w:rsidR="00B605F8">
        <w:rPr>
          <w:i/>
          <w:iCs/>
        </w:rPr>
        <w:t xml:space="preserve"> </w:t>
      </w:r>
      <w:r w:rsidR="007C6585" w:rsidRPr="0038305B">
        <w:rPr>
          <w:i/>
          <w:iCs/>
        </w:rPr>
        <w:t>informal document INF.70, replaces the amendment in annex II of document ST/SG/AC.10/C.3/102/Add.1)</w:t>
      </w:r>
    </w:p>
    <w:p w:rsidR="00B24BCA" w:rsidRPr="00AE5497" w:rsidRDefault="00B24BCA" w:rsidP="00B24BCA">
      <w:pPr>
        <w:pStyle w:val="SingleTxtG"/>
      </w:pPr>
      <w:r w:rsidRPr="00AE5497">
        <w:t xml:space="preserve">For UN Nos. </w:t>
      </w:r>
      <w:r>
        <w:t>0340, 0341, 0342 and 0343</w:t>
      </w:r>
      <w:r w:rsidRPr="00AE5497">
        <w:t>, insert </w:t>
      </w:r>
      <w:r w:rsidRPr="00CA5D48">
        <w:t>“</w:t>
      </w:r>
      <w:r w:rsidRPr="00AE5497">
        <w:t>393</w:t>
      </w:r>
      <w:r>
        <w:t>”</w:t>
      </w:r>
      <w:r w:rsidRPr="00AE5497">
        <w:t xml:space="preserve"> in column (6).</w:t>
      </w:r>
    </w:p>
    <w:p w:rsidR="00B24BCA" w:rsidRPr="00B24BCA" w:rsidRDefault="00B24BCA" w:rsidP="00203CA8">
      <w:pPr>
        <w:pStyle w:val="SingleTxtG"/>
        <w:rPr>
          <w:i/>
          <w:iCs/>
        </w:rPr>
      </w:pPr>
      <w:r w:rsidRPr="00B24BCA">
        <w:rPr>
          <w:i/>
          <w:iCs/>
        </w:rPr>
        <w:lastRenderedPageBreak/>
        <w:t xml:space="preserve">(Reference document: </w:t>
      </w:r>
      <w:r w:rsidR="00C873AA" w:rsidRPr="00B605F8">
        <w:rPr>
          <w:i/>
          <w:iCs/>
        </w:rPr>
        <w:t>ST/SG/AC.10/C.3/2018/</w:t>
      </w:r>
      <w:r w:rsidR="00C873AA">
        <w:rPr>
          <w:i/>
          <w:iCs/>
        </w:rPr>
        <w:t>9</w:t>
      </w:r>
      <w:r w:rsidR="00C873AA" w:rsidRPr="00B605F8">
        <w:rPr>
          <w:i/>
          <w:iCs/>
        </w:rPr>
        <w:t xml:space="preserve"> and</w:t>
      </w:r>
      <w:r w:rsidR="00C873AA">
        <w:rPr>
          <w:i/>
          <w:iCs/>
        </w:rPr>
        <w:t xml:space="preserve"> </w:t>
      </w:r>
      <w:r w:rsidRPr="00B24BCA">
        <w:rPr>
          <w:i/>
          <w:iCs/>
        </w:rPr>
        <w:t>informal document INF.67, annex 2, amendment 5, as amended)</w:t>
      </w:r>
    </w:p>
    <w:p w:rsidR="00203CA8" w:rsidRPr="007F764E" w:rsidRDefault="00203CA8" w:rsidP="00203CA8">
      <w:pPr>
        <w:pStyle w:val="SingleTxtG"/>
      </w:pPr>
      <w:r w:rsidRPr="007F764E">
        <w:t>For UN Nos</w:t>
      </w:r>
      <w:r>
        <w:t>.</w:t>
      </w:r>
      <w:r w:rsidRPr="007F764E">
        <w:t xml:space="preserve"> 1092, 1098, 1143, 1163, 1238, 1239, 1244, 1595, 1695, 1752, 1809, 2334, 2337, 2646 and 3023, in column </w:t>
      </w:r>
      <w:r>
        <w:t>(</w:t>
      </w:r>
      <w:r w:rsidRPr="007F764E">
        <w:t>11</w:t>
      </w:r>
      <w:r>
        <w:t>)</w:t>
      </w:r>
      <w:r w:rsidRPr="007F764E">
        <w:t xml:space="preserve"> delete </w:t>
      </w:r>
      <w:r>
        <w:t>“</w:t>
      </w:r>
      <w:r w:rsidRPr="007F764E">
        <w:t>TP35</w:t>
      </w:r>
      <w:r>
        <w:t>”</w:t>
      </w:r>
      <w:r w:rsidRPr="007F764E">
        <w:t>.</w:t>
      </w:r>
    </w:p>
    <w:p w:rsidR="00203CA8" w:rsidRDefault="00203CA8" w:rsidP="00203CA8">
      <w:pPr>
        <w:pStyle w:val="SingleTxtG"/>
        <w:rPr>
          <w:bCs/>
          <w:i/>
          <w:iCs/>
          <w:lang w:val="en-US"/>
        </w:rPr>
      </w:pPr>
      <w:r w:rsidRPr="007F764E">
        <w:rPr>
          <w:i/>
          <w:iCs/>
        </w:rPr>
        <w:t xml:space="preserve">(Reference document: </w:t>
      </w:r>
      <w:r w:rsidRPr="003B3A0D">
        <w:rPr>
          <w:bCs/>
          <w:i/>
          <w:iCs/>
          <w:lang w:val="en-US"/>
        </w:rPr>
        <w:t>ST/SG/AC.10/C.3/2018/</w:t>
      </w:r>
      <w:r>
        <w:rPr>
          <w:bCs/>
          <w:i/>
          <w:iCs/>
          <w:lang w:val="en-US"/>
        </w:rPr>
        <w:t>31)</w:t>
      </w:r>
    </w:p>
    <w:p w:rsidR="00203CA8" w:rsidRPr="007F764E" w:rsidRDefault="00203CA8" w:rsidP="00203CA8">
      <w:pPr>
        <w:pStyle w:val="SingleTxtG"/>
      </w:pPr>
      <w:r w:rsidRPr="007F764E">
        <w:t>For UN Nos</w:t>
      </w:r>
      <w:r>
        <w:t>.</w:t>
      </w:r>
      <w:r w:rsidRPr="007F764E">
        <w:t xml:space="preserve"> 1135, 1182, 1251, 1541, 1580, 1605, 1670, 1810, 1834, 1838, 1892, 2232, 2382, 2474, 2477, 2481, 2482, 2483, 2484, 2485, 2486, 2487, 2488, 2521, 2605, </w:t>
      </w:r>
      <w:r>
        <w:t xml:space="preserve">2606, </w:t>
      </w:r>
      <w:r w:rsidRPr="007F764E">
        <w:t xml:space="preserve">2644, 2668, 3079 and 3246, in column </w:t>
      </w:r>
      <w:r>
        <w:t>(</w:t>
      </w:r>
      <w:r w:rsidRPr="007F764E">
        <w:t>11</w:t>
      </w:r>
      <w:r>
        <w:t>)</w:t>
      </w:r>
      <w:r w:rsidRPr="007F764E">
        <w:t xml:space="preserve"> delete </w:t>
      </w:r>
      <w:r>
        <w:t>“</w:t>
      </w:r>
      <w:r w:rsidRPr="007F764E">
        <w:t>TP37</w:t>
      </w:r>
      <w:r>
        <w:t>”.</w:t>
      </w:r>
    </w:p>
    <w:p w:rsidR="00203CA8" w:rsidRDefault="00203CA8" w:rsidP="00203CA8">
      <w:pPr>
        <w:pStyle w:val="SingleTxtG"/>
        <w:rPr>
          <w:bCs/>
          <w:i/>
          <w:iCs/>
          <w:lang w:val="en-US"/>
        </w:rPr>
      </w:pPr>
      <w:r w:rsidRPr="007F764E">
        <w:rPr>
          <w:i/>
          <w:iCs/>
        </w:rPr>
        <w:t xml:space="preserve">(Reference document: </w:t>
      </w:r>
      <w:r w:rsidRPr="003B3A0D">
        <w:rPr>
          <w:bCs/>
          <w:i/>
          <w:iCs/>
          <w:lang w:val="en-US"/>
        </w:rPr>
        <w:t>ST/SG/AC.10/C.3/2018/</w:t>
      </w:r>
      <w:r>
        <w:rPr>
          <w:bCs/>
          <w:i/>
          <w:iCs/>
          <w:lang w:val="en-US"/>
        </w:rPr>
        <w:t>31, as amended)</w:t>
      </w:r>
    </w:p>
    <w:p w:rsidR="00203CA8" w:rsidRDefault="00203CA8" w:rsidP="00203CA8">
      <w:pPr>
        <w:pStyle w:val="SingleTxtG"/>
      </w:pPr>
      <w:r>
        <w:t>For UN Nos. 1372, 1387, 1856, 1857 and 3360, in column (6), delete “117” and insert “123”.</w:t>
      </w:r>
    </w:p>
    <w:p w:rsidR="00203CA8" w:rsidRDefault="00203CA8" w:rsidP="00203CA8">
      <w:pPr>
        <w:pStyle w:val="SingleTxtG"/>
        <w:rPr>
          <w:i/>
          <w:iCs/>
          <w:lang w:val="en-US"/>
        </w:rPr>
      </w:pPr>
      <w:r w:rsidRPr="00627AC0">
        <w:rPr>
          <w:i/>
          <w:iCs/>
        </w:rPr>
        <w:t>(</w:t>
      </w:r>
      <w:r w:rsidRPr="00627AC0">
        <w:rPr>
          <w:i/>
          <w:iCs/>
          <w:lang w:val="en-US"/>
        </w:rPr>
        <w:t>Reference document: ST/SG/AC.10/C.3/2018/28, as amended)</w:t>
      </w:r>
    </w:p>
    <w:p w:rsidR="00B1226F" w:rsidRPr="007F764E" w:rsidRDefault="00B1226F" w:rsidP="00B1226F">
      <w:pPr>
        <w:pStyle w:val="SingleTxtG"/>
      </w:pPr>
      <w:r w:rsidRPr="007F764E">
        <w:t xml:space="preserve">For UN 2381, in column </w:t>
      </w:r>
      <w:r>
        <w:t>(</w:t>
      </w:r>
      <w:r w:rsidRPr="007F764E">
        <w:t>11</w:t>
      </w:r>
      <w:r>
        <w:t>)</w:t>
      </w:r>
      <w:r w:rsidRPr="007F764E">
        <w:t xml:space="preserve"> delete </w:t>
      </w:r>
      <w:r>
        <w:t>“</w:t>
      </w:r>
      <w:r w:rsidRPr="007F764E">
        <w:t>TP39</w:t>
      </w:r>
      <w:r>
        <w:t>”</w:t>
      </w:r>
      <w:r w:rsidRPr="007F764E">
        <w:t xml:space="preserve">. </w:t>
      </w:r>
    </w:p>
    <w:p w:rsidR="00B1226F" w:rsidRDefault="00B1226F" w:rsidP="00B1226F">
      <w:pPr>
        <w:pStyle w:val="SingleTxtG"/>
        <w:rPr>
          <w:bCs/>
          <w:i/>
          <w:iCs/>
          <w:lang w:val="en-US"/>
        </w:rPr>
      </w:pPr>
      <w:r w:rsidRPr="00627AC0">
        <w:rPr>
          <w:i/>
          <w:iCs/>
        </w:rPr>
        <w:t xml:space="preserve">(Reference document: </w:t>
      </w:r>
      <w:r w:rsidRPr="00627AC0">
        <w:rPr>
          <w:bCs/>
          <w:i/>
          <w:iCs/>
          <w:lang w:val="en-US"/>
        </w:rPr>
        <w:t>ST/SG/AC.10/C.3/2018/31)</w:t>
      </w:r>
    </w:p>
    <w:p w:rsidR="0079411B" w:rsidRPr="00AE5497" w:rsidRDefault="0079411B" w:rsidP="00A62BD6">
      <w:pPr>
        <w:pStyle w:val="SingleTxtG"/>
      </w:pPr>
      <w:r w:rsidRPr="00AE5497">
        <w:t xml:space="preserve">For UN Nos. </w:t>
      </w:r>
      <w:r>
        <w:t>2555, 2556, 2557 and 3380</w:t>
      </w:r>
      <w:r w:rsidRPr="00AE5497">
        <w:t>, insert </w:t>
      </w:r>
      <w:r w:rsidRPr="00CA5D48">
        <w:t>“</w:t>
      </w:r>
      <w:r w:rsidRPr="00AE5497">
        <w:t>394</w:t>
      </w:r>
      <w:r>
        <w:t>”</w:t>
      </w:r>
      <w:r w:rsidRPr="00AE5497">
        <w:t xml:space="preserve"> in column (6).</w:t>
      </w:r>
    </w:p>
    <w:p w:rsidR="00A62BD6" w:rsidRPr="00B24BCA" w:rsidRDefault="00A62BD6" w:rsidP="00A62BD6">
      <w:pPr>
        <w:pStyle w:val="SingleTxtG"/>
        <w:rPr>
          <w:i/>
          <w:iCs/>
        </w:rPr>
      </w:pPr>
      <w:r w:rsidRPr="00B24BCA">
        <w:rPr>
          <w:i/>
          <w:iCs/>
        </w:rPr>
        <w:t>(Reference document: informal document INF.67, annex 2, amendment 5, as amended)</w:t>
      </w:r>
    </w:p>
    <w:p w:rsidR="00721BDC" w:rsidRPr="00DC6A2B" w:rsidRDefault="00721BDC" w:rsidP="00721BDC">
      <w:pPr>
        <w:pStyle w:val="SingleTxtG"/>
        <w:rPr>
          <w:lang w:val="en-US"/>
        </w:rPr>
      </w:pPr>
      <w:r w:rsidRPr="00DC6A2B">
        <w:rPr>
          <w:lang w:val="en-US"/>
        </w:rPr>
        <w:t>For UN Nos. 3091 and 3481, insert </w:t>
      </w:r>
      <w:r w:rsidRPr="00CA5D48">
        <w:t>“</w:t>
      </w:r>
      <w:r w:rsidRPr="00DC6A2B">
        <w:rPr>
          <w:lang w:val="en-US"/>
        </w:rPr>
        <w:t>390</w:t>
      </w:r>
      <w:r>
        <w:rPr>
          <w:lang w:val="en-US"/>
        </w:rPr>
        <w:t>”</w:t>
      </w:r>
      <w:r w:rsidRPr="00DC6A2B">
        <w:rPr>
          <w:lang w:val="en-US"/>
        </w:rPr>
        <w:t xml:space="preserve"> in column (6).</w:t>
      </w:r>
    </w:p>
    <w:p w:rsidR="00721BDC" w:rsidRPr="00C21D63" w:rsidRDefault="00721BDC" w:rsidP="00721BDC">
      <w:pPr>
        <w:pStyle w:val="SingleTxtG"/>
        <w:rPr>
          <w:bCs/>
          <w:i/>
          <w:iCs/>
        </w:rPr>
      </w:pPr>
      <w:r w:rsidRPr="00C21D63">
        <w:rPr>
          <w:i/>
          <w:iCs/>
        </w:rPr>
        <w:t xml:space="preserve">(Reference document: </w:t>
      </w:r>
      <w:r w:rsidR="008B0531" w:rsidRPr="003B3A0D">
        <w:rPr>
          <w:bCs/>
          <w:i/>
          <w:iCs/>
          <w:lang w:val="en-US"/>
        </w:rPr>
        <w:t>ST/SG/AC.10/C.3/2018/</w:t>
      </w:r>
      <w:r w:rsidR="008B0531">
        <w:rPr>
          <w:bCs/>
          <w:i/>
          <w:iCs/>
          <w:lang w:val="en-US"/>
        </w:rPr>
        <w:t xml:space="preserve">37 and </w:t>
      </w:r>
      <w:r w:rsidRPr="00C21D63">
        <w:rPr>
          <w:i/>
          <w:iCs/>
        </w:rPr>
        <w:t>informal document</w:t>
      </w:r>
      <w:r w:rsidRPr="00C21D63">
        <w:t xml:space="preserve"> </w:t>
      </w:r>
      <w:r w:rsidRPr="00C21D63">
        <w:rPr>
          <w:i/>
          <w:iCs/>
        </w:rPr>
        <w:t>INF.65/Rev.1)</w:t>
      </w:r>
    </w:p>
    <w:p w:rsidR="00203CA8" w:rsidRDefault="00203CA8" w:rsidP="00203CA8">
      <w:pPr>
        <w:pStyle w:val="SingleTxtG"/>
      </w:pPr>
      <w:r w:rsidRPr="007F764E">
        <w:t xml:space="preserve">For UN 3148, in column </w:t>
      </w:r>
      <w:r>
        <w:t>(</w:t>
      </w:r>
      <w:r w:rsidRPr="007F764E">
        <w:t>11</w:t>
      </w:r>
      <w:r>
        <w:t>)</w:t>
      </w:r>
      <w:r w:rsidRPr="007F764E">
        <w:t xml:space="preserve"> delete </w:t>
      </w:r>
      <w:r>
        <w:t>“</w:t>
      </w:r>
      <w:r w:rsidRPr="007F764E">
        <w:t>TP38</w:t>
      </w:r>
      <w:r>
        <w:t>”</w:t>
      </w:r>
      <w:r w:rsidRPr="007F764E">
        <w:t>.</w:t>
      </w:r>
    </w:p>
    <w:p w:rsidR="00203CA8" w:rsidRPr="002D779F" w:rsidRDefault="00203CA8" w:rsidP="002D779F">
      <w:pPr>
        <w:pStyle w:val="SingleTxtG"/>
        <w:rPr>
          <w:bCs/>
          <w:i/>
          <w:iCs/>
          <w:lang w:val="en-US"/>
        </w:rPr>
      </w:pPr>
      <w:r w:rsidRPr="00627AC0">
        <w:rPr>
          <w:i/>
          <w:iCs/>
        </w:rPr>
        <w:t xml:space="preserve">(Reference document: </w:t>
      </w:r>
      <w:r w:rsidRPr="00627AC0">
        <w:rPr>
          <w:bCs/>
          <w:i/>
          <w:iCs/>
          <w:lang w:val="en-US"/>
        </w:rPr>
        <w:t>ST/SG/AC.10/C.3/2018/31)</w:t>
      </w:r>
    </w:p>
    <w:p w:rsidR="00203CA8" w:rsidRDefault="00203CA8" w:rsidP="00203CA8">
      <w:pPr>
        <w:pStyle w:val="SingleTxtG"/>
      </w:pPr>
      <w:r>
        <w:t>For UN 3529, in column (6), add “356”.</w:t>
      </w:r>
    </w:p>
    <w:p w:rsidR="00203CA8" w:rsidRPr="001B36C9" w:rsidRDefault="00203CA8" w:rsidP="00203CA8">
      <w:pPr>
        <w:pStyle w:val="SingleTxtG"/>
        <w:rPr>
          <w:i/>
          <w:iCs/>
          <w:lang w:val="fr-CH"/>
        </w:rPr>
      </w:pPr>
      <w:r w:rsidRPr="001B36C9">
        <w:rPr>
          <w:i/>
          <w:iCs/>
          <w:lang w:val="fr-CH"/>
        </w:rPr>
        <w:t xml:space="preserve">(Reference </w:t>
      </w:r>
      <w:proofErr w:type="gramStart"/>
      <w:r w:rsidRPr="001B36C9">
        <w:rPr>
          <w:i/>
          <w:iCs/>
          <w:lang w:val="fr-CH"/>
        </w:rPr>
        <w:t>document:</w:t>
      </w:r>
      <w:proofErr w:type="gramEnd"/>
      <w:r w:rsidRPr="001B36C9">
        <w:rPr>
          <w:i/>
          <w:iCs/>
          <w:lang w:val="fr-CH"/>
        </w:rPr>
        <w:t xml:space="preserve"> </w:t>
      </w:r>
      <w:proofErr w:type="spellStart"/>
      <w:r w:rsidRPr="001B36C9">
        <w:rPr>
          <w:i/>
          <w:iCs/>
          <w:lang w:val="fr-CH"/>
        </w:rPr>
        <w:t>informal</w:t>
      </w:r>
      <w:proofErr w:type="spellEnd"/>
      <w:r w:rsidRPr="001B36C9">
        <w:rPr>
          <w:i/>
          <w:iCs/>
          <w:lang w:val="fr-CH"/>
        </w:rPr>
        <w:t xml:space="preserve"> document INF.61)</w:t>
      </w:r>
    </w:p>
    <w:p w:rsidR="00203CA8" w:rsidRDefault="00203CA8" w:rsidP="004C12CE">
      <w:pPr>
        <w:pStyle w:val="H1G"/>
      </w:pPr>
      <w:r w:rsidRPr="001B36C9">
        <w:rPr>
          <w:lang w:val="fr-CH"/>
        </w:rPr>
        <w:tab/>
      </w:r>
      <w:r w:rsidRPr="001B36C9">
        <w:rPr>
          <w:lang w:val="fr-CH"/>
        </w:rPr>
        <w:tab/>
      </w:r>
      <w:r>
        <w:t>Chapter 3.3</w:t>
      </w:r>
    </w:p>
    <w:p w:rsidR="00007C69" w:rsidRDefault="00007C69" w:rsidP="00007C69">
      <w:pPr>
        <w:pStyle w:val="SingleTxtG"/>
      </w:pPr>
      <w:r>
        <w:t>Special provision 356</w:t>
      </w:r>
      <w:r>
        <w:tab/>
        <w:t>After “in vehicle, vessels” add “, machinery, engines” (twice). Replace “aircrafts” by “aircraft” (twice).</w:t>
      </w:r>
    </w:p>
    <w:p w:rsidR="00007C69" w:rsidRPr="00E96385" w:rsidRDefault="00007C69" w:rsidP="00007C69">
      <w:pPr>
        <w:pStyle w:val="SingleTxtG"/>
        <w:rPr>
          <w:i/>
          <w:iCs/>
          <w:lang w:val="en-US"/>
        </w:rPr>
      </w:pPr>
      <w:r w:rsidRPr="00E96385">
        <w:rPr>
          <w:i/>
          <w:iCs/>
          <w:lang w:val="en-US"/>
        </w:rPr>
        <w:t>(Reference document: informal document INF.61)</w:t>
      </w:r>
    </w:p>
    <w:p w:rsidR="00203CA8" w:rsidRPr="00065624" w:rsidRDefault="00203CA8" w:rsidP="00203CA8">
      <w:pPr>
        <w:pStyle w:val="SingleTxtG"/>
      </w:pPr>
      <w:r>
        <w:t>Special provision 363 (j)</w:t>
      </w:r>
      <w:r>
        <w:tab/>
        <w:t>In the last paragraph, delete “</w:t>
      </w:r>
      <w:r w:rsidRPr="00065624">
        <w:t>in accordance with 5.3.1.1</w:t>
      </w:r>
      <w:r>
        <w:t>.2</w:t>
      </w:r>
      <w:r w:rsidRPr="00065624">
        <w:t>”</w:t>
      </w:r>
      <w:r>
        <w:t xml:space="preserve"> and add the following new sentence, at the end: “</w:t>
      </w:r>
      <w:r w:rsidRPr="00065624">
        <w:t>Placards shall corres</w:t>
      </w:r>
      <w:r>
        <w:t>pond to the class indicated in C</w:t>
      </w:r>
      <w:r w:rsidRPr="00065624">
        <w:t xml:space="preserve">olumn 3 of the Dangerous Goods List </w:t>
      </w:r>
      <w:r>
        <w:t>of C</w:t>
      </w:r>
      <w:r w:rsidRPr="002A6637">
        <w:t>hapter 3.2</w:t>
      </w:r>
      <w:r>
        <w:t xml:space="preserve"> </w:t>
      </w:r>
      <w:r w:rsidRPr="00065624">
        <w:t>and shall conform to the specifications given in 5.3.1.2.1;”.</w:t>
      </w:r>
    </w:p>
    <w:p w:rsidR="00203CA8" w:rsidRDefault="00203CA8" w:rsidP="00203CA8">
      <w:pPr>
        <w:pStyle w:val="SingleTxtG"/>
        <w:rPr>
          <w:b/>
          <w:bCs/>
          <w:i/>
          <w:iCs/>
          <w:lang w:val="en-US"/>
        </w:rPr>
      </w:pPr>
      <w:r w:rsidRPr="003B3A0D">
        <w:rPr>
          <w:bCs/>
          <w:i/>
          <w:iCs/>
        </w:rPr>
        <w:t>(</w:t>
      </w:r>
      <w:r w:rsidRPr="003B3A0D">
        <w:rPr>
          <w:bCs/>
          <w:i/>
          <w:iCs/>
          <w:lang w:val="en-US"/>
        </w:rPr>
        <w:t>Reference document: ST/SG/AC.10/C.3/2018/</w:t>
      </w:r>
      <w:r>
        <w:rPr>
          <w:bCs/>
          <w:i/>
          <w:iCs/>
          <w:lang w:val="en-US"/>
        </w:rPr>
        <w:t>19)</w:t>
      </w:r>
    </w:p>
    <w:p w:rsidR="00203CA8" w:rsidRDefault="00203CA8" w:rsidP="00203CA8">
      <w:pPr>
        <w:pStyle w:val="SingleTxtG"/>
      </w:pPr>
      <w:r>
        <w:rPr>
          <w:lang w:val="en-US"/>
        </w:rPr>
        <w:t>Special provision 363 (k)</w:t>
      </w:r>
      <w:r>
        <w:rPr>
          <w:lang w:val="en-US"/>
        </w:rPr>
        <w:tab/>
        <w:t>In the last paragraph, delete “</w:t>
      </w:r>
      <w:r w:rsidRPr="00065624">
        <w:t>in accordance with 5.3.1.1</w:t>
      </w:r>
      <w:r>
        <w:t>.2</w:t>
      </w:r>
      <w:r w:rsidRPr="00065624">
        <w:t>”</w:t>
      </w:r>
      <w:r>
        <w:t>and add the following new sentence at the end: “</w:t>
      </w:r>
      <w:r w:rsidRPr="003F5CF9">
        <w:t>Placards shall corres</w:t>
      </w:r>
      <w:r>
        <w:t>pond to the class indicated in C</w:t>
      </w:r>
      <w:r w:rsidRPr="003F5CF9">
        <w:t xml:space="preserve">olumn 3 of the Dangerous Goods List </w:t>
      </w:r>
      <w:r>
        <w:t xml:space="preserve">in Chapter 3.2 </w:t>
      </w:r>
      <w:r w:rsidRPr="003F5CF9">
        <w:t>and shall conform to the specifications given in 5.3.1.2.1</w:t>
      </w:r>
      <w:r>
        <w:t>;</w:t>
      </w:r>
      <w:r w:rsidRPr="003F5CF9">
        <w:t>”</w:t>
      </w:r>
      <w:r>
        <w:t>.</w:t>
      </w:r>
    </w:p>
    <w:p w:rsidR="00203CA8" w:rsidRDefault="00203CA8" w:rsidP="00203CA8">
      <w:pPr>
        <w:pStyle w:val="SingleTxtG"/>
        <w:rPr>
          <w:bCs/>
          <w:i/>
          <w:iCs/>
          <w:lang w:val="en-US"/>
        </w:rPr>
      </w:pPr>
      <w:r w:rsidRPr="003B3A0D">
        <w:rPr>
          <w:bCs/>
          <w:i/>
          <w:iCs/>
        </w:rPr>
        <w:t>(</w:t>
      </w:r>
      <w:r w:rsidRPr="003B3A0D">
        <w:rPr>
          <w:bCs/>
          <w:i/>
          <w:iCs/>
          <w:lang w:val="en-US"/>
        </w:rPr>
        <w:t>Reference document: ST/SG/AC.10/C.3/2018/</w:t>
      </w:r>
      <w:r>
        <w:rPr>
          <w:bCs/>
          <w:i/>
          <w:iCs/>
          <w:lang w:val="en-US"/>
        </w:rPr>
        <w:t>19)</w:t>
      </w:r>
    </w:p>
    <w:p w:rsidR="00721BDC" w:rsidRDefault="00721BDC" w:rsidP="00721BDC">
      <w:pPr>
        <w:pStyle w:val="SingleTxtG"/>
        <w:rPr>
          <w:lang w:val="en-US"/>
        </w:rPr>
      </w:pPr>
      <w:r>
        <w:rPr>
          <w:lang w:val="en-US"/>
        </w:rPr>
        <w:t xml:space="preserve">Special provision 376 </w:t>
      </w:r>
      <w:r>
        <w:rPr>
          <w:lang w:val="en-US"/>
        </w:rPr>
        <w:tab/>
        <w:t>Amend the Note to read as follows:</w:t>
      </w:r>
    </w:p>
    <w:p w:rsidR="00721BDC" w:rsidRPr="00A136E5" w:rsidRDefault="00721BDC" w:rsidP="00721BDC">
      <w:pPr>
        <w:pStyle w:val="SingleTxtG"/>
        <w:rPr>
          <w:i/>
          <w:iCs/>
          <w:u w:val="single"/>
        </w:rPr>
      </w:pPr>
      <w:bookmarkStart w:id="3" w:name="_Hlk518007155"/>
      <w:r>
        <w:rPr>
          <w:lang w:val="en-US"/>
        </w:rPr>
        <w:t>“</w:t>
      </w:r>
      <w:r w:rsidRPr="00A136E5">
        <w:rPr>
          <w:b/>
          <w:i/>
          <w:iCs/>
          <w:lang w:val="en-US"/>
        </w:rPr>
        <w:t xml:space="preserve">NOTE: </w:t>
      </w:r>
      <w:r w:rsidRPr="00A136E5">
        <w:rPr>
          <w:i/>
          <w:iCs/>
        </w:rPr>
        <w:t xml:space="preserve">In assessing a cell or battery as damaged or defective, </w:t>
      </w:r>
      <w:bookmarkEnd w:id="3"/>
      <w:r w:rsidRPr="00A136E5">
        <w:rPr>
          <w:i/>
          <w:iCs/>
        </w:rPr>
        <w:t xml:space="preserve">an assessment or evaluation should be performed based on safety criteria from the cell, battery or product manufacturer </w:t>
      </w:r>
      <w:r w:rsidRPr="00A136E5">
        <w:rPr>
          <w:i/>
          <w:iCs/>
        </w:rPr>
        <w:lastRenderedPageBreak/>
        <w:t>or by a technical expert with knowledge of the cell’s or battery’s safety features.  An assessment or evaluation may include, but is not limited to, the following criteria:</w:t>
      </w:r>
    </w:p>
    <w:p w:rsidR="00721BDC" w:rsidRPr="00A136E5" w:rsidRDefault="00721BDC" w:rsidP="00721BDC">
      <w:pPr>
        <w:pStyle w:val="SingleTxtG"/>
        <w:numPr>
          <w:ilvl w:val="0"/>
          <w:numId w:val="18"/>
        </w:numPr>
        <w:rPr>
          <w:i/>
          <w:iCs/>
        </w:rPr>
      </w:pPr>
      <w:r w:rsidRPr="00A136E5">
        <w:rPr>
          <w:i/>
          <w:iCs/>
        </w:rPr>
        <w:t>Acute hazard, such as gas, fire, or electrolyte leaking;</w:t>
      </w:r>
    </w:p>
    <w:p w:rsidR="00721BDC" w:rsidRPr="00A136E5" w:rsidRDefault="00721BDC" w:rsidP="00721BDC">
      <w:pPr>
        <w:pStyle w:val="SingleTxtG"/>
        <w:numPr>
          <w:ilvl w:val="0"/>
          <w:numId w:val="18"/>
        </w:numPr>
        <w:rPr>
          <w:i/>
          <w:iCs/>
        </w:rPr>
      </w:pPr>
      <w:r w:rsidRPr="00A136E5">
        <w:rPr>
          <w:i/>
          <w:iCs/>
        </w:rPr>
        <w:t>The use or misuse of the cell or battery;</w:t>
      </w:r>
    </w:p>
    <w:p w:rsidR="00721BDC" w:rsidRPr="00A136E5" w:rsidRDefault="00721BDC" w:rsidP="00721BDC">
      <w:pPr>
        <w:pStyle w:val="SingleTxtG"/>
        <w:numPr>
          <w:ilvl w:val="0"/>
          <w:numId w:val="18"/>
        </w:numPr>
        <w:rPr>
          <w:i/>
          <w:iCs/>
        </w:rPr>
      </w:pPr>
      <w:r w:rsidRPr="00A136E5">
        <w:rPr>
          <w:i/>
          <w:iCs/>
        </w:rPr>
        <w:t xml:space="preserve">Signs of physical damage, such as deformation to cell or battery casing, or colours on the casing; </w:t>
      </w:r>
    </w:p>
    <w:p w:rsidR="00721BDC" w:rsidRPr="00A136E5" w:rsidRDefault="00721BDC" w:rsidP="00721BDC">
      <w:pPr>
        <w:pStyle w:val="SingleTxtG"/>
        <w:numPr>
          <w:ilvl w:val="0"/>
          <w:numId w:val="18"/>
        </w:numPr>
        <w:rPr>
          <w:i/>
          <w:iCs/>
        </w:rPr>
      </w:pPr>
      <w:r w:rsidRPr="00A136E5">
        <w:rPr>
          <w:i/>
          <w:iCs/>
        </w:rPr>
        <w:t>External and internal short circuit protection, such as voltage or isolation measures;</w:t>
      </w:r>
    </w:p>
    <w:p w:rsidR="00721BDC" w:rsidRPr="00A136E5" w:rsidRDefault="00721BDC" w:rsidP="00721BDC">
      <w:pPr>
        <w:pStyle w:val="SingleTxtG"/>
        <w:numPr>
          <w:ilvl w:val="0"/>
          <w:numId w:val="18"/>
        </w:numPr>
        <w:rPr>
          <w:i/>
          <w:iCs/>
        </w:rPr>
      </w:pPr>
      <w:r w:rsidRPr="00A136E5">
        <w:rPr>
          <w:i/>
          <w:iCs/>
        </w:rPr>
        <w:t>The condition of the cell or battery safety features; or</w:t>
      </w:r>
    </w:p>
    <w:p w:rsidR="00721BDC" w:rsidRPr="001171F4" w:rsidRDefault="00721BDC" w:rsidP="00721BDC">
      <w:pPr>
        <w:pStyle w:val="SingleTxtG"/>
        <w:numPr>
          <w:ilvl w:val="0"/>
          <w:numId w:val="18"/>
        </w:numPr>
      </w:pPr>
      <w:r w:rsidRPr="00A136E5">
        <w:rPr>
          <w:i/>
          <w:iCs/>
        </w:rPr>
        <w:t>Damage to any internal safety components, such as the battery management system.</w:t>
      </w:r>
      <w:r>
        <w:t>”.</w:t>
      </w:r>
    </w:p>
    <w:p w:rsidR="00721BDC" w:rsidRPr="001C6FF1" w:rsidRDefault="00721BDC" w:rsidP="00721BDC">
      <w:pPr>
        <w:pStyle w:val="SingleTxtG"/>
        <w:rPr>
          <w:i/>
          <w:iCs/>
          <w:lang w:val="en-US"/>
        </w:rPr>
      </w:pPr>
      <w:r w:rsidRPr="001C6FF1">
        <w:rPr>
          <w:i/>
          <w:iCs/>
          <w:lang w:val="en-US"/>
        </w:rPr>
        <w:t xml:space="preserve">(Reference document: </w:t>
      </w:r>
      <w:r w:rsidR="001C6FF1" w:rsidRPr="00627AC0">
        <w:rPr>
          <w:bCs/>
          <w:i/>
          <w:iCs/>
          <w:lang w:val="en-US"/>
        </w:rPr>
        <w:t>ST/SG/AC.10/C.3/2018/</w:t>
      </w:r>
      <w:r w:rsidR="001C6FF1">
        <w:rPr>
          <w:bCs/>
          <w:i/>
          <w:iCs/>
          <w:lang w:val="en-US"/>
        </w:rPr>
        <w:t>51 and</w:t>
      </w:r>
      <w:r w:rsidR="001C6FF1" w:rsidRPr="006A6A78">
        <w:rPr>
          <w:i/>
          <w:iCs/>
          <w:lang w:val="en-US"/>
        </w:rPr>
        <w:t xml:space="preserve"> </w:t>
      </w:r>
      <w:r w:rsidRPr="001C6FF1">
        <w:rPr>
          <w:i/>
          <w:iCs/>
          <w:lang w:val="en-US"/>
        </w:rPr>
        <w:t>informal document INF.69/Rev.1)</w:t>
      </w:r>
    </w:p>
    <w:p w:rsidR="00E82395" w:rsidRDefault="00E82395" w:rsidP="00E82395">
      <w:pPr>
        <w:pStyle w:val="SingleTxtG"/>
        <w:rPr>
          <w:lang w:val="en-US"/>
        </w:rPr>
      </w:pPr>
      <w:r w:rsidRPr="00CA5D48">
        <w:rPr>
          <w:lang w:val="en-US"/>
        </w:rPr>
        <w:t>Add the following new special provision</w:t>
      </w:r>
      <w:r w:rsidR="007405ED">
        <w:rPr>
          <w:lang w:val="en-US"/>
        </w:rPr>
        <w:t>s</w:t>
      </w:r>
      <w:r>
        <w:rPr>
          <w:lang w:val="en-US"/>
        </w:rPr>
        <w:t>:</w:t>
      </w:r>
    </w:p>
    <w:p w:rsidR="00E82395" w:rsidRPr="00CA5D48" w:rsidRDefault="00E82395" w:rsidP="00E82395">
      <w:pPr>
        <w:pStyle w:val="SingleTxtG"/>
      </w:pPr>
      <w:r w:rsidRPr="00CA5D48">
        <w:t>“</w:t>
      </w:r>
      <w:r>
        <w:t>390</w:t>
      </w:r>
      <w:r>
        <w:tab/>
      </w:r>
      <w:r w:rsidRPr="00CA5D48">
        <w:t>When a package contains a combination of lithium batteries contained in equipment and lithium batteries packed with equipment, the following requirements apply</w:t>
      </w:r>
      <w:r>
        <w:t xml:space="preserve"> for the purposes of package marking and documentation</w:t>
      </w:r>
      <w:r w:rsidRPr="00CA5D48">
        <w:t>:</w:t>
      </w:r>
    </w:p>
    <w:p w:rsidR="00E82395" w:rsidRPr="00CA5D48" w:rsidRDefault="00F86F3A" w:rsidP="00E82395">
      <w:pPr>
        <w:pStyle w:val="SingleTxtG"/>
      </w:pPr>
      <w:r>
        <w:t>(a)</w:t>
      </w:r>
      <w:r w:rsidR="00E82395" w:rsidRPr="00CA5D48">
        <w:tab/>
        <w:t xml:space="preserve">the package shall be marked </w:t>
      </w:r>
      <w:r w:rsidR="00E82395">
        <w:t>“</w:t>
      </w:r>
      <w:r w:rsidR="00E82395" w:rsidRPr="00CA5D48">
        <w:t>UN 3091 Lithium metal batteries packed with equipment</w:t>
      </w:r>
      <w:r w:rsidR="00E82395">
        <w:t>”</w:t>
      </w:r>
      <w:r w:rsidR="00E82395" w:rsidRPr="00CA5D48">
        <w:t xml:space="preserve">, or </w:t>
      </w:r>
      <w:r w:rsidR="00E82395">
        <w:t>“</w:t>
      </w:r>
      <w:r w:rsidR="00E82395" w:rsidRPr="00CA5D48">
        <w:t>UN 3481 Lithium ion batteries packed with equipment</w:t>
      </w:r>
      <w:r w:rsidR="00E82395">
        <w:t>”</w:t>
      </w:r>
      <w:r w:rsidR="00E82395" w:rsidRPr="00CA5D48">
        <w:t>,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rsidR="00E82395" w:rsidRPr="00CA5D48" w:rsidRDefault="00F86F3A" w:rsidP="00E82395">
      <w:pPr>
        <w:pStyle w:val="SingleTxtG"/>
      </w:pPr>
      <w:r>
        <w:t>(b)</w:t>
      </w:r>
      <w:r w:rsidR="00E82395" w:rsidRPr="00CA5D48">
        <w:tab/>
        <w:t xml:space="preserve">the transport document shall indicate </w:t>
      </w:r>
      <w:r w:rsidR="00E82395">
        <w:t>“</w:t>
      </w:r>
      <w:r w:rsidR="00E82395" w:rsidRPr="00CA5D48">
        <w:t>UN 3091 Lithium metal batteries packed with equipment</w:t>
      </w:r>
      <w:r w:rsidR="00E82395">
        <w:t>”</w:t>
      </w:r>
      <w:r w:rsidR="00E82395" w:rsidRPr="00CA5D48">
        <w:t xml:space="preserve"> or </w:t>
      </w:r>
      <w:r w:rsidR="00E82395">
        <w:t>“</w:t>
      </w:r>
      <w:r w:rsidR="00E82395" w:rsidRPr="00CA5D48">
        <w:t>UN 3481 Lithium ion batteries packed with equipment</w:t>
      </w:r>
      <w:r w:rsidR="00E82395">
        <w:t>”</w:t>
      </w:r>
      <w:r w:rsidR="00E82395" w:rsidRPr="00CA5D48">
        <w:t xml:space="preserve">, as appropriate. If a package contains both lithium metal batteries and lithium ion batteries packed with and contained in equipment, then the transport document shall indicate both </w:t>
      </w:r>
      <w:r w:rsidR="00E82395">
        <w:t>“</w:t>
      </w:r>
      <w:r w:rsidR="00E82395" w:rsidRPr="00CA5D48">
        <w:t>UN 3091 Lithium metal batteries packed with equipment</w:t>
      </w:r>
      <w:r w:rsidR="00E82395">
        <w:t>”</w:t>
      </w:r>
      <w:r w:rsidR="00E82395" w:rsidRPr="00CA5D48">
        <w:t xml:space="preserve"> and </w:t>
      </w:r>
      <w:r w:rsidR="00E82395">
        <w:t>“</w:t>
      </w:r>
      <w:r w:rsidR="00E82395" w:rsidRPr="00CA5D48">
        <w:t>UN 3481 Lithium ion batteries packed with equipment.”.</w:t>
      </w:r>
    </w:p>
    <w:p w:rsidR="00E82395" w:rsidRDefault="00E82395" w:rsidP="00E82395">
      <w:pPr>
        <w:pStyle w:val="SingleTxtG"/>
        <w:rPr>
          <w:i/>
          <w:iCs/>
          <w:lang w:val="en-US"/>
        </w:rPr>
      </w:pPr>
      <w:r w:rsidRPr="006A6A78">
        <w:rPr>
          <w:i/>
          <w:iCs/>
          <w:lang w:val="en-US"/>
        </w:rPr>
        <w:t>(Reference document:</w:t>
      </w:r>
      <w:r w:rsidRPr="003A7C84">
        <w:rPr>
          <w:bCs/>
          <w:i/>
          <w:iCs/>
          <w:lang w:val="en-US"/>
        </w:rPr>
        <w:t xml:space="preserve"> </w:t>
      </w:r>
      <w:r w:rsidRPr="00627AC0">
        <w:rPr>
          <w:bCs/>
          <w:i/>
          <w:iCs/>
          <w:lang w:val="en-US"/>
        </w:rPr>
        <w:t>ST/SG/AC.10/C.3/2018/</w:t>
      </w:r>
      <w:r>
        <w:rPr>
          <w:bCs/>
          <w:i/>
          <w:iCs/>
          <w:lang w:val="en-US"/>
        </w:rPr>
        <w:t>37 and</w:t>
      </w:r>
      <w:r w:rsidRPr="006A6A78">
        <w:rPr>
          <w:i/>
          <w:iCs/>
          <w:lang w:val="en-US"/>
        </w:rPr>
        <w:t xml:space="preserve"> informal document INF.65/Rev.1, as amended)</w:t>
      </w:r>
    </w:p>
    <w:p w:rsidR="00E82395" w:rsidRDefault="00E82395" w:rsidP="00E82395">
      <w:pPr>
        <w:pStyle w:val="SingleTxtG"/>
      </w:pPr>
      <w:r>
        <w:t>“393</w:t>
      </w:r>
      <w:r>
        <w:tab/>
        <w:t>The nitrocellulose shall meet the criteria of the Bergmann-Junk test or methyl violet paper test in the Manual of Tests and Criteria Appendix 10. Tests of type 3 (c) need not be applied.”</w:t>
      </w:r>
    </w:p>
    <w:p w:rsidR="00E82395" w:rsidRPr="00B24BCA" w:rsidRDefault="00E82395" w:rsidP="00E82395">
      <w:pPr>
        <w:pStyle w:val="SingleTxtG"/>
        <w:rPr>
          <w:i/>
          <w:iCs/>
        </w:rPr>
      </w:pPr>
      <w:r w:rsidRPr="00B24BCA">
        <w:rPr>
          <w:i/>
          <w:iCs/>
        </w:rPr>
        <w:t xml:space="preserve">(Reference document: </w:t>
      </w:r>
      <w:r w:rsidRPr="00627AC0">
        <w:rPr>
          <w:bCs/>
          <w:i/>
          <w:iCs/>
          <w:lang w:val="en-US"/>
        </w:rPr>
        <w:t>ST/SG/AC.10/C.3/2018/</w:t>
      </w:r>
      <w:r>
        <w:rPr>
          <w:bCs/>
          <w:i/>
          <w:iCs/>
          <w:lang w:val="en-US"/>
        </w:rPr>
        <w:t xml:space="preserve">9 and </w:t>
      </w:r>
      <w:r w:rsidRPr="00B24BCA">
        <w:rPr>
          <w:i/>
          <w:iCs/>
        </w:rPr>
        <w:t>informal document INF.67, annex 2, amendment 5, as amended)</w:t>
      </w:r>
    </w:p>
    <w:p w:rsidR="00E82395" w:rsidRDefault="00E82395" w:rsidP="00E82395">
      <w:pPr>
        <w:pStyle w:val="SingleTxtG"/>
      </w:pPr>
      <w:r>
        <w:t>“394</w:t>
      </w:r>
      <w:r>
        <w:tab/>
        <w:t>The nitrocellulose shall meet the criteria of the Bergmann-Junk test or methyl violet paper test in the Manual of Tests and Criteria Appendix 10.”</w:t>
      </w:r>
    </w:p>
    <w:p w:rsidR="00E82395" w:rsidRPr="00B24BCA" w:rsidRDefault="00E82395" w:rsidP="00E82395">
      <w:pPr>
        <w:pStyle w:val="SingleTxtG"/>
        <w:rPr>
          <w:i/>
          <w:iCs/>
        </w:rPr>
      </w:pPr>
      <w:r w:rsidRPr="00B24BCA">
        <w:rPr>
          <w:i/>
          <w:iCs/>
        </w:rPr>
        <w:t xml:space="preserve">(Reference document: </w:t>
      </w:r>
      <w:r w:rsidRPr="00627AC0">
        <w:rPr>
          <w:bCs/>
          <w:i/>
          <w:iCs/>
          <w:lang w:val="en-US"/>
        </w:rPr>
        <w:t>ST/SG/AC.10/C.3/2018/</w:t>
      </w:r>
      <w:r>
        <w:rPr>
          <w:bCs/>
          <w:i/>
          <w:iCs/>
          <w:lang w:val="en-US"/>
        </w:rPr>
        <w:t xml:space="preserve">9 and </w:t>
      </w:r>
      <w:r w:rsidRPr="00B24BCA">
        <w:rPr>
          <w:i/>
          <w:iCs/>
        </w:rPr>
        <w:t>informal document INF.67, annex 2, amendment 5, as amended)</w:t>
      </w:r>
    </w:p>
    <w:p w:rsidR="00E82395" w:rsidRPr="00B15BBD" w:rsidRDefault="00E82395" w:rsidP="00E82395">
      <w:pPr>
        <w:pStyle w:val="SingleTxtG"/>
        <w:rPr>
          <w:lang w:val="en-US"/>
        </w:rPr>
      </w:pPr>
      <w:r>
        <w:rPr>
          <w:lang w:val="en-US"/>
        </w:rPr>
        <w:t>“</w:t>
      </w:r>
      <w:r w:rsidRPr="00B15BBD">
        <w:rPr>
          <w:lang w:val="en-US"/>
        </w:rPr>
        <w:t>395</w:t>
      </w:r>
      <w:r w:rsidRPr="00B15BBD">
        <w:rPr>
          <w:lang w:val="en-US"/>
        </w:rPr>
        <w:tab/>
        <w:t>This entry shall only be used for solid medical waste of Category A transported for disposal</w:t>
      </w:r>
      <w:r>
        <w:rPr>
          <w:lang w:val="en-US"/>
        </w:rPr>
        <w:t>.”.</w:t>
      </w:r>
    </w:p>
    <w:p w:rsidR="00E82395" w:rsidRPr="001B36C9" w:rsidRDefault="007405ED" w:rsidP="00E82395">
      <w:pPr>
        <w:pStyle w:val="SingleTxtG"/>
        <w:rPr>
          <w:lang w:val="en-US"/>
        </w:rPr>
      </w:pPr>
      <w:r>
        <w:rPr>
          <w:i/>
          <w:iCs/>
          <w:lang w:val="en-US"/>
        </w:rPr>
        <w:t>(Reference document</w:t>
      </w:r>
      <w:r w:rsidR="00E82395" w:rsidRPr="001B36C9">
        <w:rPr>
          <w:i/>
          <w:iCs/>
          <w:lang w:val="en-US"/>
        </w:rPr>
        <w:t>:</w:t>
      </w:r>
      <w:r w:rsidR="00E82395" w:rsidRPr="00E82395">
        <w:rPr>
          <w:bCs/>
          <w:i/>
          <w:iCs/>
          <w:lang w:val="en-US"/>
        </w:rPr>
        <w:t xml:space="preserve"> </w:t>
      </w:r>
      <w:r w:rsidR="00E82395" w:rsidRPr="00627AC0">
        <w:rPr>
          <w:bCs/>
          <w:i/>
          <w:iCs/>
          <w:lang w:val="en-US"/>
        </w:rPr>
        <w:t>ST/SG/AC.10/C.3/2018/</w:t>
      </w:r>
      <w:r w:rsidR="00E82395">
        <w:rPr>
          <w:bCs/>
          <w:i/>
          <w:iCs/>
          <w:lang w:val="en-US"/>
        </w:rPr>
        <w:t>20 and</w:t>
      </w:r>
      <w:r w:rsidR="00E82395" w:rsidRPr="001B36C9">
        <w:rPr>
          <w:i/>
          <w:iCs/>
          <w:lang w:val="en-US"/>
        </w:rPr>
        <w:t xml:space="preserve"> informal document INF.70</w:t>
      </w:r>
      <w:r w:rsidR="00E82395" w:rsidRPr="001B36C9">
        <w:rPr>
          <w:bCs/>
          <w:i/>
          <w:iCs/>
          <w:lang w:val="en-US"/>
        </w:rPr>
        <w:t>)</w:t>
      </w:r>
    </w:p>
    <w:p w:rsidR="008B774F" w:rsidRDefault="00203CA8" w:rsidP="004C12CE">
      <w:pPr>
        <w:pStyle w:val="H1G"/>
      </w:pPr>
      <w:r w:rsidRPr="001B36C9">
        <w:rPr>
          <w:lang w:val="en-US"/>
        </w:rPr>
        <w:lastRenderedPageBreak/>
        <w:tab/>
      </w:r>
      <w:r w:rsidRPr="001B36C9">
        <w:rPr>
          <w:lang w:val="en-US"/>
        </w:rPr>
        <w:tab/>
      </w:r>
      <w:r w:rsidR="008B774F">
        <w:t>Appendix B</w:t>
      </w:r>
    </w:p>
    <w:p w:rsidR="008C1742" w:rsidRPr="008C1742" w:rsidRDefault="00824753" w:rsidP="00887013">
      <w:pPr>
        <w:pStyle w:val="SingleTxtG"/>
      </w:pPr>
      <w:r>
        <w:t xml:space="preserve">In the definition of </w:t>
      </w:r>
      <w:r w:rsidR="008B774F">
        <w:t>“Detonators”</w:t>
      </w:r>
      <w:r w:rsidR="00887013">
        <w:t>, replace “DETONATORS for blasting, both ELECTRIC and NON-ELECTRIC” by “DETONATORS for blasting, ELECTRIC, NON-ELECTRIC, and ELECTRONIC programmable”.</w:t>
      </w:r>
    </w:p>
    <w:p w:rsidR="008B774F" w:rsidRPr="001B36C9" w:rsidRDefault="008C1742" w:rsidP="008B774F">
      <w:pPr>
        <w:pStyle w:val="SingleTxtG"/>
        <w:rPr>
          <w:i/>
          <w:iCs/>
          <w:lang w:val="en-US"/>
        </w:rPr>
      </w:pPr>
      <w:r w:rsidRPr="001B36C9">
        <w:rPr>
          <w:i/>
          <w:iCs/>
          <w:lang w:val="en-US"/>
        </w:rPr>
        <w:t xml:space="preserve">(Reference document: </w:t>
      </w:r>
      <w:r w:rsidR="00CF419C" w:rsidRPr="00627AC0">
        <w:rPr>
          <w:bCs/>
          <w:i/>
          <w:iCs/>
          <w:lang w:val="en-US"/>
        </w:rPr>
        <w:t>ST/SG/AC.10/C.3/2018/</w:t>
      </w:r>
      <w:r w:rsidR="00CF419C">
        <w:rPr>
          <w:bCs/>
          <w:i/>
          <w:iCs/>
          <w:lang w:val="en-US"/>
        </w:rPr>
        <w:t>58 and</w:t>
      </w:r>
      <w:r w:rsidR="00CF419C" w:rsidRPr="006A6A78">
        <w:rPr>
          <w:i/>
          <w:iCs/>
          <w:lang w:val="en-US"/>
        </w:rPr>
        <w:t xml:space="preserve"> </w:t>
      </w:r>
      <w:r w:rsidRPr="001B36C9">
        <w:rPr>
          <w:i/>
          <w:iCs/>
          <w:lang w:val="en-US"/>
        </w:rPr>
        <w:t>informal document INF.67/ annex 2, amendment 3)</w:t>
      </w:r>
    </w:p>
    <w:p w:rsidR="008C1742" w:rsidRDefault="008C1742" w:rsidP="008C1742">
      <w:pPr>
        <w:pStyle w:val="SingleTxtG"/>
      </w:pPr>
      <w:r>
        <w:t>Add the following new definition for “DETONATORS, ELECTRONIC programmable for blasting”:</w:t>
      </w:r>
    </w:p>
    <w:p w:rsidR="008C1742" w:rsidRPr="008C1742" w:rsidRDefault="008C1742" w:rsidP="008C1742">
      <w:pPr>
        <w:pStyle w:val="SingleTxtG"/>
      </w:pPr>
      <w:r w:rsidRPr="008C1742">
        <w:t>“DETONATORS, ELECTRONIC programmable for blasting</w:t>
      </w:r>
    </w:p>
    <w:p w:rsidR="008C1742" w:rsidRPr="008C1742" w:rsidRDefault="008C1742" w:rsidP="008C1742">
      <w:pPr>
        <w:pStyle w:val="SingleTxtG"/>
      </w:pPr>
      <w:r w:rsidRPr="008C1742">
        <w:t>Detonators with enhanced safety and security features, utilizing electronic components to transmit a firing signal with validated commands and secure communications.  Detonators of this type cannot be initiated by other means.</w:t>
      </w:r>
      <w:r>
        <w:t>”</w:t>
      </w:r>
    </w:p>
    <w:p w:rsidR="008C1742" w:rsidRPr="001B36C9" w:rsidRDefault="008C1742" w:rsidP="008C1742">
      <w:pPr>
        <w:pStyle w:val="SingleTxtG"/>
        <w:rPr>
          <w:lang w:val="en-US"/>
        </w:rPr>
      </w:pPr>
      <w:r w:rsidRPr="001B36C9">
        <w:rPr>
          <w:i/>
          <w:iCs/>
          <w:lang w:val="en-US"/>
        </w:rPr>
        <w:t xml:space="preserve">(Reference document: </w:t>
      </w:r>
      <w:r w:rsidR="00CF419C" w:rsidRPr="00627AC0">
        <w:rPr>
          <w:bCs/>
          <w:i/>
          <w:iCs/>
          <w:lang w:val="en-US"/>
        </w:rPr>
        <w:t>ST/SG/AC.10/C.3/2018/</w:t>
      </w:r>
      <w:r w:rsidR="00CF419C">
        <w:rPr>
          <w:bCs/>
          <w:i/>
          <w:iCs/>
          <w:lang w:val="en-US"/>
        </w:rPr>
        <w:t>58 and</w:t>
      </w:r>
      <w:r w:rsidR="00CF419C" w:rsidRPr="006A6A78">
        <w:rPr>
          <w:i/>
          <w:iCs/>
          <w:lang w:val="en-US"/>
        </w:rPr>
        <w:t xml:space="preserve"> </w:t>
      </w:r>
      <w:r w:rsidRPr="001B36C9">
        <w:rPr>
          <w:i/>
          <w:iCs/>
          <w:lang w:val="en-US"/>
        </w:rPr>
        <w:t>informal document INF.67/ annex 2, amendment 4)</w:t>
      </w:r>
    </w:p>
    <w:p w:rsidR="00203CA8" w:rsidRDefault="008B774F" w:rsidP="004C12CE">
      <w:pPr>
        <w:pStyle w:val="H1G"/>
      </w:pPr>
      <w:r w:rsidRPr="001B36C9">
        <w:rPr>
          <w:lang w:val="en-US"/>
        </w:rPr>
        <w:tab/>
      </w:r>
      <w:r w:rsidRPr="001B36C9">
        <w:rPr>
          <w:lang w:val="en-US"/>
        </w:rPr>
        <w:tab/>
      </w:r>
      <w:r w:rsidR="00203CA8" w:rsidRPr="00142B9F">
        <w:t>Chapter 4.1</w:t>
      </w:r>
    </w:p>
    <w:p w:rsidR="00200F34" w:rsidRDefault="00200F34" w:rsidP="00200F34">
      <w:pPr>
        <w:pStyle w:val="SingleTxtG"/>
        <w:rPr>
          <w:lang w:val="en-US"/>
        </w:rPr>
      </w:pPr>
      <w:r>
        <w:rPr>
          <w:lang w:val="en-US"/>
        </w:rPr>
        <w:t>4.1.1.3</w:t>
      </w:r>
      <w:r>
        <w:rPr>
          <w:lang w:val="en-US"/>
        </w:rPr>
        <w:tab/>
      </w:r>
      <w:r>
        <w:rPr>
          <w:lang w:val="en-US"/>
        </w:rPr>
        <w:tab/>
        <w:t>Add a new 4.1.1.3.1 to read as follows:</w:t>
      </w:r>
    </w:p>
    <w:p w:rsidR="00200F34" w:rsidRDefault="00200F34" w:rsidP="00200F34">
      <w:pPr>
        <w:pStyle w:val="SingleTxtG"/>
      </w:pPr>
      <w:r>
        <w:rPr>
          <w:lang w:val="en-US"/>
        </w:rPr>
        <w:t>“</w:t>
      </w:r>
      <w:r w:rsidRPr="00357579">
        <w:t>4.1.1.3.1</w:t>
      </w:r>
      <w:r w:rsidRPr="00357579">
        <w:tab/>
      </w:r>
      <w:proofErr w:type="spellStart"/>
      <w:r w:rsidRPr="00357579">
        <w:t>Packagings</w:t>
      </w:r>
      <w:proofErr w:type="spellEnd"/>
      <w:r w:rsidRPr="00357579">
        <w:t xml:space="preserve">, including IBCs and large </w:t>
      </w:r>
      <w:proofErr w:type="spellStart"/>
      <w:r w:rsidRPr="00357579">
        <w:t>packagings</w:t>
      </w:r>
      <w:proofErr w:type="spellEnd"/>
      <w:r w:rsidRPr="00357579">
        <w:t>, may conform to one or more than one successfull</w:t>
      </w:r>
      <w:r>
        <w:t>y tested design type and may bear</w:t>
      </w:r>
      <w:r w:rsidRPr="00357579">
        <w:t xml:space="preserve"> more than one mark”.</w:t>
      </w:r>
    </w:p>
    <w:p w:rsidR="00200F34" w:rsidRPr="00EF53CD" w:rsidRDefault="00200F34" w:rsidP="00200F34">
      <w:pPr>
        <w:pStyle w:val="SingleTxtG"/>
        <w:rPr>
          <w:bCs/>
          <w:i/>
          <w:iCs/>
          <w:lang w:val="en-US"/>
        </w:rPr>
      </w:pPr>
      <w:r>
        <w:rPr>
          <w:i/>
          <w:iCs/>
          <w:lang w:val="en-US"/>
        </w:rPr>
        <w:t>(Reference document:</w:t>
      </w:r>
      <w:r w:rsidR="00656F35">
        <w:rPr>
          <w:i/>
          <w:iCs/>
          <w:lang w:val="en-US"/>
        </w:rPr>
        <w:t xml:space="preserve"> </w:t>
      </w:r>
      <w:r w:rsidR="00CF419C" w:rsidRPr="00627AC0">
        <w:rPr>
          <w:bCs/>
          <w:i/>
          <w:iCs/>
          <w:lang w:val="en-US"/>
        </w:rPr>
        <w:t>ST/SG/AC.10/C.3/2018/</w:t>
      </w:r>
      <w:r w:rsidR="00CF419C">
        <w:rPr>
          <w:bCs/>
          <w:i/>
          <w:iCs/>
          <w:lang w:val="en-US"/>
        </w:rPr>
        <w:t>49 and</w:t>
      </w:r>
      <w:r w:rsidR="00CF419C" w:rsidRPr="006A6A78">
        <w:rPr>
          <w:i/>
          <w:iCs/>
          <w:lang w:val="en-US"/>
        </w:rPr>
        <w:t xml:space="preserve"> </w:t>
      </w:r>
      <w:r>
        <w:rPr>
          <w:i/>
          <w:iCs/>
          <w:lang w:val="en-US"/>
        </w:rPr>
        <w:t>i</w:t>
      </w:r>
      <w:r w:rsidRPr="00EF53CD">
        <w:rPr>
          <w:bCs/>
          <w:i/>
          <w:iCs/>
          <w:lang w:val="en-US"/>
        </w:rPr>
        <w:t>nformal document INF.53, as amended)</w:t>
      </w:r>
    </w:p>
    <w:p w:rsidR="00A428CB" w:rsidRDefault="0053515E" w:rsidP="000519DB">
      <w:pPr>
        <w:pStyle w:val="SingleTxtG"/>
        <w:keepNext/>
        <w:keepLines/>
        <w:suppressLineNumbers/>
      </w:pPr>
      <w:r>
        <w:t>4.1.4.1</w:t>
      </w:r>
      <w:r>
        <w:tab/>
      </w:r>
      <w:r>
        <w:tab/>
      </w:r>
      <w:r w:rsidR="00A428CB">
        <w:t>Amend packing instruction P801 to read as follows:</w:t>
      </w:r>
    </w:p>
    <w:tbl>
      <w:tblPr>
        <w:tblStyle w:val="TableGrid"/>
        <w:tblW w:w="0" w:type="auto"/>
        <w:tblInd w:w="988" w:type="dxa"/>
        <w:tblLook w:val="04A0" w:firstRow="1" w:lastRow="0" w:firstColumn="1" w:lastColumn="0" w:noHBand="0" w:noVBand="1"/>
      </w:tblPr>
      <w:tblGrid>
        <w:gridCol w:w="8362"/>
      </w:tblGrid>
      <w:tr w:rsidR="00A428CB" w:rsidRPr="00066C56" w:rsidTr="001E426F">
        <w:tc>
          <w:tcPr>
            <w:tcW w:w="8362" w:type="dxa"/>
          </w:tcPr>
          <w:p w:rsidR="00A428CB" w:rsidRPr="00066C56" w:rsidRDefault="00A428CB" w:rsidP="000519DB">
            <w:pPr>
              <w:keepNext/>
              <w:keepLines/>
              <w:suppressLineNumbers/>
              <w:rPr>
                <w:b/>
                <w:sz w:val="18"/>
                <w:szCs w:val="18"/>
              </w:rPr>
            </w:pPr>
            <w:r w:rsidRPr="00066C56">
              <w:rPr>
                <w:b/>
                <w:sz w:val="18"/>
                <w:szCs w:val="18"/>
              </w:rPr>
              <w:t xml:space="preserve">P801                                           </w:t>
            </w:r>
            <w:r>
              <w:rPr>
                <w:b/>
                <w:sz w:val="18"/>
                <w:szCs w:val="18"/>
              </w:rPr>
              <w:tab/>
            </w:r>
            <w:r w:rsidRPr="00066C56">
              <w:rPr>
                <w:b/>
                <w:sz w:val="18"/>
                <w:szCs w:val="18"/>
              </w:rPr>
              <w:t xml:space="preserve">PACKING INSTRUCTION                                                   </w:t>
            </w:r>
            <w:r>
              <w:rPr>
                <w:b/>
                <w:sz w:val="18"/>
                <w:szCs w:val="18"/>
              </w:rPr>
              <w:t xml:space="preserve">      </w:t>
            </w:r>
            <w:r w:rsidRPr="00066C56">
              <w:rPr>
                <w:b/>
                <w:sz w:val="18"/>
                <w:szCs w:val="18"/>
              </w:rPr>
              <w:t xml:space="preserve"> </w:t>
            </w:r>
            <w:r>
              <w:rPr>
                <w:b/>
                <w:sz w:val="18"/>
                <w:szCs w:val="18"/>
              </w:rPr>
              <w:t xml:space="preserve">     </w:t>
            </w:r>
            <w:r w:rsidRPr="00066C56">
              <w:rPr>
                <w:b/>
                <w:sz w:val="18"/>
                <w:szCs w:val="18"/>
              </w:rPr>
              <w:t>P801</w:t>
            </w:r>
          </w:p>
        </w:tc>
      </w:tr>
      <w:tr w:rsidR="00A428CB" w:rsidRPr="00066C56" w:rsidTr="001E426F">
        <w:tc>
          <w:tcPr>
            <w:tcW w:w="8362" w:type="dxa"/>
          </w:tcPr>
          <w:p w:rsidR="00A428CB" w:rsidRPr="00066C56" w:rsidRDefault="00A428CB" w:rsidP="000519DB">
            <w:pPr>
              <w:keepNext/>
              <w:keepLines/>
              <w:suppressLineNumbers/>
              <w:rPr>
                <w:sz w:val="18"/>
                <w:szCs w:val="18"/>
              </w:rPr>
            </w:pPr>
            <w:r>
              <w:rPr>
                <w:sz w:val="18"/>
                <w:szCs w:val="18"/>
              </w:rPr>
              <w:t xml:space="preserve">This instruction applies to </w:t>
            </w:r>
            <w:r w:rsidRPr="00066C56">
              <w:rPr>
                <w:sz w:val="18"/>
                <w:szCs w:val="18"/>
              </w:rPr>
              <w:t>UN Nos. 2794, 2795 or 3028</w:t>
            </w:r>
            <w:r>
              <w:rPr>
                <w:sz w:val="18"/>
                <w:szCs w:val="18"/>
              </w:rPr>
              <w:t>.</w:t>
            </w:r>
          </w:p>
        </w:tc>
      </w:tr>
      <w:tr w:rsidR="00A428CB" w:rsidRPr="00066C56" w:rsidTr="001E426F">
        <w:tc>
          <w:tcPr>
            <w:tcW w:w="8362" w:type="dxa"/>
          </w:tcPr>
          <w:p w:rsidR="00A428CB" w:rsidRPr="00066C56" w:rsidRDefault="00A428CB" w:rsidP="000519DB">
            <w:pPr>
              <w:keepNext/>
              <w:keepLines/>
              <w:suppressLineNumbers/>
              <w:spacing w:after="60"/>
              <w:rPr>
                <w:sz w:val="18"/>
                <w:szCs w:val="18"/>
              </w:rPr>
            </w:pPr>
            <w:r w:rsidRPr="00066C56">
              <w:rPr>
                <w:sz w:val="18"/>
                <w:szCs w:val="18"/>
              </w:rPr>
              <w:t xml:space="preserve">The following </w:t>
            </w:r>
            <w:proofErr w:type="spellStart"/>
            <w:r w:rsidRPr="00066C56">
              <w:rPr>
                <w:sz w:val="18"/>
                <w:szCs w:val="18"/>
              </w:rPr>
              <w:t>packagings</w:t>
            </w:r>
            <w:proofErr w:type="spellEnd"/>
            <w:r w:rsidRPr="00066C56">
              <w:rPr>
                <w:sz w:val="18"/>
                <w:szCs w:val="18"/>
              </w:rPr>
              <w:t xml:space="preserve"> ar</w:t>
            </w:r>
            <w:r>
              <w:rPr>
                <w:sz w:val="18"/>
                <w:szCs w:val="18"/>
              </w:rPr>
              <w:t>e authorized, provided that the</w:t>
            </w:r>
            <w:r w:rsidRPr="00066C56">
              <w:rPr>
                <w:sz w:val="18"/>
                <w:szCs w:val="18"/>
              </w:rPr>
              <w:t xml:space="preserve"> provisions of </w:t>
            </w:r>
            <w:r w:rsidRPr="002F1E64">
              <w:rPr>
                <w:b/>
                <w:sz w:val="18"/>
                <w:szCs w:val="18"/>
              </w:rPr>
              <w:t>4.1.1.1, 4.1.1.2, 4.1.1.6</w:t>
            </w:r>
            <w:r w:rsidRPr="002F1E64">
              <w:rPr>
                <w:sz w:val="18"/>
                <w:szCs w:val="18"/>
              </w:rPr>
              <w:t>,</w:t>
            </w:r>
            <w:r w:rsidRPr="00066C56">
              <w:rPr>
                <w:sz w:val="18"/>
                <w:szCs w:val="18"/>
              </w:rPr>
              <w:t xml:space="preserve"> and </w:t>
            </w:r>
            <w:r w:rsidRPr="00066C56">
              <w:rPr>
                <w:b/>
                <w:sz w:val="18"/>
                <w:szCs w:val="18"/>
              </w:rPr>
              <w:t>4.1.3</w:t>
            </w:r>
            <w:r w:rsidRPr="00066C56">
              <w:rPr>
                <w:sz w:val="18"/>
                <w:szCs w:val="18"/>
              </w:rPr>
              <w:t xml:space="preserve"> are met:</w:t>
            </w:r>
          </w:p>
          <w:p w:rsidR="00A428CB" w:rsidRPr="00757934" w:rsidRDefault="00A428CB" w:rsidP="000519DB">
            <w:pPr>
              <w:pStyle w:val="ListParagraph"/>
              <w:keepNext/>
              <w:keepLines/>
              <w:numPr>
                <w:ilvl w:val="0"/>
                <w:numId w:val="17"/>
              </w:numPr>
              <w:suppressLineNumbers/>
              <w:rPr>
                <w:i/>
                <w:sz w:val="18"/>
                <w:szCs w:val="18"/>
              </w:rPr>
            </w:pPr>
            <w:r w:rsidRPr="00757934">
              <w:rPr>
                <w:sz w:val="18"/>
                <w:szCs w:val="18"/>
              </w:rPr>
              <w:t xml:space="preserve">Rigid outer </w:t>
            </w:r>
            <w:proofErr w:type="spellStart"/>
            <w:r w:rsidRPr="00757934">
              <w:rPr>
                <w:sz w:val="18"/>
                <w:szCs w:val="18"/>
              </w:rPr>
              <w:t>packagings</w:t>
            </w:r>
            <w:proofErr w:type="spellEnd"/>
            <w:r w:rsidRPr="00757934">
              <w:rPr>
                <w:sz w:val="18"/>
                <w:szCs w:val="18"/>
              </w:rPr>
              <w:t>, wooden slatted crates or pallets</w:t>
            </w:r>
            <w:r w:rsidRPr="00757934">
              <w:rPr>
                <w:i/>
                <w:sz w:val="18"/>
                <w:szCs w:val="18"/>
              </w:rPr>
              <w:t>.</w:t>
            </w:r>
          </w:p>
          <w:p w:rsidR="00A428CB" w:rsidRPr="002F1E64" w:rsidRDefault="00A428CB" w:rsidP="000519DB">
            <w:pPr>
              <w:keepNext/>
              <w:keepLines/>
              <w:suppressLineNumbers/>
              <w:snapToGrid w:val="0"/>
              <w:spacing w:before="120" w:after="120" w:line="40" w:lineRule="atLeast"/>
              <w:ind w:left="368"/>
              <w:rPr>
                <w:sz w:val="18"/>
                <w:szCs w:val="18"/>
              </w:rPr>
            </w:pPr>
            <w:r w:rsidRPr="002F1E64">
              <w:rPr>
                <w:sz w:val="18"/>
                <w:szCs w:val="18"/>
              </w:rPr>
              <w:t>Additionally, the following conditions shall be met:</w:t>
            </w:r>
          </w:p>
          <w:p w:rsidR="00A428CB" w:rsidRPr="002F1E64"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(a)</w:t>
            </w:r>
            <w:r w:rsidRPr="002F1E64">
              <w:rPr>
                <w:sz w:val="18"/>
                <w:szCs w:val="18"/>
              </w:rPr>
              <w:tab/>
              <w:t xml:space="preserve">Batteries stacks shall be in tiers separated by a layer of electrically non-conductive material; </w:t>
            </w:r>
          </w:p>
          <w:p w:rsidR="00A428CB" w:rsidRPr="002F1E64"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(b)</w:t>
            </w:r>
            <w:r w:rsidRPr="002F1E64">
              <w:rPr>
                <w:sz w:val="18"/>
                <w:szCs w:val="18"/>
              </w:rPr>
              <w:tab/>
              <w:t>Battery terminals shall not support the weight of other superimposed elements;</w:t>
            </w:r>
          </w:p>
          <w:p w:rsidR="00A428CB" w:rsidRPr="002F1E64"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(c)</w:t>
            </w:r>
            <w:r w:rsidRPr="002F1E64">
              <w:rPr>
                <w:sz w:val="18"/>
                <w:szCs w:val="18"/>
              </w:rPr>
              <w:tab/>
              <w:t>Batteries shall be packaged or secured to prevent inadvertent movement;</w:t>
            </w:r>
          </w:p>
          <w:p w:rsidR="00A428CB" w:rsidRPr="002F1E64"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(d)</w:t>
            </w:r>
            <w:r w:rsidRPr="002F1E64">
              <w:rPr>
                <w:sz w:val="18"/>
                <w:szCs w:val="18"/>
              </w:rPr>
              <w:tab/>
              <w:t>Batteries shall not leak under normal conditions of transport or appropriate measures shall be taken to prevent the release of electrolyte from the package (e.g. individually packaging batteries or other equally effective methods); and</w:t>
            </w:r>
          </w:p>
          <w:p w:rsidR="00A428CB" w:rsidRPr="003C31EB"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(e) Batteries shall be protected against short circuits.</w:t>
            </w:r>
          </w:p>
          <w:p w:rsidR="00A428CB" w:rsidRPr="00066C56" w:rsidRDefault="00A428CB" w:rsidP="000519DB">
            <w:pPr>
              <w:keepNext/>
              <w:keepLines/>
              <w:suppressLineNumbers/>
              <w:ind w:left="368" w:hanging="368"/>
              <w:rPr>
                <w:sz w:val="18"/>
                <w:szCs w:val="18"/>
              </w:rPr>
            </w:pPr>
            <w:r w:rsidRPr="00757934">
              <w:rPr>
                <w:sz w:val="18"/>
                <w:szCs w:val="18"/>
              </w:rPr>
              <w:t>(2)</w:t>
            </w:r>
            <w:r w:rsidRPr="002F1E64">
              <w:rPr>
                <w:sz w:val="18"/>
                <w:szCs w:val="18"/>
              </w:rPr>
              <w:t xml:space="preserve"> </w:t>
            </w:r>
            <w:r>
              <w:rPr>
                <w:sz w:val="18"/>
                <w:szCs w:val="18"/>
              </w:rPr>
              <w:t xml:space="preserve">  </w:t>
            </w:r>
            <w:r w:rsidRPr="00066C56">
              <w:rPr>
                <w:sz w:val="18"/>
                <w:szCs w:val="18"/>
              </w:rPr>
              <w:t xml:space="preserve">Stainless steel or plastics </w:t>
            </w:r>
            <w:r w:rsidRPr="002F1E64">
              <w:rPr>
                <w:sz w:val="18"/>
                <w:szCs w:val="18"/>
              </w:rPr>
              <w:t>bins may</w:t>
            </w:r>
            <w:r w:rsidRPr="00564DBD">
              <w:rPr>
                <w:sz w:val="18"/>
                <w:szCs w:val="18"/>
              </w:rPr>
              <w:t xml:space="preserve"> also</w:t>
            </w:r>
            <w:r>
              <w:rPr>
                <w:sz w:val="18"/>
                <w:szCs w:val="18"/>
                <w:u w:val="single"/>
              </w:rPr>
              <w:t xml:space="preserve"> </w:t>
            </w:r>
            <w:r w:rsidRPr="002F1E64">
              <w:rPr>
                <w:sz w:val="18"/>
                <w:szCs w:val="18"/>
              </w:rPr>
              <w:t>be used to transport used batteries</w:t>
            </w:r>
            <w:r w:rsidRPr="00066C56">
              <w:rPr>
                <w:sz w:val="18"/>
                <w:szCs w:val="18"/>
              </w:rPr>
              <w:t xml:space="preserve">. </w:t>
            </w:r>
          </w:p>
          <w:p w:rsidR="00A428CB" w:rsidRPr="002F1E64" w:rsidRDefault="00A428CB" w:rsidP="000519DB">
            <w:pPr>
              <w:keepNext/>
              <w:keepLines/>
              <w:suppressLineNumbers/>
              <w:snapToGrid w:val="0"/>
              <w:spacing w:before="120" w:after="120" w:line="40" w:lineRule="atLeast"/>
              <w:ind w:left="368"/>
              <w:rPr>
                <w:sz w:val="18"/>
                <w:szCs w:val="18"/>
              </w:rPr>
            </w:pPr>
            <w:r w:rsidRPr="002F1E64">
              <w:rPr>
                <w:sz w:val="18"/>
                <w:szCs w:val="18"/>
              </w:rPr>
              <w:t>Additionally, the following conditions shall be met:</w:t>
            </w:r>
          </w:p>
          <w:p w:rsidR="00A428CB" w:rsidRPr="00757934"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(a)</w:t>
            </w:r>
            <w:r w:rsidRPr="002F1E64">
              <w:rPr>
                <w:sz w:val="18"/>
                <w:szCs w:val="18"/>
              </w:rPr>
              <w:tab/>
              <w:t xml:space="preserve">The bins shall be resistant to the electrolyte </w:t>
            </w:r>
            <w:r w:rsidRPr="00757934">
              <w:rPr>
                <w:sz w:val="18"/>
                <w:szCs w:val="18"/>
              </w:rPr>
              <w:t xml:space="preserve">that was </w:t>
            </w:r>
            <w:r w:rsidRPr="002F1E64">
              <w:rPr>
                <w:sz w:val="18"/>
                <w:szCs w:val="18"/>
              </w:rPr>
              <w:t>contained in the batteries;</w:t>
            </w:r>
          </w:p>
          <w:p w:rsidR="00A428CB" w:rsidRPr="002F1E64"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(b)</w:t>
            </w:r>
            <w:r w:rsidRPr="002F1E64">
              <w:rPr>
                <w:sz w:val="18"/>
                <w:szCs w:val="18"/>
              </w:rPr>
              <w:tab/>
              <w:t>The bins shall not be filled to a height greater than the height of their sides;</w:t>
            </w:r>
          </w:p>
          <w:p w:rsidR="00A428CB" w:rsidRPr="002F1E64"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(c)</w:t>
            </w:r>
            <w:r w:rsidRPr="002F1E64">
              <w:rPr>
                <w:sz w:val="18"/>
                <w:szCs w:val="18"/>
              </w:rPr>
              <w:tab/>
              <w:t>The outside of the bins shall be free of residues of electrolyte contained in the batteries;</w:t>
            </w:r>
          </w:p>
          <w:p w:rsidR="00A428CB" w:rsidRPr="002F1E64"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(d)</w:t>
            </w:r>
            <w:r w:rsidRPr="002F1E64">
              <w:rPr>
                <w:sz w:val="18"/>
                <w:szCs w:val="18"/>
              </w:rPr>
              <w:tab/>
              <w:t>Under normal conditions of transport, no electrolyte shall leak from the bins;</w:t>
            </w:r>
          </w:p>
          <w:p w:rsidR="00A428CB" w:rsidRPr="002F1E64"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(e)</w:t>
            </w:r>
            <w:r w:rsidRPr="002F1E64">
              <w:rPr>
                <w:sz w:val="18"/>
                <w:szCs w:val="18"/>
              </w:rPr>
              <w:tab/>
              <w:t>Measures shall be taken to ensure that filled bins cannot lose their content; and</w:t>
            </w:r>
          </w:p>
          <w:p w:rsidR="00A428CB" w:rsidRPr="00066C56" w:rsidRDefault="00A428CB" w:rsidP="000519DB">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(f)</w:t>
            </w:r>
            <w:r w:rsidRPr="002F1E64">
              <w:rPr>
                <w:sz w:val="18"/>
                <w:szCs w:val="18"/>
              </w:rPr>
              <w:tab/>
              <w:t xml:space="preserve">Measures shall be taken to prevent short circuits </w:t>
            </w:r>
            <w:r w:rsidRPr="00757934">
              <w:rPr>
                <w:sz w:val="18"/>
                <w:szCs w:val="18"/>
              </w:rPr>
              <w:t>(e.g. batteries are discharged, individual protection of the battery terminals, etc.).</w:t>
            </w:r>
          </w:p>
        </w:tc>
      </w:tr>
    </w:tbl>
    <w:p w:rsidR="00A428CB" w:rsidRDefault="00A428CB" w:rsidP="00A428CB">
      <w:pPr>
        <w:pStyle w:val="SingleTxtG"/>
        <w:spacing w:before="240"/>
        <w:rPr>
          <w:i/>
          <w:iCs/>
          <w:lang w:val="en-US"/>
        </w:rPr>
      </w:pPr>
      <w:r w:rsidRPr="001B36C9">
        <w:rPr>
          <w:i/>
          <w:iCs/>
          <w:lang w:val="en-US"/>
        </w:rPr>
        <w:t>(Reference document:</w:t>
      </w:r>
      <w:r w:rsidR="00CF419C" w:rsidRPr="00CF419C">
        <w:rPr>
          <w:bCs/>
          <w:i/>
          <w:iCs/>
          <w:lang w:val="en-US"/>
        </w:rPr>
        <w:t xml:space="preserve"> </w:t>
      </w:r>
      <w:r w:rsidR="00CF419C" w:rsidRPr="00627AC0">
        <w:rPr>
          <w:bCs/>
          <w:i/>
          <w:iCs/>
          <w:lang w:val="en-US"/>
        </w:rPr>
        <w:t>ST/SG/AC.10/C.3/2018/</w:t>
      </w:r>
      <w:r w:rsidR="00CF419C">
        <w:rPr>
          <w:bCs/>
          <w:i/>
          <w:iCs/>
          <w:lang w:val="en-US"/>
        </w:rPr>
        <w:t>21 and</w:t>
      </w:r>
      <w:r w:rsidRPr="001B36C9">
        <w:rPr>
          <w:i/>
          <w:iCs/>
          <w:lang w:val="en-US"/>
        </w:rPr>
        <w:t xml:space="preserve"> informal document INF.62)</w:t>
      </w:r>
    </w:p>
    <w:p w:rsidR="007405ED" w:rsidRDefault="007405ED">
      <w:pPr>
        <w:suppressAutoHyphens w:val="0"/>
        <w:spacing w:line="240" w:lineRule="auto"/>
        <w:rPr>
          <w:iCs/>
          <w:lang w:val="en-US"/>
        </w:rPr>
      </w:pPr>
      <w:r>
        <w:rPr>
          <w:iCs/>
          <w:lang w:val="en-US"/>
        </w:rPr>
        <w:br w:type="page"/>
      </w:r>
    </w:p>
    <w:p w:rsidR="00FA18CA" w:rsidRPr="00DA7DB6" w:rsidRDefault="00FA18CA" w:rsidP="00FA18CA">
      <w:pPr>
        <w:pStyle w:val="SingleTxtG"/>
        <w:rPr>
          <w:iCs/>
          <w:lang w:val="en-US"/>
        </w:rPr>
      </w:pPr>
      <w:r w:rsidRPr="00DA7DB6">
        <w:rPr>
          <w:iCs/>
          <w:lang w:val="en-US"/>
        </w:rPr>
        <w:t>[4.1.4.1</w:t>
      </w:r>
      <w:r w:rsidRPr="00DA7DB6">
        <w:rPr>
          <w:iCs/>
          <w:lang w:val="en-US"/>
        </w:rPr>
        <w:tab/>
        <w:t>Add the following new packing instruction P622:</w:t>
      </w:r>
    </w:p>
    <w:tbl>
      <w:tblPr>
        <w:tblW w:w="8513" w:type="dxa"/>
        <w:tblInd w:w="1187"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579"/>
        <w:gridCol w:w="1502"/>
        <w:gridCol w:w="3214"/>
        <w:gridCol w:w="2368"/>
        <w:gridCol w:w="850"/>
      </w:tblGrid>
      <w:tr w:rsidR="00FA18CA" w:rsidRPr="000E4463" w:rsidTr="004048A1">
        <w:tc>
          <w:tcPr>
            <w:tcW w:w="579" w:type="dxa"/>
            <w:tcBorders>
              <w:top w:val="single" w:sz="4" w:space="0" w:color="000000"/>
              <w:bottom w:val="single" w:sz="4" w:space="0" w:color="000000"/>
            </w:tcBorders>
          </w:tcPr>
          <w:p w:rsidR="00FA18CA" w:rsidRPr="000E4463" w:rsidRDefault="00FA18CA" w:rsidP="004048A1">
            <w:pPr>
              <w:spacing w:before="60" w:after="60" w:line="240" w:lineRule="auto"/>
              <w:rPr>
                <w:b/>
                <w:bCs/>
                <w:color w:val="000000"/>
                <w:sz w:val="18"/>
                <w:szCs w:val="18"/>
              </w:rPr>
            </w:pPr>
            <w:r w:rsidRPr="000E4463">
              <w:rPr>
                <w:b/>
                <w:color w:val="000000"/>
                <w:sz w:val="18"/>
                <w:szCs w:val="18"/>
              </w:rPr>
              <w:t>P622</w:t>
            </w:r>
          </w:p>
        </w:tc>
        <w:tc>
          <w:tcPr>
            <w:tcW w:w="7084" w:type="dxa"/>
            <w:gridSpan w:val="3"/>
            <w:tcBorders>
              <w:top w:val="single" w:sz="4" w:space="0" w:color="000000"/>
              <w:bottom w:val="single" w:sz="4" w:space="0" w:color="000000"/>
            </w:tcBorders>
          </w:tcPr>
          <w:p w:rsidR="00FA18CA" w:rsidRPr="000E4463" w:rsidRDefault="00FA18CA" w:rsidP="004048A1">
            <w:pPr>
              <w:spacing w:before="60" w:after="60" w:line="240" w:lineRule="auto"/>
              <w:jc w:val="center"/>
              <w:rPr>
                <w:b/>
                <w:bCs/>
                <w:color w:val="000000"/>
                <w:sz w:val="18"/>
                <w:szCs w:val="18"/>
              </w:rPr>
            </w:pPr>
            <w:r w:rsidRPr="000E4463">
              <w:rPr>
                <w:b/>
                <w:bCs/>
                <w:color w:val="000000"/>
                <w:sz w:val="18"/>
                <w:szCs w:val="18"/>
              </w:rPr>
              <w:t>PACKING INSTRUCTION</w:t>
            </w:r>
          </w:p>
        </w:tc>
        <w:tc>
          <w:tcPr>
            <w:tcW w:w="850" w:type="dxa"/>
            <w:tcBorders>
              <w:top w:val="single" w:sz="4" w:space="0" w:color="000000"/>
              <w:bottom w:val="single" w:sz="4" w:space="0" w:color="000000"/>
            </w:tcBorders>
          </w:tcPr>
          <w:p w:rsidR="00FA18CA" w:rsidRPr="000E4463" w:rsidRDefault="00FA18CA" w:rsidP="004048A1">
            <w:pPr>
              <w:spacing w:before="60" w:after="60" w:line="240" w:lineRule="auto"/>
              <w:rPr>
                <w:b/>
                <w:bCs/>
                <w:color w:val="000000"/>
                <w:sz w:val="18"/>
                <w:szCs w:val="18"/>
              </w:rPr>
            </w:pPr>
            <w:r>
              <w:rPr>
                <w:b/>
                <w:color w:val="000000"/>
                <w:sz w:val="18"/>
                <w:szCs w:val="18"/>
              </w:rPr>
              <w:t xml:space="preserve">       </w:t>
            </w:r>
            <w:r w:rsidRPr="000E4463">
              <w:rPr>
                <w:b/>
                <w:color w:val="000000"/>
                <w:sz w:val="18"/>
                <w:szCs w:val="18"/>
              </w:rPr>
              <w:t>P622</w:t>
            </w:r>
          </w:p>
        </w:tc>
      </w:tr>
      <w:tr w:rsidR="00FA18CA" w:rsidRPr="000E4463" w:rsidTr="004048A1">
        <w:tc>
          <w:tcPr>
            <w:tcW w:w="8513" w:type="dxa"/>
            <w:gridSpan w:val="5"/>
            <w:tcBorders>
              <w:top w:val="single" w:sz="4" w:space="0" w:color="000000"/>
              <w:bottom w:val="single" w:sz="4" w:space="0" w:color="000000"/>
            </w:tcBorders>
          </w:tcPr>
          <w:p w:rsidR="00FA18CA" w:rsidRPr="000E4463" w:rsidRDefault="00FA18CA" w:rsidP="004048A1">
            <w:pPr>
              <w:spacing w:before="60" w:after="60" w:line="240" w:lineRule="auto"/>
              <w:rPr>
                <w:color w:val="000000"/>
                <w:sz w:val="18"/>
                <w:szCs w:val="18"/>
              </w:rPr>
            </w:pPr>
            <w:r w:rsidRPr="000E4463">
              <w:rPr>
                <w:color w:val="000000"/>
                <w:sz w:val="18"/>
                <w:szCs w:val="18"/>
              </w:rPr>
              <w:t>This instruction applies to UN 3549.</w:t>
            </w:r>
          </w:p>
        </w:tc>
      </w:tr>
      <w:tr w:rsidR="00FA18CA" w:rsidRPr="000E4463" w:rsidTr="004048A1">
        <w:tc>
          <w:tcPr>
            <w:tcW w:w="8513" w:type="dxa"/>
            <w:gridSpan w:val="5"/>
            <w:tcBorders>
              <w:top w:val="single" w:sz="4" w:space="0" w:color="000000"/>
              <w:bottom w:val="single" w:sz="4" w:space="0" w:color="000000"/>
            </w:tcBorders>
          </w:tcPr>
          <w:p w:rsidR="00FA18CA" w:rsidRPr="000E4463" w:rsidRDefault="00FA18CA" w:rsidP="004048A1">
            <w:pPr>
              <w:spacing w:before="60" w:after="60" w:line="240" w:lineRule="auto"/>
              <w:rPr>
                <w:color w:val="000000"/>
                <w:sz w:val="18"/>
                <w:szCs w:val="18"/>
              </w:rPr>
            </w:pPr>
            <w:r w:rsidRPr="000E4463">
              <w:rPr>
                <w:color w:val="000000"/>
                <w:sz w:val="18"/>
                <w:szCs w:val="18"/>
              </w:rPr>
              <w:t xml:space="preserve">The following </w:t>
            </w:r>
            <w:proofErr w:type="spellStart"/>
            <w:r w:rsidRPr="000E4463">
              <w:rPr>
                <w:color w:val="000000"/>
                <w:sz w:val="18"/>
                <w:szCs w:val="18"/>
              </w:rPr>
              <w:t>packagings</w:t>
            </w:r>
            <w:proofErr w:type="spellEnd"/>
            <w:r w:rsidRPr="000E4463">
              <w:rPr>
                <w:color w:val="000000"/>
                <w:sz w:val="18"/>
                <w:szCs w:val="18"/>
              </w:rPr>
              <w:t xml:space="preserve"> are authorized provided the general provisions of </w:t>
            </w:r>
            <w:r w:rsidRPr="000E4463">
              <w:rPr>
                <w:b/>
                <w:color w:val="000000"/>
                <w:sz w:val="18"/>
                <w:szCs w:val="18"/>
              </w:rPr>
              <w:t xml:space="preserve">4.1.1 </w:t>
            </w:r>
            <w:r w:rsidRPr="000E4463">
              <w:rPr>
                <w:color w:val="000000"/>
                <w:sz w:val="18"/>
                <w:szCs w:val="18"/>
              </w:rPr>
              <w:t>and</w:t>
            </w:r>
            <w:r w:rsidRPr="000E4463">
              <w:rPr>
                <w:b/>
                <w:color w:val="000000"/>
                <w:sz w:val="18"/>
                <w:szCs w:val="18"/>
              </w:rPr>
              <w:t xml:space="preserve"> 4.1.3</w:t>
            </w:r>
            <w:r w:rsidRPr="000E4463">
              <w:rPr>
                <w:color w:val="000000"/>
                <w:sz w:val="18"/>
                <w:szCs w:val="18"/>
              </w:rPr>
              <w:t xml:space="preserve"> are met:</w:t>
            </w:r>
          </w:p>
        </w:tc>
      </w:tr>
      <w:tr w:rsidR="00FA18CA" w:rsidRPr="000E4463" w:rsidTr="004048A1">
        <w:tc>
          <w:tcPr>
            <w:tcW w:w="2081" w:type="dxa"/>
            <w:gridSpan w:val="2"/>
            <w:tcBorders>
              <w:top w:val="single" w:sz="4" w:space="0" w:color="000000"/>
              <w:bottom w:val="single" w:sz="4" w:space="0" w:color="000000"/>
              <w:right w:val="single" w:sz="4" w:space="0" w:color="auto"/>
            </w:tcBorders>
          </w:tcPr>
          <w:p w:rsidR="00FA18CA" w:rsidRPr="000E4463" w:rsidRDefault="00FA18CA" w:rsidP="004048A1">
            <w:pPr>
              <w:spacing w:before="60" w:after="60" w:line="240" w:lineRule="auto"/>
              <w:rPr>
                <w:b/>
                <w:color w:val="000000"/>
                <w:sz w:val="18"/>
                <w:szCs w:val="18"/>
              </w:rPr>
            </w:pPr>
            <w:r w:rsidRPr="000E4463">
              <w:rPr>
                <w:b/>
                <w:color w:val="000000"/>
                <w:sz w:val="18"/>
                <w:szCs w:val="18"/>
              </w:rPr>
              <w:t xml:space="preserve">Inner </w:t>
            </w:r>
            <w:proofErr w:type="spellStart"/>
            <w:r w:rsidRPr="000E4463">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FA18CA" w:rsidRPr="000E4463" w:rsidRDefault="00FA18CA" w:rsidP="004048A1">
            <w:pPr>
              <w:spacing w:before="60" w:after="60" w:line="240" w:lineRule="auto"/>
              <w:rPr>
                <w:b/>
                <w:color w:val="000000"/>
                <w:sz w:val="18"/>
                <w:szCs w:val="18"/>
              </w:rPr>
            </w:pPr>
            <w:r w:rsidRPr="000E4463">
              <w:rPr>
                <w:b/>
                <w:color w:val="000000"/>
                <w:sz w:val="18"/>
                <w:szCs w:val="18"/>
              </w:rPr>
              <w:t xml:space="preserve">Intermediate </w:t>
            </w:r>
            <w:proofErr w:type="spellStart"/>
            <w:r w:rsidRPr="000E4463">
              <w:rPr>
                <w:b/>
                <w:color w:val="000000"/>
                <w:sz w:val="18"/>
                <w:szCs w:val="18"/>
              </w:rPr>
              <w:t>packagings</w:t>
            </w:r>
            <w:proofErr w:type="spellEnd"/>
          </w:p>
        </w:tc>
        <w:tc>
          <w:tcPr>
            <w:tcW w:w="3218" w:type="dxa"/>
            <w:gridSpan w:val="2"/>
            <w:tcBorders>
              <w:top w:val="single" w:sz="4" w:space="0" w:color="000000"/>
              <w:left w:val="single" w:sz="4" w:space="0" w:color="auto"/>
              <w:bottom w:val="single" w:sz="4" w:space="0" w:color="000000"/>
            </w:tcBorders>
          </w:tcPr>
          <w:p w:rsidR="00FA18CA" w:rsidRPr="000E4463" w:rsidRDefault="00FA18CA" w:rsidP="004048A1">
            <w:pPr>
              <w:spacing w:before="60" w:after="60" w:line="240" w:lineRule="auto"/>
              <w:rPr>
                <w:b/>
                <w:color w:val="000000"/>
                <w:sz w:val="18"/>
                <w:szCs w:val="18"/>
              </w:rPr>
            </w:pPr>
            <w:r w:rsidRPr="000E4463">
              <w:rPr>
                <w:b/>
                <w:color w:val="000000"/>
                <w:sz w:val="18"/>
                <w:szCs w:val="18"/>
              </w:rPr>
              <w:t xml:space="preserve">Outer </w:t>
            </w:r>
            <w:proofErr w:type="spellStart"/>
            <w:r w:rsidRPr="000E4463">
              <w:rPr>
                <w:b/>
                <w:color w:val="000000"/>
                <w:sz w:val="18"/>
                <w:szCs w:val="18"/>
              </w:rPr>
              <w:t>packagings</w:t>
            </w:r>
            <w:proofErr w:type="spellEnd"/>
          </w:p>
        </w:tc>
      </w:tr>
      <w:tr w:rsidR="00FA18CA" w:rsidRPr="000E4463" w:rsidTr="004048A1">
        <w:trPr>
          <w:trHeight w:val="1610"/>
        </w:trPr>
        <w:tc>
          <w:tcPr>
            <w:tcW w:w="2081" w:type="dxa"/>
            <w:gridSpan w:val="2"/>
            <w:tcBorders>
              <w:top w:val="single" w:sz="4" w:space="0" w:color="000000"/>
              <w:bottom w:val="single" w:sz="4" w:space="0" w:color="000000"/>
              <w:right w:val="single" w:sz="4" w:space="0" w:color="auto"/>
            </w:tcBorders>
          </w:tcPr>
          <w:p w:rsidR="00FA18CA" w:rsidRPr="000E4463" w:rsidRDefault="00FA18CA" w:rsidP="004048A1">
            <w:pPr>
              <w:spacing w:before="60" w:after="60" w:line="240" w:lineRule="auto"/>
              <w:rPr>
                <w:color w:val="000000"/>
                <w:sz w:val="18"/>
                <w:szCs w:val="18"/>
              </w:rPr>
            </w:pPr>
            <w:r w:rsidRPr="000E4463">
              <w:rPr>
                <w:color w:val="000000"/>
                <w:sz w:val="18"/>
                <w:szCs w:val="18"/>
              </w:rPr>
              <w:t>metal</w:t>
            </w:r>
          </w:p>
          <w:p w:rsidR="00FA18CA" w:rsidRPr="000E4463" w:rsidRDefault="00FA18CA" w:rsidP="004048A1">
            <w:pPr>
              <w:spacing w:before="60" w:after="60" w:line="240" w:lineRule="auto"/>
              <w:rPr>
                <w:color w:val="000000"/>
                <w:sz w:val="18"/>
                <w:szCs w:val="18"/>
              </w:rPr>
            </w:pPr>
            <w:r w:rsidRPr="000E4463">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FA18CA" w:rsidRPr="000E4463" w:rsidRDefault="00FA18CA" w:rsidP="004048A1">
            <w:pPr>
              <w:spacing w:before="60" w:after="60" w:line="240" w:lineRule="auto"/>
              <w:rPr>
                <w:color w:val="000000"/>
                <w:sz w:val="18"/>
                <w:szCs w:val="18"/>
              </w:rPr>
            </w:pPr>
            <w:r w:rsidRPr="000E4463">
              <w:rPr>
                <w:color w:val="000000"/>
                <w:sz w:val="18"/>
                <w:szCs w:val="18"/>
              </w:rPr>
              <w:t>metal</w:t>
            </w:r>
          </w:p>
          <w:p w:rsidR="00FA18CA" w:rsidRPr="000E4463" w:rsidRDefault="00FA18CA" w:rsidP="004048A1">
            <w:pPr>
              <w:spacing w:before="60" w:after="60" w:line="240" w:lineRule="auto"/>
              <w:rPr>
                <w:color w:val="000000"/>
                <w:sz w:val="18"/>
                <w:szCs w:val="18"/>
              </w:rPr>
            </w:pPr>
            <w:r w:rsidRPr="000E4463">
              <w:rPr>
                <w:color w:val="000000"/>
                <w:sz w:val="18"/>
                <w:szCs w:val="18"/>
              </w:rPr>
              <w:t>plastics</w:t>
            </w:r>
          </w:p>
        </w:tc>
        <w:tc>
          <w:tcPr>
            <w:tcW w:w="3218" w:type="dxa"/>
            <w:gridSpan w:val="2"/>
            <w:tcBorders>
              <w:top w:val="single" w:sz="4" w:space="0" w:color="000000"/>
              <w:left w:val="single" w:sz="4" w:space="0" w:color="auto"/>
              <w:bottom w:val="single" w:sz="4" w:space="0" w:color="000000"/>
            </w:tcBorders>
          </w:tcPr>
          <w:p w:rsidR="00FA18CA" w:rsidRPr="000E4463" w:rsidRDefault="00FA18CA" w:rsidP="004048A1">
            <w:pPr>
              <w:spacing w:before="60" w:after="60" w:line="240" w:lineRule="auto"/>
              <w:rPr>
                <w:b/>
                <w:color w:val="000000"/>
                <w:sz w:val="18"/>
                <w:szCs w:val="18"/>
              </w:rPr>
            </w:pPr>
            <w:r w:rsidRPr="000E4463">
              <w:rPr>
                <w:b/>
                <w:color w:val="000000"/>
                <w:sz w:val="18"/>
                <w:szCs w:val="18"/>
              </w:rPr>
              <w:t>Boxes</w:t>
            </w:r>
          </w:p>
          <w:p w:rsidR="00FA18CA" w:rsidRPr="000E4463" w:rsidRDefault="00FA18CA" w:rsidP="004048A1">
            <w:pPr>
              <w:spacing w:before="60" w:after="60" w:line="240" w:lineRule="auto"/>
              <w:rPr>
                <w:color w:val="000000"/>
                <w:sz w:val="18"/>
                <w:szCs w:val="18"/>
              </w:rPr>
            </w:pPr>
            <w:r w:rsidRPr="000E4463">
              <w:rPr>
                <w:color w:val="000000"/>
                <w:sz w:val="18"/>
                <w:szCs w:val="18"/>
              </w:rPr>
              <w:t>steel (4A)</w:t>
            </w:r>
          </w:p>
          <w:p w:rsidR="00FA18CA" w:rsidRPr="000E4463" w:rsidRDefault="00FA18CA" w:rsidP="004048A1">
            <w:pPr>
              <w:spacing w:before="60" w:after="60" w:line="240" w:lineRule="auto"/>
              <w:rPr>
                <w:color w:val="000000"/>
                <w:sz w:val="18"/>
                <w:szCs w:val="18"/>
              </w:rPr>
            </w:pPr>
            <w:r w:rsidRPr="000E4463">
              <w:rPr>
                <w:color w:val="000000"/>
                <w:sz w:val="18"/>
                <w:szCs w:val="18"/>
              </w:rPr>
              <w:t>aluminium (4B)</w:t>
            </w:r>
          </w:p>
          <w:p w:rsidR="00FA18CA" w:rsidRPr="000E4463" w:rsidRDefault="00FA18CA" w:rsidP="004048A1">
            <w:pPr>
              <w:spacing w:before="60" w:after="60" w:line="240" w:lineRule="auto"/>
              <w:rPr>
                <w:color w:val="000000"/>
                <w:sz w:val="18"/>
                <w:szCs w:val="18"/>
              </w:rPr>
            </w:pPr>
            <w:r w:rsidRPr="000E4463">
              <w:rPr>
                <w:color w:val="000000"/>
                <w:sz w:val="18"/>
                <w:szCs w:val="18"/>
              </w:rPr>
              <w:t>plywood (4D)</w:t>
            </w:r>
          </w:p>
          <w:p w:rsidR="00FA18CA" w:rsidRPr="000E4463" w:rsidRDefault="00FA18CA" w:rsidP="004048A1">
            <w:pPr>
              <w:spacing w:before="60" w:after="60" w:line="240" w:lineRule="auto"/>
              <w:rPr>
                <w:color w:val="000000"/>
                <w:sz w:val="18"/>
                <w:szCs w:val="18"/>
              </w:rPr>
            </w:pPr>
            <w:r w:rsidRPr="000E4463">
              <w:rPr>
                <w:color w:val="000000"/>
                <w:sz w:val="18"/>
                <w:szCs w:val="18"/>
              </w:rPr>
              <w:t>fibreboard (4G)</w:t>
            </w:r>
          </w:p>
          <w:p w:rsidR="00FA18CA" w:rsidRPr="000E4463" w:rsidRDefault="00FA18CA" w:rsidP="004048A1">
            <w:pPr>
              <w:spacing w:before="60" w:after="60" w:line="240" w:lineRule="auto"/>
              <w:rPr>
                <w:color w:val="000000"/>
                <w:sz w:val="18"/>
                <w:szCs w:val="18"/>
              </w:rPr>
            </w:pPr>
            <w:r w:rsidRPr="000E4463">
              <w:rPr>
                <w:color w:val="000000"/>
                <w:sz w:val="18"/>
                <w:szCs w:val="18"/>
              </w:rPr>
              <w:t>other metal (4N)</w:t>
            </w:r>
          </w:p>
          <w:p w:rsidR="00FA18CA" w:rsidRPr="000E4463" w:rsidRDefault="00FA18CA" w:rsidP="004048A1">
            <w:pPr>
              <w:spacing w:before="60" w:after="60" w:line="240" w:lineRule="auto"/>
              <w:rPr>
                <w:color w:val="000000"/>
                <w:sz w:val="18"/>
                <w:szCs w:val="18"/>
              </w:rPr>
            </w:pPr>
            <w:r w:rsidRPr="000E4463">
              <w:rPr>
                <w:color w:val="000000"/>
                <w:sz w:val="18"/>
                <w:szCs w:val="18"/>
              </w:rPr>
              <w:t>plastics, solid (4H2)</w:t>
            </w:r>
          </w:p>
          <w:p w:rsidR="00FA18CA" w:rsidRPr="000E4463" w:rsidRDefault="00FA18CA" w:rsidP="004048A1">
            <w:pPr>
              <w:spacing w:before="60" w:after="60" w:line="240" w:lineRule="auto"/>
              <w:rPr>
                <w:b/>
                <w:color w:val="000000"/>
                <w:sz w:val="18"/>
                <w:szCs w:val="18"/>
              </w:rPr>
            </w:pPr>
            <w:r w:rsidRPr="000E4463">
              <w:rPr>
                <w:b/>
                <w:color w:val="000000"/>
                <w:sz w:val="18"/>
                <w:szCs w:val="18"/>
              </w:rPr>
              <w:t>Drums</w:t>
            </w:r>
          </w:p>
          <w:p w:rsidR="00FA18CA" w:rsidRPr="000E4463" w:rsidRDefault="00FA18CA" w:rsidP="004048A1">
            <w:pPr>
              <w:spacing w:before="60" w:after="60" w:line="240" w:lineRule="auto"/>
              <w:rPr>
                <w:color w:val="000000"/>
                <w:sz w:val="18"/>
                <w:szCs w:val="18"/>
              </w:rPr>
            </w:pPr>
            <w:r w:rsidRPr="000E4463">
              <w:rPr>
                <w:color w:val="000000"/>
                <w:sz w:val="18"/>
                <w:szCs w:val="18"/>
              </w:rPr>
              <w:t>steel (1A2)</w:t>
            </w:r>
          </w:p>
          <w:p w:rsidR="00FA18CA" w:rsidRPr="000E4463" w:rsidRDefault="00FA18CA" w:rsidP="004048A1">
            <w:pPr>
              <w:spacing w:before="60" w:after="60" w:line="240" w:lineRule="auto"/>
              <w:rPr>
                <w:color w:val="000000"/>
                <w:sz w:val="18"/>
                <w:szCs w:val="18"/>
              </w:rPr>
            </w:pPr>
            <w:r w:rsidRPr="000E4463">
              <w:rPr>
                <w:color w:val="000000"/>
                <w:sz w:val="18"/>
                <w:szCs w:val="18"/>
              </w:rPr>
              <w:t>aluminium (1B2)</w:t>
            </w:r>
          </w:p>
          <w:p w:rsidR="00FA18CA" w:rsidRPr="000E4463" w:rsidRDefault="00FA18CA" w:rsidP="004048A1">
            <w:pPr>
              <w:spacing w:before="60" w:after="60" w:line="240" w:lineRule="auto"/>
              <w:rPr>
                <w:color w:val="000000"/>
                <w:sz w:val="18"/>
                <w:szCs w:val="18"/>
              </w:rPr>
            </w:pPr>
            <w:r w:rsidRPr="000E4463">
              <w:rPr>
                <w:color w:val="000000"/>
                <w:sz w:val="18"/>
                <w:szCs w:val="18"/>
              </w:rPr>
              <w:t>plywood (1D)</w:t>
            </w:r>
          </w:p>
          <w:p w:rsidR="00FA18CA" w:rsidRPr="000E4463" w:rsidRDefault="00FA18CA" w:rsidP="004048A1">
            <w:pPr>
              <w:spacing w:before="60" w:after="60" w:line="240" w:lineRule="auto"/>
              <w:rPr>
                <w:color w:val="000000"/>
                <w:sz w:val="18"/>
                <w:szCs w:val="18"/>
              </w:rPr>
            </w:pPr>
            <w:r w:rsidRPr="000E4463">
              <w:rPr>
                <w:color w:val="000000"/>
                <w:sz w:val="18"/>
                <w:szCs w:val="18"/>
              </w:rPr>
              <w:t>fibre (1G)</w:t>
            </w:r>
          </w:p>
          <w:p w:rsidR="00FA18CA" w:rsidRPr="000E4463" w:rsidRDefault="00FA18CA" w:rsidP="004048A1">
            <w:pPr>
              <w:spacing w:before="60" w:after="60" w:line="240" w:lineRule="auto"/>
              <w:rPr>
                <w:color w:val="000000"/>
                <w:sz w:val="18"/>
                <w:szCs w:val="18"/>
              </w:rPr>
            </w:pPr>
            <w:r w:rsidRPr="000E4463">
              <w:rPr>
                <w:color w:val="000000"/>
                <w:sz w:val="18"/>
                <w:szCs w:val="18"/>
              </w:rPr>
              <w:t>other metal (1N2)</w:t>
            </w:r>
          </w:p>
          <w:p w:rsidR="00FA18CA" w:rsidRPr="000E4463" w:rsidRDefault="00FA18CA" w:rsidP="004048A1">
            <w:pPr>
              <w:spacing w:before="60" w:after="60" w:line="240" w:lineRule="auto"/>
              <w:rPr>
                <w:color w:val="000000"/>
                <w:sz w:val="18"/>
                <w:szCs w:val="18"/>
              </w:rPr>
            </w:pPr>
            <w:r w:rsidRPr="000E4463">
              <w:rPr>
                <w:color w:val="000000"/>
                <w:sz w:val="18"/>
                <w:szCs w:val="18"/>
              </w:rPr>
              <w:t>plastics (1H2)</w:t>
            </w:r>
          </w:p>
          <w:p w:rsidR="00FA18CA" w:rsidRPr="000E4463" w:rsidRDefault="00FA18CA" w:rsidP="004048A1">
            <w:pPr>
              <w:spacing w:before="60" w:after="60" w:line="240" w:lineRule="auto"/>
              <w:rPr>
                <w:b/>
                <w:color w:val="000000"/>
                <w:sz w:val="18"/>
                <w:szCs w:val="18"/>
              </w:rPr>
            </w:pPr>
            <w:proofErr w:type="spellStart"/>
            <w:r w:rsidRPr="000E4463">
              <w:rPr>
                <w:b/>
                <w:color w:val="000000"/>
                <w:sz w:val="18"/>
                <w:szCs w:val="18"/>
              </w:rPr>
              <w:t>Jerricans</w:t>
            </w:r>
            <w:proofErr w:type="spellEnd"/>
          </w:p>
          <w:p w:rsidR="00FA18CA" w:rsidRPr="000E4463" w:rsidRDefault="00FA18CA" w:rsidP="004048A1">
            <w:pPr>
              <w:spacing w:before="60" w:after="60" w:line="240" w:lineRule="auto"/>
              <w:rPr>
                <w:color w:val="000000"/>
                <w:sz w:val="18"/>
                <w:szCs w:val="18"/>
              </w:rPr>
            </w:pPr>
            <w:r w:rsidRPr="000E4463">
              <w:rPr>
                <w:color w:val="000000"/>
                <w:sz w:val="18"/>
                <w:szCs w:val="18"/>
              </w:rPr>
              <w:t>steel (3A2)</w:t>
            </w:r>
          </w:p>
          <w:p w:rsidR="00FA18CA" w:rsidRPr="000E4463" w:rsidRDefault="00FA18CA" w:rsidP="004048A1">
            <w:pPr>
              <w:spacing w:before="60" w:after="60" w:line="240" w:lineRule="auto"/>
              <w:rPr>
                <w:color w:val="000000"/>
                <w:sz w:val="18"/>
                <w:szCs w:val="18"/>
              </w:rPr>
            </w:pPr>
            <w:r w:rsidRPr="000E4463">
              <w:rPr>
                <w:color w:val="000000"/>
                <w:sz w:val="18"/>
                <w:szCs w:val="18"/>
              </w:rPr>
              <w:t>aluminium (3B2)</w:t>
            </w:r>
          </w:p>
          <w:p w:rsidR="00FA18CA" w:rsidRPr="000E4463" w:rsidRDefault="00FA18CA" w:rsidP="004048A1">
            <w:pPr>
              <w:spacing w:before="60" w:after="60" w:line="240" w:lineRule="auto"/>
              <w:rPr>
                <w:color w:val="000000"/>
                <w:sz w:val="18"/>
                <w:szCs w:val="18"/>
              </w:rPr>
            </w:pPr>
            <w:r w:rsidRPr="000E4463">
              <w:rPr>
                <w:color w:val="000000"/>
                <w:sz w:val="18"/>
                <w:szCs w:val="18"/>
              </w:rPr>
              <w:t>plastics (3H2)</w:t>
            </w:r>
          </w:p>
        </w:tc>
      </w:tr>
      <w:tr w:rsidR="00FA18CA" w:rsidRPr="000E4463" w:rsidTr="004048A1">
        <w:tc>
          <w:tcPr>
            <w:tcW w:w="8513" w:type="dxa"/>
            <w:gridSpan w:val="5"/>
          </w:tcPr>
          <w:p w:rsidR="00FA18CA" w:rsidRPr="000E4463" w:rsidRDefault="00FA18CA" w:rsidP="004048A1">
            <w:pPr>
              <w:spacing w:before="60" w:after="60" w:line="240" w:lineRule="auto"/>
              <w:rPr>
                <w:color w:val="000000"/>
                <w:sz w:val="18"/>
                <w:szCs w:val="18"/>
              </w:rPr>
            </w:pPr>
            <w:r w:rsidRPr="000E4463">
              <w:rPr>
                <w:color w:val="000000"/>
                <w:sz w:val="18"/>
                <w:szCs w:val="18"/>
              </w:rPr>
              <w:t xml:space="preserve">The </w:t>
            </w:r>
            <w:r>
              <w:rPr>
                <w:color w:val="000000"/>
                <w:sz w:val="18"/>
                <w:szCs w:val="18"/>
              </w:rPr>
              <w:t xml:space="preserve">outer </w:t>
            </w:r>
            <w:r w:rsidRPr="000E4463">
              <w:rPr>
                <w:color w:val="000000"/>
                <w:sz w:val="18"/>
                <w:szCs w:val="18"/>
              </w:rPr>
              <w:t xml:space="preserve">packaging shall conform to the packing group I performance level for solids.  </w:t>
            </w:r>
          </w:p>
        </w:tc>
      </w:tr>
      <w:tr w:rsidR="00FA18CA" w:rsidRPr="000E4463" w:rsidTr="004048A1">
        <w:trPr>
          <w:trHeight w:val="244"/>
        </w:trPr>
        <w:tc>
          <w:tcPr>
            <w:tcW w:w="8513" w:type="dxa"/>
            <w:gridSpan w:val="5"/>
            <w:tcBorders>
              <w:top w:val="single" w:sz="4" w:space="0" w:color="000000"/>
              <w:bottom w:val="single" w:sz="4" w:space="0" w:color="000000"/>
            </w:tcBorders>
          </w:tcPr>
          <w:p w:rsidR="00FA18CA" w:rsidRPr="000E4463" w:rsidRDefault="00FA18CA" w:rsidP="004048A1">
            <w:pPr>
              <w:spacing w:before="60" w:after="60" w:line="240" w:lineRule="auto"/>
              <w:rPr>
                <w:color w:val="000000"/>
                <w:sz w:val="18"/>
                <w:szCs w:val="18"/>
              </w:rPr>
            </w:pPr>
            <w:r w:rsidRPr="000E4463">
              <w:rPr>
                <w:b/>
                <w:color w:val="000000"/>
                <w:sz w:val="18"/>
                <w:szCs w:val="18"/>
              </w:rPr>
              <w:t>Additional requirements:</w:t>
            </w:r>
          </w:p>
        </w:tc>
      </w:tr>
      <w:tr w:rsidR="00FA18CA" w:rsidRPr="000E4463" w:rsidTr="004048A1">
        <w:trPr>
          <w:trHeight w:val="360"/>
        </w:trPr>
        <w:tc>
          <w:tcPr>
            <w:tcW w:w="8513" w:type="dxa"/>
            <w:gridSpan w:val="5"/>
            <w:tcBorders>
              <w:top w:val="single" w:sz="4" w:space="0" w:color="000000"/>
              <w:bottom w:val="single" w:sz="4" w:space="0" w:color="auto"/>
            </w:tcBorders>
            <w:vAlign w:val="center"/>
          </w:tcPr>
          <w:p w:rsidR="00FA18CA" w:rsidRPr="000E4463" w:rsidRDefault="00FA18CA" w:rsidP="004048A1">
            <w:pPr>
              <w:numPr>
                <w:ilvl w:val="0"/>
                <w:numId w:val="16"/>
              </w:numPr>
              <w:spacing w:before="60" w:after="60" w:line="240" w:lineRule="auto"/>
              <w:ind w:left="425"/>
              <w:rPr>
                <w:color w:val="000000"/>
                <w:sz w:val="18"/>
                <w:szCs w:val="18"/>
              </w:rPr>
            </w:pPr>
            <w:r w:rsidRPr="000E4463">
              <w:rPr>
                <w:color w:val="000000"/>
                <w:sz w:val="18"/>
                <w:szCs w:val="18"/>
              </w:rPr>
              <w:t xml:space="preserve">Fragile articles shall be contained in either a rigid inner packaging or rigid intermediate </w:t>
            </w:r>
            <w:proofErr w:type="spellStart"/>
            <w:r w:rsidRPr="000E4463">
              <w:rPr>
                <w:color w:val="000000"/>
                <w:sz w:val="18"/>
                <w:szCs w:val="18"/>
              </w:rPr>
              <w:t>packagings</w:t>
            </w:r>
            <w:proofErr w:type="spellEnd"/>
            <w:r w:rsidRPr="000E4463">
              <w:rPr>
                <w:color w:val="000000"/>
                <w:sz w:val="18"/>
                <w:szCs w:val="18"/>
              </w:rPr>
              <w:t>.</w:t>
            </w:r>
          </w:p>
          <w:p w:rsidR="00FA18CA" w:rsidRPr="000E4463" w:rsidRDefault="00FA18CA" w:rsidP="004048A1">
            <w:pPr>
              <w:numPr>
                <w:ilvl w:val="0"/>
                <w:numId w:val="16"/>
              </w:numPr>
              <w:spacing w:before="60" w:after="60" w:line="240" w:lineRule="auto"/>
              <w:ind w:left="425"/>
              <w:rPr>
                <w:color w:val="000000"/>
                <w:sz w:val="18"/>
                <w:szCs w:val="18"/>
              </w:rPr>
            </w:pPr>
            <w:r w:rsidRPr="000E4463">
              <w:rPr>
                <w:color w:val="000000"/>
                <w:sz w:val="18"/>
                <w:szCs w:val="18"/>
              </w:rPr>
              <w:t xml:space="preserve">Inner </w:t>
            </w:r>
            <w:proofErr w:type="spellStart"/>
            <w:r w:rsidRPr="000E4463">
              <w:rPr>
                <w:color w:val="000000"/>
                <w:sz w:val="18"/>
                <w:szCs w:val="18"/>
              </w:rPr>
              <w:t>packagings</w:t>
            </w:r>
            <w:proofErr w:type="spellEnd"/>
            <w:r w:rsidRPr="000E4463">
              <w:rPr>
                <w:color w:val="000000"/>
                <w:sz w:val="18"/>
                <w:szCs w:val="18"/>
              </w:rPr>
              <w:t xml:space="preserve"> containing sharps objects such as broken glass and needles shall be rigid and resistant to puncture.</w:t>
            </w:r>
          </w:p>
          <w:p w:rsidR="00FA18CA" w:rsidRPr="000E4463" w:rsidRDefault="00FA18CA" w:rsidP="004048A1">
            <w:pPr>
              <w:spacing w:before="60" w:after="60" w:line="240" w:lineRule="auto"/>
              <w:ind w:left="425" w:hanging="337"/>
              <w:rPr>
                <w:color w:val="000000"/>
                <w:sz w:val="18"/>
                <w:szCs w:val="18"/>
              </w:rPr>
            </w:pPr>
            <w:r w:rsidRPr="000E4463">
              <w:rPr>
                <w:color w:val="000000"/>
                <w:sz w:val="18"/>
                <w:szCs w:val="18"/>
              </w:rPr>
              <w:t>3.</w:t>
            </w:r>
            <w:r w:rsidRPr="000E4463">
              <w:rPr>
                <w:color w:val="000000"/>
                <w:sz w:val="18"/>
                <w:szCs w:val="18"/>
              </w:rPr>
              <w:tab/>
              <w:t>The inner packaging</w:t>
            </w:r>
            <w:r>
              <w:rPr>
                <w:color w:val="000000"/>
                <w:sz w:val="18"/>
                <w:szCs w:val="18"/>
              </w:rPr>
              <w:t xml:space="preserve">, </w:t>
            </w:r>
            <w:r w:rsidRPr="000E4463">
              <w:rPr>
                <w:color w:val="000000"/>
                <w:sz w:val="18"/>
                <w:szCs w:val="18"/>
              </w:rPr>
              <w:t>the intermediate packaging</w:t>
            </w:r>
            <w:r>
              <w:rPr>
                <w:color w:val="000000"/>
                <w:sz w:val="18"/>
                <w:szCs w:val="18"/>
              </w:rPr>
              <w:t>, and the</w:t>
            </w:r>
            <w:r w:rsidRPr="000E4463">
              <w:rPr>
                <w:color w:val="000000"/>
                <w:sz w:val="18"/>
                <w:szCs w:val="18"/>
              </w:rPr>
              <w:t xml:space="preserve"> </w:t>
            </w:r>
            <w:r>
              <w:rPr>
                <w:color w:val="000000"/>
                <w:sz w:val="18"/>
                <w:szCs w:val="18"/>
              </w:rPr>
              <w:t xml:space="preserve">outer packaging </w:t>
            </w:r>
            <w:r w:rsidRPr="000E4463">
              <w:rPr>
                <w:color w:val="000000"/>
                <w:sz w:val="18"/>
                <w:szCs w:val="18"/>
              </w:rPr>
              <w:t xml:space="preserve">shall </w:t>
            </w:r>
            <w:proofErr w:type="gramStart"/>
            <w:r w:rsidRPr="000E4463">
              <w:rPr>
                <w:color w:val="000000"/>
                <w:sz w:val="18"/>
                <w:szCs w:val="18"/>
              </w:rPr>
              <w:t>be capable of retaining</w:t>
            </w:r>
            <w:proofErr w:type="gramEnd"/>
            <w:r w:rsidRPr="000E4463">
              <w:rPr>
                <w:color w:val="000000"/>
                <w:sz w:val="18"/>
                <w:szCs w:val="18"/>
              </w:rPr>
              <w:t xml:space="preserve"> liquids.</w:t>
            </w:r>
            <w:r>
              <w:rPr>
                <w:color w:val="000000"/>
                <w:sz w:val="18"/>
                <w:szCs w:val="18"/>
              </w:rPr>
              <w:t xml:space="preserve"> Outer </w:t>
            </w:r>
            <w:proofErr w:type="spellStart"/>
            <w:r>
              <w:rPr>
                <w:color w:val="000000"/>
                <w:sz w:val="18"/>
                <w:szCs w:val="18"/>
              </w:rPr>
              <w:t>packagings</w:t>
            </w:r>
            <w:proofErr w:type="spellEnd"/>
            <w:r>
              <w:rPr>
                <w:color w:val="000000"/>
                <w:sz w:val="18"/>
                <w:szCs w:val="18"/>
              </w:rPr>
              <w:t xml:space="preserve"> that are not capable of retaining liquids by design shall be fitted with a liner or suitable measure of retaining liquids.</w:t>
            </w:r>
          </w:p>
          <w:p w:rsidR="00FA18CA" w:rsidRPr="00BE1CC3" w:rsidRDefault="00FA18CA" w:rsidP="004048A1">
            <w:pPr>
              <w:spacing w:before="60" w:after="60" w:line="240" w:lineRule="auto"/>
              <w:ind w:left="425" w:hanging="337"/>
              <w:jc w:val="both"/>
              <w:rPr>
                <w:color w:val="000000"/>
                <w:sz w:val="18"/>
                <w:szCs w:val="18"/>
                <w:lang w:val="en-CA"/>
              </w:rPr>
            </w:pPr>
            <w:r w:rsidRPr="005C5C40">
              <w:rPr>
                <w:color w:val="000000"/>
                <w:sz w:val="18"/>
                <w:szCs w:val="18"/>
                <w:lang w:val="en-CA"/>
              </w:rPr>
              <w:t>4.</w:t>
            </w:r>
            <w:r w:rsidRPr="00BE1CC3">
              <w:rPr>
                <w:color w:val="000000"/>
                <w:sz w:val="18"/>
                <w:szCs w:val="18"/>
                <w:lang w:val="en-CA"/>
              </w:rPr>
              <w:tab/>
              <w:t xml:space="preserve">The inner packaging and/or the intermediate packaging may be flexible.  When flexible </w:t>
            </w:r>
            <w:proofErr w:type="spellStart"/>
            <w:r w:rsidRPr="00BE1CC3">
              <w:rPr>
                <w:color w:val="000000"/>
                <w:sz w:val="18"/>
                <w:szCs w:val="18"/>
                <w:lang w:val="en-CA"/>
              </w:rPr>
              <w:t>packagings</w:t>
            </w:r>
            <w:proofErr w:type="spellEnd"/>
            <w:r w:rsidRPr="00BE1CC3">
              <w:rPr>
                <w:color w:val="000000"/>
                <w:sz w:val="18"/>
                <w:szCs w:val="18"/>
                <w:lang w:val="en-CA"/>
              </w:rPr>
              <w:t xml:space="preserve"> are used, they shall be capable of passing the impact resistance </w:t>
            </w:r>
            <w:r w:rsidRPr="005C5C40">
              <w:rPr>
                <w:sz w:val="18"/>
                <w:szCs w:val="18"/>
                <w:lang w:val="en-CA"/>
              </w:rPr>
              <w:t>test to at least 165 g</w:t>
            </w:r>
            <w:r w:rsidRPr="00BE1CC3">
              <w:rPr>
                <w:sz w:val="18"/>
                <w:szCs w:val="18"/>
                <w:lang w:val="en-CA"/>
              </w:rPr>
              <w:t xml:space="preserve"> </w:t>
            </w:r>
            <w:r w:rsidRPr="00BE1CC3">
              <w:rPr>
                <w:color w:val="000000"/>
                <w:sz w:val="18"/>
                <w:szCs w:val="18"/>
                <w:lang w:val="en-CA"/>
              </w:rPr>
              <w:t xml:space="preserve">according to ISO 7765-1:1988 “Plastics film and sheeting – Determination of impact resistance by the free-falling dart method – Part 1: Staircase methods” and </w:t>
            </w:r>
            <w:r w:rsidRPr="005C5C40">
              <w:rPr>
                <w:sz w:val="18"/>
                <w:szCs w:val="18"/>
                <w:lang w:val="en-CA"/>
              </w:rPr>
              <w:t>the tear resistance test to at least 480 g in both parallel and perpendicular planes with respect to the length of the bag in accordance</w:t>
            </w:r>
            <w:r w:rsidRPr="00BE1CC3">
              <w:rPr>
                <w:sz w:val="18"/>
                <w:szCs w:val="18"/>
                <w:lang w:val="en-CA"/>
              </w:rPr>
              <w:t xml:space="preserve"> </w:t>
            </w:r>
            <w:r w:rsidRPr="00BE1CC3">
              <w:rPr>
                <w:color w:val="000000"/>
                <w:sz w:val="18"/>
                <w:szCs w:val="18"/>
                <w:lang w:val="en-CA"/>
              </w:rPr>
              <w:t xml:space="preserve">with ISO 6383-2:1983 “Plastics – Film and sheeting – Determination of tear resistance – Part 2: Elmendorf method”.  The maximum net mass of each </w:t>
            </w:r>
            <w:r w:rsidRPr="005C5C40">
              <w:rPr>
                <w:sz w:val="18"/>
                <w:szCs w:val="18"/>
                <w:lang w:val="en-CA"/>
              </w:rPr>
              <w:t>flexible inner packaging</w:t>
            </w:r>
            <w:r w:rsidRPr="00BE1CC3">
              <w:rPr>
                <w:color w:val="000000"/>
                <w:sz w:val="18"/>
                <w:szCs w:val="18"/>
                <w:lang w:val="en-CA"/>
              </w:rPr>
              <w:t xml:space="preserve"> shall be 30kg.</w:t>
            </w:r>
          </w:p>
          <w:p w:rsidR="00FA18CA" w:rsidRPr="00BE1CC3" w:rsidRDefault="00FA18CA" w:rsidP="004048A1">
            <w:pPr>
              <w:spacing w:before="60" w:after="60" w:line="240" w:lineRule="auto"/>
              <w:ind w:left="425" w:hanging="337"/>
              <w:jc w:val="both"/>
              <w:rPr>
                <w:color w:val="000000"/>
                <w:sz w:val="18"/>
                <w:szCs w:val="18"/>
                <w:lang w:val="en-CA"/>
              </w:rPr>
            </w:pPr>
            <w:r w:rsidRPr="005C5C40">
              <w:rPr>
                <w:color w:val="000000"/>
                <w:sz w:val="18"/>
                <w:szCs w:val="18"/>
                <w:lang w:val="en-CA"/>
              </w:rPr>
              <w:t>5</w:t>
            </w:r>
            <w:r w:rsidRPr="00BE1CC3">
              <w:rPr>
                <w:color w:val="000000"/>
                <w:sz w:val="18"/>
                <w:szCs w:val="18"/>
                <w:lang w:val="en-CA"/>
              </w:rPr>
              <w:t>.</w:t>
            </w:r>
            <w:r w:rsidRPr="00BE1CC3">
              <w:rPr>
                <w:color w:val="000000"/>
                <w:sz w:val="18"/>
                <w:szCs w:val="18"/>
                <w:lang w:val="en-CA"/>
              </w:rPr>
              <w:tab/>
              <w:t>Each flexible intermediate packaging shall contain only one inner packaging.</w:t>
            </w:r>
          </w:p>
          <w:p w:rsidR="00FA18CA" w:rsidRDefault="00FA18CA" w:rsidP="004048A1">
            <w:pPr>
              <w:spacing w:before="60" w:after="60" w:line="240" w:lineRule="auto"/>
              <w:ind w:left="425" w:hanging="337"/>
              <w:jc w:val="both"/>
              <w:rPr>
                <w:color w:val="000000"/>
                <w:sz w:val="18"/>
                <w:szCs w:val="18"/>
                <w:lang w:val="en-CA"/>
              </w:rPr>
            </w:pPr>
            <w:r w:rsidRPr="005C5C40">
              <w:rPr>
                <w:color w:val="000000"/>
                <w:sz w:val="18"/>
                <w:szCs w:val="18"/>
                <w:lang w:val="en-CA"/>
              </w:rPr>
              <w:t>6.</w:t>
            </w:r>
            <w:r w:rsidRPr="00BE1CC3">
              <w:rPr>
                <w:color w:val="000000"/>
                <w:sz w:val="18"/>
                <w:szCs w:val="18"/>
                <w:lang w:val="en-CA"/>
              </w:rPr>
              <w:tab/>
              <w:t xml:space="preserve">Inner </w:t>
            </w:r>
            <w:proofErr w:type="spellStart"/>
            <w:r w:rsidRPr="00BE1CC3">
              <w:rPr>
                <w:color w:val="000000"/>
                <w:sz w:val="18"/>
                <w:szCs w:val="18"/>
                <w:lang w:val="en-CA"/>
              </w:rPr>
              <w:t>packagings</w:t>
            </w:r>
            <w:proofErr w:type="spellEnd"/>
            <w:r w:rsidRPr="00BE1CC3">
              <w:rPr>
                <w:color w:val="000000"/>
                <w:sz w:val="18"/>
                <w:szCs w:val="18"/>
                <w:lang w:val="en-CA"/>
              </w:rPr>
              <w:t xml:space="preserve"> containing a small amount of free liquid may be included in intermediate packaging </w:t>
            </w:r>
            <w:proofErr w:type="gramStart"/>
            <w:r w:rsidRPr="00BE1CC3">
              <w:rPr>
                <w:color w:val="000000"/>
                <w:sz w:val="18"/>
                <w:szCs w:val="18"/>
                <w:lang w:val="en-CA"/>
              </w:rPr>
              <w:t>provided that</w:t>
            </w:r>
            <w:proofErr w:type="gramEnd"/>
            <w:r w:rsidRPr="00BE1CC3">
              <w:rPr>
                <w:color w:val="000000"/>
                <w:sz w:val="18"/>
                <w:szCs w:val="18"/>
                <w:lang w:val="en-CA"/>
              </w:rPr>
              <w:t xml:space="preserve">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FA18CA" w:rsidRPr="005C5C40" w:rsidRDefault="00FA18CA" w:rsidP="004048A1">
            <w:pPr>
              <w:spacing w:before="60" w:after="60" w:line="240" w:lineRule="auto"/>
              <w:ind w:left="425" w:hanging="337"/>
              <w:jc w:val="both"/>
              <w:rPr>
                <w:color w:val="000000"/>
                <w:sz w:val="18"/>
                <w:szCs w:val="18"/>
                <w:lang w:val="en-US"/>
              </w:rPr>
            </w:pPr>
            <w:r>
              <w:rPr>
                <w:color w:val="000000"/>
                <w:sz w:val="18"/>
                <w:szCs w:val="18"/>
                <w:lang w:val="en-CA"/>
              </w:rPr>
              <w:t xml:space="preserve">7.     Intermediate </w:t>
            </w:r>
            <w:proofErr w:type="spellStart"/>
            <w:r>
              <w:rPr>
                <w:color w:val="000000"/>
                <w:sz w:val="18"/>
                <w:szCs w:val="18"/>
                <w:lang w:val="en-CA"/>
              </w:rPr>
              <w:t>packagings</w:t>
            </w:r>
            <w:proofErr w:type="spellEnd"/>
            <w:r>
              <w:rPr>
                <w:color w:val="000000"/>
                <w:sz w:val="18"/>
                <w:szCs w:val="18"/>
                <w:lang w:val="en-CA"/>
              </w:rPr>
              <w:t xml:space="preserve"> shall be secured in outer </w:t>
            </w:r>
            <w:proofErr w:type="spellStart"/>
            <w:r>
              <w:rPr>
                <w:color w:val="000000"/>
                <w:sz w:val="18"/>
                <w:szCs w:val="18"/>
                <w:lang w:val="en-CA"/>
              </w:rPr>
              <w:t>packagings</w:t>
            </w:r>
            <w:proofErr w:type="spellEnd"/>
            <w:r>
              <w:rPr>
                <w:color w:val="000000"/>
                <w:sz w:val="18"/>
                <w:szCs w:val="18"/>
                <w:lang w:val="en-CA"/>
              </w:rPr>
              <w:t xml:space="preserve"> with suitable cushioning and</w:t>
            </w:r>
            <w:r>
              <w:rPr>
                <w:color w:val="000000"/>
                <w:sz w:val="18"/>
                <w:szCs w:val="18"/>
                <w:lang w:val="en-US"/>
              </w:rPr>
              <w:t>/or absorbent material.</w:t>
            </w:r>
            <w:r w:rsidRPr="000E4463">
              <w:rPr>
                <w:color w:val="000000"/>
                <w:sz w:val="18"/>
                <w:szCs w:val="18"/>
              </w:rPr>
              <w:tab/>
            </w:r>
          </w:p>
        </w:tc>
      </w:tr>
    </w:tbl>
    <w:p w:rsidR="00FA18CA" w:rsidRPr="00DC6A2B" w:rsidRDefault="00FA18CA" w:rsidP="00FA18CA">
      <w:pPr>
        <w:pStyle w:val="SingleTxtG"/>
        <w:rPr>
          <w:lang w:val="en-US"/>
        </w:rPr>
      </w:pPr>
      <w:r w:rsidRPr="00DC6A2B">
        <w:rPr>
          <w:lang w:val="en-US"/>
        </w:rPr>
        <w:t>]</w:t>
      </w:r>
    </w:p>
    <w:p w:rsidR="007405ED" w:rsidRDefault="007405ED">
      <w:pPr>
        <w:suppressAutoHyphens w:val="0"/>
        <w:spacing w:line="240" w:lineRule="auto"/>
        <w:rPr>
          <w:i/>
          <w:iCs/>
          <w:lang w:val="en-US"/>
        </w:rPr>
      </w:pPr>
      <w:r>
        <w:rPr>
          <w:i/>
          <w:iCs/>
          <w:lang w:val="en-US"/>
        </w:rPr>
        <w:br w:type="page"/>
      </w:r>
    </w:p>
    <w:p w:rsidR="00FA18CA" w:rsidRPr="003141B9" w:rsidRDefault="00FA18CA" w:rsidP="00FA18CA">
      <w:pPr>
        <w:pStyle w:val="SingleTxtG"/>
        <w:rPr>
          <w:lang w:val="en-US"/>
        </w:rPr>
      </w:pPr>
      <w:r w:rsidRPr="003141B9">
        <w:rPr>
          <w:i/>
          <w:iCs/>
          <w:lang w:val="en-US"/>
        </w:rPr>
        <w:t xml:space="preserve">(Reference document: </w:t>
      </w:r>
      <w:r w:rsidRPr="00627AC0">
        <w:rPr>
          <w:bCs/>
          <w:i/>
          <w:iCs/>
          <w:lang w:val="en-US"/>
        </w:rPr>
        <w:t>ST/SG/AC.10/C.3/2018/</w:t>
      </w:r>
      <w:r>
        <w:rPr>
          <w:bCs/>
          <w:i/>
          <w:iCs/>
          <w:lang w:val="en-US"/>
        </w:rPr>
        <w:t>20 and</w:t>
      </w:r>
      <w:r w:rsidRPr="006A6A78">
        <w:rPr>
          <w:i/>
          <w:iCs/>
          <w:lang w:val="en-US"/>
        </w:rPr>
        <w:t xml:space="preserve"> </w:t>
      </w:r>
      <w:r w:rsidRPr="003141B9">
        <w:rPr>
          <w:i/>
          <w:iCs/>
          <w:lang w:val="en-US"/>
        </w:rPr>
        <w:t>informal document</w:t>
      </w:r>
      <w:r>
        <w:rPr>
          <w:i/>
          <w:iCs/>
          <w:lang w:val="en-US"/>
        </w:rPr>
        <w:t xml:space="preserve"> INF.70, re</w:t>
      </w:r>
      <w:r w:rsidRPr="003141B9">
        <w:rPr>
          <w:i/>
          <w:iCs/>
          <w:lang w:val="en-US"/>
        </w:rPr>
        <w:t>places the amendment in annex II of document ST/SG/AC.10/C.3/102/Add.1</w:t>
      </w:r>
      <w:r w:rsidRPr="003141B9">
        <w:rPr>
          <w:bCs/>
          <w:i/>
          <w:iCs/>
          <w:lang w:val="en-US"/>
        </w:rPr>
        <w:t>)</w:t>
      </w:r>
    </w:p>
    <w:p w:rsidR="00203CA8" w:rsidRDefault="00203CA8" w:rsidP="00203CA8">
      <w:pPr>
        <w:pStyle w:val="SingleTxtG"/>
      </w:pPr>
      <w:r>
        <w:t xml:space="preserve">4.1.4.1, packing instruction P907 (as corrected in </w:t>
      </w:r>
      <w:r w:rsidRPr="00C63FB0">
        <w:t>ST/SG/AC.10/C.3/102/Add.1</w:t>
      </w:r>
      <w:r>
        <w:t>): Replace the introductory sentence by: “This packing instruction applies to articles, such as machinery, apparatus or devices of UN No. 3363.”.</w:t>
      </w:r>
    </w:p>
    <w:p w:rsidR="00203CA8" w:rsidRDefault="00203CA8" w:rsidP="00203CA8">
      <w:pPr>
        <w:pStyle w:val="SingleTxtG"/>
      </w:pPr>
      <w:r w:rsidRPr="00F63542">
        <w:t xml:space="preserve">In the text after this introductory sentence: in the first sentence, replace “machinery or apparatus” by “article”. In the second sentence replace “machinery or apparatus” by “an article”. In the fifth sentence replace “machinery or apparatus” by “article”. In the </w:t>
      </w:r>
      <w:r>
        <w:t xml:space="preserve">sixth </w:t>
      </w:r>
      <w:r w:rsidRPr="00F63542">
        <w:t>sentence replace “machinery or apparatus” by “article”.</w:t>
      </w:r>
    </w:p>
    <w:p w:rsidR="00203CA8" w:rsidRDefault="00203CA8" w:rsidP="00203CA8">
      <w:pPr>
        <w:pStyle w:val="SingleTxtG"/>
        <w:rPr>
          <w:i/>
          <w:iCs/>
          <w:lang w:val="en-US"/>
        </w:rPr>
      </w:pPr>
      <w:r w:rsidRPr="001539C6">
        <w:rPr>
          <w:i/>
          <w:iCs/>
        </w:rPr>
        <w:t>(</w:t>
      </w:r>
      <w:r>
        <w:rPr>
          <w:i/>
          <w:iCs/>
          <w:lang w:val="en-US"/>
        </w:rPr>
        <w:t>Reference document</w:t>
      </w:r>
      <w:r w:rsidRPr="00325855">
        <w:rPr>
          <w:i/>
          <w:iCs/>
          <w:lang w:val="en-US"/>
        </w:rPr>
        <w:t>:</w:t>
      </w:r>
      <w:r>
        <w:rPr>
          <w:i/>
          <w:iCs/>
          <w:lang w:val="en-US"/>
        </w:rPr>
        <w:t xml:space="preserve"> ST/SG/AC.10/C.3/2018/7, replaces the amendment in ST/SG/AC.10/C.3/104/Add.1</w:t>
      </w:r>
      <w:r w:rsidR="00E465FF">
        <w:rPr>
          <w:i/>
          <w:iCs/>
          <w:lang w:val="en-US"/>
        </w:rPr>
        <w:t xml:space="preserve">, </w:t>
      </w:r>
      <w:r w:rsidR="00CF419C">
        <w:rPr>
          <w:i/>
          <w:iCs/>
          <w:lang w:val="en-US"/>
        </w:rPr>
        <w:t>annex II</w:t>
      </w:r>
      <w:r>
        <w:rPr>
          <w:i/>
          <w:iCs/>
          <w:lang w:val="en-US"/>
        </w:rPr>
        <w:t>)</w:t>
      </w:r>
    </w:p>
    <w:p w:rsidR="00CE37B8" w:rsidRDefault="00CE37B8" w:rsidP="00CE37B8">
      <w:pPr>
        <w:pStyle w:val="SingleTxtG"/>
      </w:pPr>
      <w:r>
        <w:t>4.1.4.1, packing instruction P903</w:t>
      </w:r>
      <w:r>
        <w:tab/>
        <w:t>Add the following new paragraph (5):</w:t>
      </w:r>
    </w:p>
    <w:p w:rsidR="00CE37B8" w:rsidRPr="00DC400E" w:rsidRDefault="00CE37B8" w:rsidP="00CE37B8">
      <w:pPr>
        <w:pStyle w:val="SingleTxtG"/>
      </w:pPr>
      <w:r w:rsidRPr="00DC400E">
        <w:t xml:space="preserve">“(5) </w:t>
      </w:r>
      <w:r w:rsidRPr="00DC400E">
        <w:tab/>
        <w:t>For packaging containing both cells or batteries packed with equipment and contained in equipment:</w:t>
      </w:r>
    </w:p>
    <w:p w:rsidR="00CE37B8" w:rsidRPr="00DC400E" w:rsidRDefault="00CE37B8" w:rsidP="00CE37B8">
      <w:pPr>
        <w:pStyle w:val="SingleTxtG"/>
      </w:pPr>
      <w:r>
        <w:t>(a)</w:t>
      </w:r>
      <w:r>
        <w:tab/>
      </w:r>
      <w:r w:rsidRPr="00DC400E">
        <w:t xml:space="preserve">For cells and batteries, </w:t>
      </w:r>
      <w:proofErr w:type="spellStart"/>
      <w:r w:rsidRPr="00DC400E">
        <w:t>packagings</w:t>
      </w:r>
      <w:proofErr w:type="spellEnd"/>
      <w:r w:rsidRPr="00DC400E">
        <w:t xml:space="preserve"> that completely enclose the cells or batteries, then placed with equipment in a packaging conforming to the requirements in paragraph (1) of this packing instruction; or  </w:t>
      </w:r>
    </w:p>
    <w:p w:rsidR="00CE37B8" w:rsidRPr="00DC400E" w:rsidRDefault="00CE37B8" w:rsidP="00CE37B8">
      <w:pPr>
        <w:pStyle w:val="SingleTxtG"/>
      </w:pPr>
      <w:r>
        <w:t>(b)</w:t>
      </w:r>
      <w:r>
        <w:tab/>
      </w:r>
      <w:proofErr w:type="spellStart"/>
      <w:r w:rsidRPr="00DC400E">
        <w:t>Packagings</w:t>
      </w:r>
      <w:proofErr w:type="spellEnd"/>
      <w:r w:rsidRPr="00DC400E">
        <w:t xml:space="preserve"> conforming to the requirements in paragraph (1) of this packing instruction, then placed with the equipment in a strong outer packaging constructed of suitable material, and of adequate strength and design in relation to the packaging cap</w:t>
      </w:r>
      <w:r>
        <w:t>acity and its intended use. The outer packaging</w:t>
      </w:r>
      <w:r w:rsidRPr="00DC400E">
        <w:t xml:space="preserve"> shall be constructed in such a manner as to prevent accidental operation during transport</w:t>
      </w:r>
      <w:r>
        <w:t xml:space="preserve"> and </w:t>
      </w:r>
      <w:r w:rsidRPr="00DC400E">
        <w:t xml:space="preserve">need not meet the requirements of 4.1.1.3. </w:t>
      </w:r>
    </w:p>
    <w:p w:rsidR="00CE37B8" w:rsidRPr="00DC400E" w:rsidRDefault="00CE37B8" w:rsidP="00CE37B8">
      <w:pPr>
        <w:pStyle w:val="SingleTxtG"/>
      </w:pPr>
      <w:r w:rsidRPr="00DC400E">
        <w:t xml:space="preserve">The equipment shall be secured against movement within the outer packaging. </w:t>
      </w:r>
    </w:p>
    <w:p w:rsidR="00CE37B8" w:rsidRPr="00DC400E" w:rsidRDefault="00CE37B8" w:rsidP="00CE37B8">
      <w:pPr>
        <w:pStyle w:val="SingleTxtG"/>
      </w:pPr>
      <w:r w:rsidRPr="00DC400E">
        <w:t xml:space="preserve">Devices such as radio frequency identification (RFID) tags, watches and temperature loggers, which are not capable of generating a dangerous evolution of heat, may be transported when intentionally active in strong outer </w:t>
      </w:r>
      <w:proofErr w:type="spellStart"/>
      <w:r w:rsidRPr="00DC400E">
        <w:t>packagings</w:t>
      </w:r>
      <w:proofErr w:type="spellEnd"/>
      <w:r w:rsidRPr="00DC400E">
        <w:t>. When active, these devices shall meet defined standards for electromagnetic radiation to ensure that the operation of the devices does not interfere with aircraft systems.</w:t>
      </w:r>
      <w:r>
        <w:t>”.</w:t>
      </w:r>
    </w:p>
    <w:p w:rsidR="00CE37B8" w:rsidRPr="006A6A78" w:rsidRDefault="00CE37B8" w:rsidP="00CE37B8">
      <w:pPr>
        <w:pStyle w:val="SingleTxtG"/>
        <w:rPr>
          <w:i/>
          <w:iCs/>
          <w:lang w:val="en-US"/>
        </w:rPr>
      </w:pPr>
      <w:r w:rsidRPr="002D23D8">
        <w:rPr>
          <w:i/>
          <w:iCs/>
        </w:rPr>
        <w:t xml:space="preserve">(Reference document: </w:t>
      </w:r>
      <w:r w:rsidRPr="00627AC0">
        <w:rPr>
          <w:bCs/>
          <w:i/>
          <w:iCs/>
          <w:lang w:val="en-US"/>
        </w:rPr>
        <w:t>ST/SG/AC.10/C.3/2018/</w:t>
      </w:r>
      <w:r>
        <w:rPr>
          <w:bCs/>
          <w:i/>
          <w:iCs/>
          <w:lang w:val="en-US"/>
        </w:rPr>
        <w:t>37 and</w:t>
      </w:r>
      <w:r w:rsidRPr="006A6A78">
        <w:rPr>
          <w:i/>
          <w:iCs/>
          <w:lang w:val="en-US"/>
        </w:rPr>
        <w:t xml:space="preserve"> informal document INF.65/Rev.1, as amended)</w:t>
      </w:r>
    </w:p>
    <w:p w:rsidR="00203CA8" w:rsidRDefault="00203CA8" w:rsidP="00203CA8">
      <w:pPr>
        <w:pStyle w:val="SingleTxtG"/>
      </w:pPr>
      <w:r w:rsidRPr="00624A59">
        <w:rPr>
          <w:lang w:val="en-US"/>
        </w:rPr>
        <w:t>4.1.4.2, Packing instruction IBC520</w:t>
      </w:r>
      <w:r w:rsidRPr="00624A59">
        <w:rPr>
          <w:lang w:val="en-US"/>
        </w:rPr>
        <w:tab/>
        <w:t>For UN No. 31</w:t>
      </w:r>
      <w:r>
        <w:rPr>
          <w:lang w:val="en-US"/>
        </w:rPr>
        <w:t>1</w:t>
      </w:r>
      <w:r w:rsidRPr="00624A59">
        <w:rPr>
          <w:lang w:val="en-US"/>
        </w:rPr>
        <w:t>9, insert the two following new entries:</w:t>
      </w:r>
      <w:r>
        <w:tab/>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0"/>
        <w:gridCol w:w="2412"/>
        <w:gridCol w:w="1606"/>
        <w:gridCol w:w="1607"/>
        <w:gridCol w:w="1607"/>
        <w:gridCol w:w="1607"/>
      </w:tblGrid>
      <w:tr w:rsidR="00203CA8" w:rsidRPr="00B301AF" w:rsidTr="001E426F">
        <w:trPr>
          <w:cantSplit/>
          <w:tblHeader/>
        </w:trPr>
        <w:tc>
          <w:tcPr>
            <w:tcW w:w="800" w:type="dxa"/>
            <w:tcBorders>
              <w:top w:val="single" w:sz="4" w:space="0" w:color="auto"/>
              <w:bottom w:val="single" w:sz="12" w:space="0" w:color="auto"/>
            </w:tcBorders>
            <w:shd w:val="clear" w:color="auto" w:fill="auto"/>
            <w:vAlign w:val="bottom"/>
          </w:tcPr>
          <w:p w:rsidR="00203CA8" w:rsidRPr="00B301AF" w:rsidRDefault="00203CA8" w:rsidP="001E426F">
            <w:pPr>
              <w:spacing w:before="80" w:after="80" w:line="200" w:lineRule="exact"/>
              <w:ind w:right="113"/>
              <w:rPr>
                <w:i/>
                <w:sz w:val="16"/>
              </w:rPr>
            </w:pPr>
            <w:r>
              <w:rPr>
                <w:i/>
                <w:sz w:val="16"/>
              </w:rPr>
              <w:t>UN No.</w:t>
            </w:r>
          </w:p>
        </w:tc>
        <w:tc>
          <w:tcPr>
            <w:tcW w:w="2412" w:type="dxa"/>
            <w:tcBorders>
              <w:top w:val="single" w:sz="4" w:space="0" w:color="auto"/>
              <w:bottom w:val="single" w:sz="12" w:space="0" w:color="auto"/>
            </w:tcBorders>
            <w:shd w:val="clear" w:color="auto" w:fill="auto"/>
            <w:vAlign w:val="bottom"/>
          </w:tcPr>
          <w:p w:rsidR="00203CA8" w:rsidRPr="00B301AF" w:rsidRDefault="00203CA8" w:rsidP="001E426F">
            <w:pPr>
              <w:spacing w:before="80" w:after="80" w:line="200" w:lineRule="exact"/>
              <w:ind w:right="113"/>
              <w:rPr>
                <w:i/>
                <w:sz w:val="16"/>
              </w:rPr>
            </w:pPr>
            <w:r>
              <w:rPr>
                <w:i/>
                <w:sz w:val="16"/>
              </w:rPr>
              <w:t>Organic peroxide</w:t>
            </w:r>
          </w:p>
        </w:tc>
        <w:tc>
          <w:tcPr>
            <w:tcW w:w="1606" w:type="dxa"/>
            <w:tcBorders>
              <w:top w:val="single" w:sz="4" w:space="0" w:color="auto"/>
              <w:bottom w:val="single" w:sz="12" w:space="0" w:color="auto"/>
            </w:tcBorders>
            <w:shd w:val="clear" w:color="auto" w:fill="auto"/>
            <w:vAlign w:val="bottom"/>
          </w:tcPr>
          <w:p w:rsidR="00203CA8" w:rsidRPr="00B301AF" w:rsidRDefault="00203CA8" w:rsidP="001E426F">
            <w:pPr>
              <w:spacing w:before="80" w:after="80" w:line="200" w:lineRule="exact"/>
              <w:ind w:right="113"/>
              <w:rPr>
                <w:i/>
                <w:sz w:val="16"/>
              </w:rPr>
            </w:pPr>
            <w:r w:rsidRPr="00B301AF">
              <w:rPr>
                <w:i/>
                <w:sz w:val="16"/>
              </w:rPr>
              <w:t xml:space="preserve">Type </w:t>
            </w:r>
            <w:r>
              <w:rPr>
                <w:i/>
                <w:sz w:val="16"/>
              </w:rPr>
              <w:t>of IBC</w:t>
            </w:r>
          </w:p>
        </w:tc>
        <w:tc>
          <w:tcPr>
            <w:tcW w:w="1607" w:type="dxa"/>
            <w:tcBorders>
              <w:top w:val="single" w:sz="4" w:space="0" w:color="auto"/>
              <w:bottom w:val="single" w:sz="12" w:space="0" w:color="auto"/>
            </w:tcBorders>
            <w:shd w:val="clear" w:color="auto" w:fill="auto"/>
            <w:vAlign w:val="bottom"/>
          </w:tcPr>
          <w:p w:rsidR="00203CA8" w:rsidRPr="00B301AF" w:rsidRDefault="00203CA8" w:rsidP="001E426F">
            <w:pPr>
              <w:spacing w:before="80" w:after="80" w:line="200" w:lineRule="exact"/>
              <w:ind w:right="113"/>
              <w:rPr>
                <w:i/>
                <w:sz w:val="16"/>
              </w:rPr>
            </w:pPr>
            <w:r>
              <w:rPr>
                <w:i/>
                <w:sz w:val="16"/>
              </w:rPr>
              <w:t>Maximum quantity</w:t>
            </w:r>
            <w:r w:rsidRPr="00B301AF">
              <w:rPr>
                <w:i/>
                <w:sz w:val="16"/>
              </w:rPr>
              <w:t xml:space="preserve"> (litres)</w:t>
            </w:r>
          </w:p>
        </w:tc>
        <w:tc>
          <w:tcPr>
            <w:tcW w:w="1607" w:type="dxa"/>
            <w:tcBorders>
              <w:top w:val="single" w:sz="4" w:space="0" w:color="auto"/>
              <w:bottom w:val="single" w:sz="12" w:space="0" w:color="auto"/>
            </w:tcBorders>
            <w:shd w:val="clear" w:color="auto" w:fill="auto"/>
            <w:vAlign w:val="bottom"/>
          </w:tcPr>
          <w:p w:rsidR="00203CA8" w:rsidRPr="00B301AF" w:rsidRDefault="00203CA8" w:rsidP="001E426F">
            <w:pPr>
              <w:spacing w:before="80" w:after="80" w:line="200" w:lineRule="exact"/>
              <w:ind w:right="113"/>
              <w:rPr>
                <w:i/>
                <w:sz w:val="16"/>
              </w:rPr>
            </w:pPr>
            <w:r>
              <w:rPr>
                <w:i/>
                <w:sz w:val="16"/>
              </w:rPr>
              <w:t>Control temperature</w:t>
            </w:r>
          </w:p>
        </w:tc>
        <w:tc>
          <w:tcPr>
            <w:tcW w:w="1607" w:type="dxa"/>
            <w:tcBorders>
              <w:top w:val="single" w:sz="4" w:space="0" w:color="auto"/>
              <w:bottom w:val="single" w:sz="12" w:space="0" w:color="auto"/>
            </w:tcBorders>
            <w:shd w:val="clear" w:color="auto" w:fill="auto"/>
            <w:vAlign w:val="bottom"/>
          </w:tcPr>
          <w:p w:rsidR="00203CA8" w:rsidRPr="00B301AF" w:rsidRDefault="00203CA8" w:rsidP="001E426F">
            <w:pPr>
              <w:spacing w:before="80" w:after="80" w:line="200" w:lineRule="exact"/>
              <w:ind w:right="113"/>
              <w:rPr>
                <w:i/>
                <w:sz w:val="16"/>
              </w:rPr>
            </w:pPr>
            <w:r>
              <w:rPr>
                <w:i/>
                <w:sz w:val="16"/>
              </w:rPr>
              <w:t>Emergency temperature</w:t>
            </w:r>
          </w:p>
        </w:tc>
      </w:tr>
      <w:tr w:rsidR="00203CA8" w:rsidRPr="00B301AF" w:rsidTr="001E426F">
        <w:tc>
          <w:tcPr>
            <w:tcW w:w="800" w:type="dxa"/>
            <w:tcBorders>
              <w:top w:val="single" w:sz="12" w:space="0" w:color="auto"/>
            </w:tcBorders>
            <w:shd w:val="clear" w:color="auto" w:fill="auto"/>
          </w:tcPr>
          <w:p w:rsidR="00203CA8" w:rsidRPr="00B301AF" w:rsidRDefault="00203CA8" w:rsidP="001E426F">
            <w:pPr>
              <w:spacing w:before="40" w:after="120"/>
              <w:ind w:right="113"/>
              <w:rPr>
                <w:sz w:val="18"/>
                <w:szCs w:val="18"/>
              </w:rPr>
            </w:pPr>
            <w:r w:rsidRPr="00B301AF">
              <w:rPr>
                <w:sz w:val="18"/>
                <w:szCs w:val="18"/>
              </w:rPr>
              <w:t>3119</w:t>
            </w:r>
          </w:p>
        </w:tc>
        <w:tc>
          <w:tcPr>
            <w:tcW w:w="2412" w:type="dxa"/>
            <w:tcBorders>
              <w:top w:val="single" w:sz="12" w:space="0" w:color="auto"/>
            </w:tcBorders>
            <w:shd w:val="clear" w:color="auto" w:fill="auto"/>
            <w:vAlign w:val="bottom"/>
          </w:tcPr>
          <w:p w:rsidR="00203CA8" w:rsidRPr="0041335F" w:rsidRDefault="00203CA8" w:rsidP="001E426F">
            <w:pPr>
              <w:spacing w:before="60" w:after="60" w:line="200" w:lineRule="exact"/>
              <w:ind w:left="57" w:right="57"/>
              <w:rPr>
                <w:rFonts w:asciiTheme="majorBidi" w:hAnsiTheme="majorBidi" w:cstheme="majorBidi"/>
                <w:sz w:val="16"/>
                <w:szCs w:val="16"/>
                <w:lang w:val="en-US"/>
              </w:rPr>
            </w:pPr>
            <w:r w:rsidRPr="00F905A8">
              <w:rPr>
                <w:rFonts w:asciiTheme="majorBidi" w:hAnsiTheme="majorBidi" w:cstheme="majorBidi"/>
                <w:sz w:val="18"/>
                <w:szCs w:val="18"/>
              </w:rPr>
              <w:t xml:space="preserve">tert-Amyl </w:t>
            </w:r>
            <w:proofErr w:type="spellStart"/>
            <w:r w:rsidRPr="00F905A8">
              <w:rPr>
                <w:rFonts w:asciiTheme="majorBidi" w:hAnsiTheme="majorBidi" w:cstheme="majorBidi"/>
                <w:sz w:val="18"/>
                <w:szCs w:val="18"/>
              </w:rPr>
              <w:t>peroxypivalate</w:t>
            </w:r>
            <w:proofErr w:type="spellEnd"/>
            <w:r w:rsidRPr="00F905A8">
              <w:rPr>
                <w:rFonts w:asciiTheme="majorBidi" w:hAnsiTheme="majorBidi" w:cstheme="majorBidi"/>
                <w:sz w:val="18"/>
                <w:szCs w:val="18"/>
              </w:rPr>
              <w:t>, not more than 42% as a stable dispersion in water</w:t>
            </w:r>
          </w:p>
        </w:tc>
        <w:tc>
          <w:tcPr>
            <w:tcW w:w="1606" w:type="dxa"/>
            <w:tcBorders>
              <w:top w:val="single" w:sz="12" w:space="0" w:color="auto"/>
            </w:tcBorders>
            <w:shd w:val="clear" w:color="auto" w:fill="auto"/>
          </w:tcPr>
          <w:p w:rsidR="00203CA8" w:rsidRPr="00B301AF" w:rsidRDefault="00203CA8" w:rsidP="001E426F">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31HA1</w:t>
            </w:r>
          </w:p>
        </w:tc>
        <w:tc>
          <w:tcPr>
            <w:tcW w:w="1607" w:type="dxa"/>
            <w:tcBorders>
              <w:top w:val="single" w:sz="12" w:space="0" w:color="auto"/>
            </w:tcBorders>
            <w:shd w:val="clear" w:color="auto" w:fill="auto"/>
          </w:tcPr>
          <w:p w:rsidR="00203CA8" w:rsidRPr="00B301AF" w:rsidRDefault="00203CA8" w:rsidP="001E426F">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1 000</w:t>
            </w:r>
          </w:p>
        </w:tc>
        <w:tc>
          <w:tcPr>
            <w:tcW w:w="1607" w:type="dxa"/>
            <w:tcBorders>
              <w:top w:val="single" w:sz="12" w:space="0" w:color="auto"/>
            </w:tcBorders>
            <w:shd w:val="clear" w:color="auto" w:fill="auto"/>
          </w:tcPr>
          <w:p w:rsidR="00203CA8" w:rsidRPr="00B301AF" w:rsidRDefault="00203CA8" w:rsidP="001E426F">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0 ºC</w:t>
            </w:r>
          </w:p>
        </w:tc>
        <w:tc>
          <w:tcPr>
            <w:tcW w:w="1607" w:type="dxa"/>
            <w:tcBorders>
              <w:top w:val="single" w:sz="12" w:space="0" w:color="auto"/>
            </w:tcBorders>
            <w:shd w:val="clear" w:color="auto" w:fill="auto"/>
          </w:tcPr>
          <w:p w:rsidR="00203CA8" w:rsidRPr="00B301AF" w:rsidRDefault="00203CA8" w:rsidP="001E426F">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+10 ºC</w:t>
            </w:r>
          </w:p>
        </w:tc>
      </w:tr>
      <w:tr w:rsidR="00203CA8" w:rsidRPr="00CC6AA6" w:rsidTr="001E426F">
        <w:tc>
          <w:tcPr>
            <w:tcW w:w="800" w:type="dxa"/>
            <w:shd w:val="clear" w:color="auto" w:fill="auto"/>
          </w:tcPr>
          <w:p w:rsidR="00203CA8" w:rsidRPr="00B301AF" w:rsidRDefault="00203CA8" w:rsidP="001E426F">
            <w:pPr>
              <w:spacing w:before="40" w:after="120"/>
              <w:ind w:right="113"/>
              <w:rPr>
                <w:sz w:val="18"/>
                <w:szCs w:val="18"/>
              </w:rPr>
            </w:pPr>
            <w:r w:rsidRPr="00B301AF">
              <w:rPr>
                <w:sz w:val="18"/>
                <w:szCs w:val="18"/>
              </w:rPr>
              <w:t>3119</w:t>
            </w:r>
          </w:p>
        </w:tc>
        <w:tc>
          <w:tcPr>
            <w:tcW w:w="2412" w:type="dxa"/>
            <w:shd w:val="clear" w:color="auto" w:fill="auto"/>
            <w:vAlign w:val="bottom"/>
          </w:tcPr>
          <w:p w:rsidR="00203CA8" w:rsidRPr="0041335F" w:rsidRDefault="00203CA8" w:rsidP="001E426F">
            <w:pPr>
              <w:spacing w:before="60" w:after="60" w:line="200" w:lineRule="exact"/>
              <w:ind w:left="57" w:right="57"/>
              <w:rPr>
                <w:rFonts w:asciiTheme="majorBidi" w:hAnsiTheme="majorBidi" w:cstheme="majorBidi"/>
                <w:sz w:val="16"/>
                <w:szCs w:val="16"/>
                <w:lang w:val="en-US"/>
              </w:rPr>
            </w:pPr>
            <w:r w:rsidRPr="00F905A8">
              <w:rPr>
                <w:rFonts w:asciiTheme="majorBidi" w:hAnsiTheme="majorBidi" w:cstheme="majorBidi"/>
                <w:sz w:val="18"/>
                <w:szCs w:val="18"/>
              </w:rPr>
              <w:t xml:space="preserve">tert-Butyl </w:t>
            </w:r>
            <w:proofErr w:type="spellStart"/>
            <w:r w:rsidRPr="00F905A8">
              <w:rPr>
                <w:rFonts w:asciiTheme="majorBidi" w:hAnsiTheme="majorBidi" w:cstheme="majorBidi"/>
                <w:sz w:val="18"/>
                <w:szCs w:val="18"/>
              </w:rPr>
              <w:t>peroxypivalate</w:t>
            </w:r>
            <w:proofErr w:type="spellEnd"/>
            <w:r w:rsidRPr="00F905A8">
              <w:rPr>
                <w:rFonts w:asciiTheme="majorBidi" w:hAnsiTheme="majorBidi" w:cstheme="majorBidi"/>
                <w:sz w:val="18"/>
                <w:szCs w:val="18"/>
              </w:rPr>
              <w:t>, not more than 42% in a diluent type A</w:t>
            </w:r>
          </w:p>
        </w:tc>
        <w:tc>
          <w:tcPr>
            <w:tcW w:w="1606" w:type="dxa"/>
            <w:shd w:val="clear" w:color="auto" w:fill="auto"/>
          </w:tcPr>
          <w:p w:rsidR="00203CA8" w:rsidRPr="00B301AF" w:rsidRDefault="00203CA8" w:rsidP="001E426F">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31HA1</w:t>
            </w:r>
            <w:r w:rsidRPr="00B301AF">
              <w:rPr>
                <w:rFonts w:asciiTheme="majorBidi" w:hAnsiTheme="majorBidi" w:cstheme="majorBidi"/>
                <w:sz w:val="16"/>
                <w:szCs w:val="16"/>
              </w:rPr>
              <w:br/>
              <w:t>31A</w:t>
            </w:r>
          </w:p>
        </w:tc>
        <w:tc>
          <w:tcPr>
            <w:tcW w:w="1607" w:type="dxa"/>
            <w:shd w:val="clear" w:color="auto" w:fill="auto"/>
          </w:tcPr>
          <w:p w:rsidR="00203CA8" w:rsidRPr="00B301AF" w:rsidRDefault="00203CA8" w:rsidP="001E426F">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1 000</w:t>
            </w:r>
            <w:r w:rsidRPr="00B301AF">
              <w:rPr>
                <w:rFonts w:asciiTheme="majorBidi" w:hAnsiTheme="majorBidi" w:cstheme="majorBidi"/>
                <w:sz w:val="16"/>
                <w:szCs w:val="16"/>
              </w:rPr>
              <w:br/>
              <w:t>1 250</w:t>
            </w:r>
          </w:p>
        </w:tc>
        <w:tc>
          <w:tcPr>
            <w:tcW w:w="1607" w:type="dxa"/>
            <w:shd w:val="clear" w:color="auto" w:fill="auto"/>
          </w:tcPr>
          <w:p w:rsidR="00203CA8" w:rsidRPr="00B301AF" w:rsidRDefault="00203CA8" w:rsidP="001E426F">
            <w:pPr>
              <w:spacing w:before="60" w:after="60" w:line="200" w:lineRule="exact"/>
              <w:ind w:left="57" w:right="57"/>
              <w:jc w:val="center"/>
              <w:rPr>
                <w:rFonts w:asciiTheme="majorBidi" w:hAnsiTheme="majorBidi" w:cstheme="majorBidi"/>
                <w:sz w:val="16"/>
                <w:szCs w:val="16"/>
                <w:lang w:val="en-US"/>
              </w:rPr>
            </w:pPr>
            <w:r>
              <w:rPr>
                <w:rFonts w:asciiTheme="majorBidi" w:hAnsiTheme="majorBidi" w:cstheme="majorBidi"/>
                <w:sz w:val="16"/>
                <w:szCs w:val="16"/>
              </w:rPr>
              <w:t>+</w:t>
            </w:r>
            <w:r w:rsidRPr="00B301AF">
              <w:rPr>
                <w:rFonts w:asciiTheme="majorBidi" w:hAnsiTheme="majorBidi" w:cstheme="majorBidi"/>
                <w:sz w:val="16"/>
                <w:szCs w:val="16"/>
              </w:rPr>
              <w:t>10 ºC</w:t>
            </w:r>
            <w:r w:rsidRPr="00B301AF">
              <w:rPr>
                <w:rFonts w:asciiTheme="majorBidi" w:hAnsiTheme="majorBidi" w:cstheme="majorBidi"/>
                <w:sz w:val="16"/>
                <w:szCs w:val="16"/>
              </w:rPr>
              <w:br/>
            </w:r>
            <w:r>
              <w:rPr>
                <w:rFonts w:asciiTheme="majorBidi" w:hAnsiTheme="majorBidi" w:cstheme="majorBidi"/>
                <w:sz w:val="16"/>
                <w:szCs w:val="16"/>
              </w:rPr>
              <w:t>+</w:t>
            </w:r>
            <w:r w:rsidRPr="00B301AF">
              <w:rPr>
                <w:rFonts w:asciiTheme="majorBidi" w:hAnsiTheme="majorBidi" w:cstheme="majorBidi"/>
                <w:sz w:val="16"/>
                <w:szCs w:val="16"/>
              </w:rPr>
              <w:t>1</w:t>
            </w:r>
            <w:r w:rsidRPr="00B301AF">
              <w:rPr>
                <w:rFonts w:asciiTheme="majorBidi" w:hAnsiTheme="majorBidi" w:cstheme="majorBidi"/>
                <w:sz w:val="16"/>
                <w:szCs w:val="16"/>
                <w:lang w:val="en-US"/>
              </w:rPr>
              <w:t>0 ºC</w:t>
            </w:r>
          </w:p>
        </w:tc>
        <w:tc>
          <w:tcPr>
            <w:tcW w:w="1607" w:type="dxa"/>
            <w:shd w:val="clear" w:color="auto" w:fill="auto"/>
          </w:tcPr>
          <w:p w:rsidR="00203CA8" w:rsidRPr="00C25671" w:rsidRDefault="00203CA8" w:rsidP="001E426F">
            <w:pPr>
              <w:spacing w:before="60" w:after="60" w:line="200" w:lineRule="exact"/>
              <w:ind w:left="57" w:right="57"/>
              <w:jc w:val="center"/>
              <w:rPr>
                <w:rFonts w:asciiTheme="majorBidi" w:hAnsiTheme="majorBidi" w:cstheme="majorBidi"/>
                <w:sz w:val="16"/>
                <w:szCs w:val="16"/>
                <w:lang w:val="en-US"/>
              </w:rPr>
            </w:pPr>
            <w:r>
              <w:rPr>
                <w:rFonts w:asciiTheme="majorBidi" w:hAnsiTheme="majorBidi" w:cstheme="majorBidi"/>
                <w:sz w:val="16"/>
                <w:szCs w:val="16"/>
                <w:lang w:val="en-US"/>
              </w:rPr>
              <w:t>+</w:t>
            </w:r>
            <w:r w:rsidRPr="00B301AF">
              <w:rPr>
                <w:rFonts w:asciiTheme="majorBidi" w:hAnsiTheme="majorBidi" w:cstheme="majorBidi"/>
                <w:sz w:val="16"/>
                <w:szCs w:val="16"/>
                <w:lang w:val="en-US"/>
              </w:rPr>
              <w:t>15 ºC</w:t>
            </w:r>
            <w:r w:rsidRPr="00B301AF">
              <w:rPr>
                <w:rFonts w:asciiTheme="majorBidi" w:hAnsiTheme="majorBidi" w:cstheme="majorBidi"/>
                <w:sz w:val="16"/>
                <w:szCs w:val="16"/>
                <w:lang w:val="en-US"/>
              </w:rPr>
              <w:br/>
            </w:r>
            <w:r>
              <w:rPr>
                <w:rFonts w:asciiTheme="majorBidi" w:hAnsiTheme="majorBidi" w:cstheme="majorBidi"/>
                <w:sz w:val="16"/>
                <w:szCs w:val="16"/>
                <w:lang w:val="en-US"/>
              </w:rPr>
              <w:t>+</w:t>
            </w:r>
            <w:r w:rsidRPr="00B301AF">
              <w:rPr>
                <w:rFonts w:asciiTheme="majorBidi" w:hAnsiTheme="majorBidi" w:cstheme="majorBidi"/>
                <w:sz w:val="16"/>
                <w:szCs w:val="16"/>
                <w:lang w:val="en-US"/>
              </w:rPr>
              <w:t>15 ºC</w:t>
            </w:r>
          </w:p>
        </w:tc>
      </w:tr>
    </w:tbl>
    <w:p w:rsidR="00203CA8" w:rsidRDefault="00203CA8" w:rsidP="00E60D9A">
      <w:pPr>
        <w:pStyle w:val="SingleTxtG"/>
        <w:spacing w:after="0"/>
        <w:ind w:left="0"/>
        <w:rPr>
          <w:i/>
          <w:iCs/>
        </w:rPr>
      </w:pPr>
    </w:p>
    <w:p w:rsidR="00203CA8" w:rsidRDefault="00203CA8" w:rsidP="00203CA8">
      <w:pPr>
        <w:pStyle w:val="SingleTxtG"/>
        <w:rPr>
          <w:i/>
          <w:iCs/>
          <w:lang w:val="en-US"/>
        </w:rPr>
      </w:pPr>
      <w:r w:rsidRPr="00C74AAB">
        <w:rPr>
          <w:i/>
          <w:iCs/>
        </w:rPr>
        <w:t>(</w:t>
      </w:r>
      <w:r w:rsidRPr="00C74AAB">
        <w:rPr>
          <w:i/>
          <w:iCs/>
          <w:lang w:val="en-US"/>
        </w:rPr>
        <w:t>Reference document: ST/SG/AC.10/C.3/2018/29)</w:t>
      </w:r>
    </w:p>
    <w:p w:rsidR="007405ED" w:rsidRDefault="007405ED">
      <w:pPr>
        <w:suppressAutoHyphens w:val="0"/>
        <w:spacing w:line="240" w:lineRule="auto"/>
      </w:pPr>
      <w:r>
        <w:br w:type="page"/>
      </w:r>
    </w:p>
    <w:p w:rsidR="00A4511A" w:rsidRPr="000E4463" w:rsidRDefault="00A4511A" w:rsidP="00A4511A">
      <w:pPr>
        <w:pStyle w:val="SingleTxtG"/>
      </w:pPr>
      <w:r>
        <w:t>[</w:t>
      </w:r>
      <w:r w:rsidRPr="000E4463">
        <w:t>4.1.4.3</w:t>
      </w:r>
      <w:r>
        <w:tab/>
      </w:r>
      <w:r w:rsidRPr="000E4463">
        <w:tab/>
        <w:t>Add the following new packing instruction LP622:</w:t>
      </w:r>
    </w:p>
    <w:tbl>
      <w:tblPr>
        <w:tblW w:w="8921" w:type="dxa"/>
        <w:tblInd w:w="776"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630"/>
        <w:gridCol w:w="1862"/>
        <w:gridCol w:w="3214"/>
        <w:gridCol w:w="2221"/>
        <w:gridCol w:w="994"/>
      </w:tblGrid>
      <w:tr w:rsidR="00A4511A" w:rsidRPr="0006120D" w:rsidTr="00731748">
        <w:tc>
          <w:tcPr>
            <w:tcW w:w="630" w:type="dxa"/>
            <w:tcBorders>
              <w:bottom w:val="single" w:sz="4" w:space="0" w:color="000000"/>
            </w:tcBorders>
          </w:tcPr>
          <w:p w:rsidR="00A4511A" w:rsidRPr="0006120D" w:rsidRDefault="00A4511A" w:rsidP="001E426F">
            <w:pPr>
              <w:spacing w:before="60" w:after="60" w:line="240" w:lineRule="auto"/>
              <w:rPr>
                <w:b/>
                <w:bCs/>
                <w:color w:val="000000"/>
                <w:sz w:val="18"/>
                <w:szCs w:val="18"/>
                <w:lang w:val="en-CA"/>
              </w:rPr>
            </w:pPr>
            <w:r w:rsidRPr="0006120D">
              <w:rPr>
                <w:b/>
                <w:color w:val="000000"/>
                <w:sz w:val="18"/>
                <w:szCs w:val="18"/>
                <w:lang w:val="en-CA"/>
              </w:rPr>
              <w:t>LP622</w:t>
            </w:r>
          </w:p>
        </w:tc>
        <w:tc>
          <w:tcPr>
            <w:tcW w:w="7297" w:type="dxa"/>
            <w:gridSpan w:val="3"/>
            <w:tcBorders>
              <w:bottom w:val="single" w:sz="4" w:space="0" w:color="000000"/>
            </w:tcBorders>
          </w:tcPr>
          <w:p w:rsidR="00A4511A" w:rsidRPr="0006120D" w:rsidRDefault="00A4511A" w:rsidP="001E426F">
            <w:pPr>
              <w:spacing w:before="60" w:after="60" w:line="240" w:lineRule="auto"/>
              <w:jc w:val="center"/>
              <w:rPr>
                <w:b/>
                <w:bCs/>
                <w:color w:val="000000"/>
                <w:sz w:val="18"/>
                <w:szCs w:val="18"/>
                <w:lang w:val="en-CA"/>
              </w:rPr>
            </w:pPr>
            <w:r w:rsidRPr="0006120D">
              <w:rPr>
                <w:b/>
                <w:bCs/>
                <w:color w:val="000000"/>
                <w:sz w:val="18"/>
                <w:szCs w:val="18"/>
                <w:lang w:val="en-CA"/>
              </w:rPr>
              <w:t>PACKING INSTRUCTION</w:t>
            </w:r>
          </w:p>
        </w:tc>
        <w:tc>
          <w:tcPr>
            <w:tcW w:w="994" w:type="dxa"/>
            <w:tcBorders>
              <w:bottom w:val="single" w:sz="4" w:space="0" w:color="000000"/>
            </w:tcBorders>
          </w:tcPr>
          <w:p w:rsidR="00A4511A" w:rsidRPr="0006120D" w:rsidRDefault="00F007C5" w:rsidP="001E426F">
            <w:pPr>
              <w:spacing w:before="60" w:after="60" w:line="240" w:lineRule="auto"/>
              <w:rPr>
                <w:b/>
                <w:bCs/>
                <w:color w:val="000000"/>
                <w:sz w:val="18"/>
                <w:szCs w:val="18"/>
                <w:lang w:val="en-CA"/>
              </w:rPr>
            </w:pPr>
            <w:r>
              <w:rPr>
                <w:b/>
                <w:color w:val="000000"/>
                <w:sz w:val="18"/>
                <w:szCs w:val="18"/>
                <w:lang w:val="en-CA"/>
              </w:rPr>
              <w:t xml:space="preserve">       </w:t>
            </w:r>
            <w:r w:rsidR="00A4511A" w:rsidRPr="0006120D">
              <w:rPr>
                <w:b/>
                <w:color w:val="000000"/>
                <w:sz w:val="18"/>
                <w:szCs w:val="18"/>
                <w:lang w:val="en-CA"/>
              </w:rPr>
              <w:t>LP 622</w:t>
            </w:r>
          </w:p>
        </w:tc>
      </w:tr>
      <w:tr w:rsidR="00A4511A" w:rsidRPr="0006120D" w:rsidTr="00731748">
        <w:tc>
          <w:tcPr>
            <w:tcW w:w="8921" w:type="dxa"/>
            <w:gridSpan w:val="5"/>
            <w:tcBorders>
              <w:top w:val="single" w:sz="4" w:space="0" w:color="000000"/>
              <w:bottom w:val="single" w:sz="4" w:space="0" w:color="000000"/>
            </w:tcBorders>
          </w:tcPr>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This instruction applies to UN 3549.</w:t>
            </w:r>
          </w:p>
        </w:tc>
      </w:tr>
      <w:tr w:rsidR="00A4511A" w:rsidRPr="0006120D" w:rsidTr="00731748">
        <w:tc>
          <w:tcPr>
            <w:tcW w:w="8921" w:type="dxa"/>
            <w:gridSpan w:val="5"/>
            <w:tcBorders>
              <w:top w:val="single" w:sz="4" w:space="0" w:color="000000"/>
              <w:bottom w:val="single" w:sz="4" w:space="0" w:color="000000"/>
            </w:tcBorders>
          </w:tcPr>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 xml:space="preserve">The following </w:t>
            </w:r>
            <w:proofErr w:type="spellStart"/>
            <w:r w:rsidRPr="0006120D">
              <w:rPr>
                <w:color w:val="000000"/>
                <w:sz w:val="18"/>
                <w:szCs w:val="18"/>
                <w:lang w:val="en-CA"/>
              </w:rPr>
              <w:t>packagings</w:t>
            </w:r>
            <w:proofErr w:type="spellEnd"/>
            <w:r w:rsidRPr="0006120D">
              <w:rPr>
                <w:color w:val="000000"/>
                <w:sz w:val="18"/>
                <w:szCs w:val="18"/>
                <w:lang w:val="en-CA"/>
              </w:rPr>
              <w:t xml:space="preserve"> are authorized provided the general provisions of </w:t>
            </w:r>
            <w:r w:rsidRPr="0006120D">
              <w:rPr>
                <w:b/>
                <w:color w:val="000000"/>
                <w:sz w:val="18"/>
                <w:szCs w:val="18"/>
                <w:lang w:val="en-CA"/>
              </w:rPr>
              <w:t xml:space="preserve">4.1.1 </w:t>
            </w:r>
            <w:r w:rsidRPr="0006120D">
              <w:rPr>
                <w:color w:val="000000"/>
                <w:sz w:val="18"/>
                <w:szCs w:val="18"/>
                <w:lang w:val="en-CA"/>
              </w:rPr>
              <w:t xml:space="preserve">and </w:t>
            </w:r>
            <w:r w:rsidRPr="0006120D">
              <w:rPr>
                <w:b/>
                <w:color w:val="000000"/>
                <w:sz w:val="18"/>
                <w:szCs w:val="18"/>
                <w:lang w:val="en-CA"/>
              </w:rPr>
              <w:t xml:space="preserve">4.1.3 </w:t>
            </w:r>
            <w:r w:rsidRPr="0006120D">
              <w:rPr>
                <w:color w:val="000000"/>
                <w:sz w:val="18"/>
                <w:szCs w:val="18"/>
                <w:lang w:val="en-CA"/>
              </w:rPr>
              <w:t>are met:</w:t>
            </w:r>
          </w:p>
        </w:tc>
      </w:tr>
      <w:tr w:rsidR="00A4511A" w:rsidRPr="0006120D" w:rsidTr="00731748">
        <w:tc>
          <w:tcPr>
            <w:tcW w:w="2492" w:type="dxa"/>
            <w:gridSpan w:val="2"/>
            <w:tcBorders>
              <w:top w:val="single" w:sz="4" w:space="0" w:color="000000"/>
              <w:bottom w:val="single" w:sz="4" w:space="0" w:color="000000"/>
              <w:right w:val="single" w:sz="4" w:space="0" w:color="auto"/>
            </w:tcBorders>
          </w:tcPr>
          <w:p w:rsidR="00A4511A" w:rsidRPr="0006120D" w:rsidRDefault="00A4511A" w:rsidP="001E426F">
            <w:pPr>
              <w:spacing w:before="60" w:after="60" w:line="240" w:lineRule="auto"/>
              <w:rPr>
                <w:b/>
                <w:color w:val="000000"/>
                <w:sz w:val="18"/>
                <w:szCs w:val="18"/>
                <w:lang w:val="en-CA"/>
              </w:rPr>
            </w:pPr>
            <w:r w:rsidRPr="0006120D">
              <w:rPr>
                <w:b/>
                <w:color w:val="000000"/>
                <w:sz w:val="18"/>
                <w:szCs w:val="18"/>
                <w:lang w:val="en-CA"/>
              </w:rPr>
              <w:t xml:space="preserve">Inner </w:t>
            </w:r>
            <w:proofErr w:type="spellStart"/>
            <w:r w:rsidRPr="0006120D">
              <w:rPr>
                <w:b/>
                <w:color w:val="000000"/>
                <w:sz w:val="18"/>
                <w:szCs w:val="18"/>
                <w:lang w:val="en-CA"/>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A4511A" w:rsidRPr="0006120D" w:rsidRDefault="00A4511A" w:rsidP="001E426F">
            <w:pPr>
              <w:spacing w:before="60" w:after="60" w:line="240" w:lineRule="auto"/>
              <w:rPr>
                <w:b/>
                <w:color w:val="000000"/>
                <w:sz w:val="18"/>
                <w:szCs w:val="18"/>
                <w:lang w:val="en-CA"/>
              </w:rPr>
            </w:pPr>
            <w:r w:rsidRPr="0006120D">
              <w:rPr>
                <w:b/>
                <w:color w:val="000000"/>
                <w:sz w:val="18"/>
                <w:szCs w:val="18"/>
                <w:lang w:val="en-CA"/>
              </w:rPr>
              <w:t xml:space="preserve">Intermediate </w:t>
            </w:r>
            <w:proofErr w:type="spellStart"/>
            <w:r w:rsidRPr="0006120D">
              <w:rPr>
                <w:b/>
                <w:color w:val="000000"/>
                <w:sz w:val="18"/>
                <w:szCs w:val="18"/>
                <w:lang w:val="en-CA"/>
              </w:rPr>
              <w:t>packagings</w:t>
            </w:r>
            <w:proofErr w:type="spellEnd"/>
          </w:p>
        </w:tc>
        <w:tc>
          <w:tcPr>
            <w:tcW w:w="3215" w:type="dxa"/>
            <w:gridSpan w:val="2"/>
            <w:tcBorders>
              <w:top w:val="single" w:sz="4" w:space="0" w:color="000000"/>
              <w:left w:val="single" w:sz="4" w:space="0" w:color="auto"/>
              <w:bottom w:val="single" w:sz="4" w:space="0" w:color="000000"/>
            </w:tcBorders>
          </w:tcPr>
          <w:p w:rsidR="00A4511A" w:rsidRPr="0006120D" w:rsidRDefault="00A4511A" w:rsidP="001E426F">
            <w:pPr>
              <w:spacing w:before="60" w:after="60" w:line="240" w:lineRule="auto"/>
              <w:rPr>
                <w:b/>
                <w:color w:val="000000"/>
                <w:sz w:val="18"/>
                <w:szCs w:val="18"/>
                <w:lang w:val="en-CA"/>
              </w:rPr>
            </w:pPr>
            <w:r w:rsidRPr="0006120D">
              <w:rPr>
                <w:b/>
                <w:color w:val="000000"/>
                <w:sz w:val="18"/>
                <w:szCs w:val="18"/>
                <w:lang w:val="en-CA"/>
              </w:rPr>
              <w:t xml:space="preserve">Outer </w:t>
            </w:r>
            <w:proofErr w:type="spellStart"/>
            <w:r w:rsidRPr="0006120D">
              <w:rPr>
                <w:b/>
                <w:color w:val="000000"/>
                <w:sz w:val="18"/>
                <w:szCs w:val="18"/>
                <w:lang w:val="en-CA"/>
              </w:rPr>
              <w:t>packagings</w:t>
            </w:r>
            <w:proofErr w:type="spellEnd"/>
          </w:p>
        </w:tc>
      </w:tr>
      <w:tr w:rsidR="00A4511A" w:rsidRPr="0006120D" w:rsidTr="00731748">
        <w:trPr>
          <w:trHeight w:val="1394"/>
        </w:trPr>
        <w:tc>
          <w:tcPr>
            <w:tcW w:w="2492" w:type="dxa"/>
            <w:gridSpan w:val="2"/>
            <w:tcBorders>
              <w:top w:val="single" w:sz="4" w:space="0" w:color="000000"/>
              <w:bottom w:val="single" w:sz="4" w:space="0" w:color="000000"/>
              <w:right w:val="single" w:sz="4" w:space="0" w:color="auto"/>
            </w:tcBorders>
          </w:tcPr>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metal</w:t>
            </w:r>
          </w:p>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metal</w:t>
            </w:r>
          </w:p>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steel (50A)</w:t>
            </w:r>
          </w:p>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aluminium (50B)</w:t>
            </w:r>
          </w:p>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plywood (50D)</w:t>
            </w:r>
          </w:p>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fibreboard (50G)</w:t>
            </w:r>
          </w:p>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other metal (50N)</w:t>
            </w:r>
          </w:p>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plastics (50H)</w:t>
            </w:r>
          </w:p>
        </w:tc>
      </w:tr>
      <w:tr w:rsidR="00A4511A" w:rsidRPr="0006120D" w:rsidTr="00731748">
        <w:tc>
          <w:tcPr>
            <w:tcW w:w="8921" w:type="dxa"/>
            <w:gridSpan w:val="5"/>
            <w:tcBorders>
              <w:top w:val="single" w:sz="4" w:space="0" w:color="000000"/>
              <w:bottom w:val="single" w:sz="4" w:space="0" w:color="000000"/>
            </w:tcBorders>
          </w:tcPr>
          <w:p w:rsidR="00A4511A" w:rsidRPr="0006120D" w:rsidRDefault="00A4511A" w:rsidP="001E426F">
            <w:pPr>
              <w:spacing w:before="60" w:after="60" w:line="240" w:lineRule="auto"/>
              <w:rPr>
                <w:color w:val="000000"/>
                <w:sz w:val="18"/>
                <w:szCs w:val="18"/>
                <w:lang w:val="en-CA"/>
              </w:rPr>
            </w:pPr>
            <w:r w:rsidRPr="0006120D">
              <w:rPr>
                <w:color w:val="000000"/>
                <w:sz w:val="18"/>
                <w:szCs w:val="18"/>
                <w:lang w:val="en-CA"/>
              </w:rPr>
              <w:t xml:space="preserve">The </w:t>
            </w:r>
            <w:r>
              <w:rPr>
                <w:color w:val="000000"/>
                <w:sz w:val="18"/>
                <w:szCs w:val="18"/>
                <w:lang w:val="en-CA"/>
              </w:rPr>
              <w:t xml:space="preserve">outer </w:t>
            </w:r>
            <w:r w:rsidRPr="0006120D">
              <w:rPr>
                <w:color w:val="000000"/>
                <w:sz w:val="18"/>
                <w:szCs w:val="18"/>
                <w:lang w:val="en-CA"/>
              </w:rPr>
              <w:t xml:space="preserve">packaging shall conform to the packing group I performance level for solids. </w:t>
            </w:r>
          </w:p>
        </w:tc>
      </w:tr>
      <w:tr w:rsidR="00A4511A" w:rsidRPr="0006120D" w:rsidTr="00731748">
        <w:tc>
          <w:tcPr>
            <w:tcW w:w="8921" w:type="dxa"/>
            <w:gridSpan w:val="5"/>
            <w:tcBorders>
              <w:bottom w:val="single" w:sz="4" w:space="0" w:color="000000"/>
            </w:tcBorders>
          </w:tcPr>
          <w:p w:rsidR="00A4511A" w:rsidRPr="0006120D" w:rsidRDefault="00A4511A" w:rsidP="001E426F">
            <w:pPr>
              <w:spacing w:before="60" w:after="60" w:line="240" w:lineRule="auto"/>
              <w:rPr>
                <w:color w:val="000000"/>
                <w:sz w:val="18"/>
                <w:szCs w:val="18"/>
                <w:lang w:val="en-CA"/>
              </w:rPr>
            </w:pPr>
            <w:r w:rsidRPr="0006120D">
              <w:rPr>
                <w:b/>
                <w:color w:val="000000"/>
                <w:sz w:val="18"/>
                <w:szCs w:val="18"/>
                <w:lang w:val="en-CA"/>
              </w:rPr>
              <w:t>Additional requirement</w:t>
            </w:r>
            <w:r w:rsidRPr="0006120D">
              <w:rPr>
                <w:color w:val="000000"/>
                <w:sz w:val="18"/>
                <w:szCs w:val="18"/>
                <w:lang w:val="en-CA"/>
              </w:rPr>
              <w:t>:</w:t>
            </w:r>
          </w:p>
        </w:tc>
      </w:tr>
      <w:tr w:rsidR="00A4511A" w:rsidRPr="0006120D" w:rsidTr="00731748">
        <w:trPr>
          <w:trHeight w:val="244"/>
        </w:trPr>
        <w:tc>
          <w:tcPr>
            <w:tcW w:w="8921" w:type="dxa"/>
            <w:gridSpan w:val="5"/>
            <w:tcBorders>
              <w:top w:val="single" w:sz="4" w:space="0" w:color="000000"/>
              <w:bottom w:val="single" w:sz="4" w:space="0" w:color="auto"/>
            </w:tcBorders>
            <w:vAlign w:val="center"/>
          </w:tcPr>
          <w:p w:rsidR="00A4511A" w:rsidRPr="0006120D" w:rsidRDefault="00A4511A" w:rsidP="001E426F">
            <w:pPr>
              <w:spacing w:before="60" w:after="60" w:line="240" w:lineRule="auto"/>
              <w:ind w:left="372" w:hanging="284"/>
              <w:rPr>
                <w:color w:val="000000"/>
                <w:sz w:val="18"/>
                <w:szCs w:val="18"/>
                <w:lang w:val="en-CA"/>
              </w:rPr>
            </w:pPr>
            <w:r w:rsidRPr="0006120D">
              <w:rPr>
                <w:color w:val="000000"/>
                <w:sz w:val="18"/>
                <w:szCs w:val="18"/>
                <w:lang w:val="en-CA"/>
              </w:rPr>
              <w:t>1.</w:t>
            </w:r>
            <w:r w:rsidRPr="0006120D">
              <w:rPr>
                <w:color w:val="000000"/>
                <w:sz w:val="18"/>
                <w:szCs w:val="18"/>
                <w:lang w:val="en-CA"/>
              </w:rPr>
              <w:tab/>
              <w:t xml:space="preserve">Fragile articles shall be contained in either a rigid inner packaging or a rigid intermediate </w:t>
            </w:r>
            <w:proofErr w:type="spellStart"/>
            <w:r w:rsidRPr="0006120D">
              <w:rPr>
                <w:color w:val="000000"/>
                <w:sz w:val="18"/>
                <w:szCs w:val="18"/>
                <w:lang w:val="en-CA"/>
              </w:rPr>
              <w:t>packagings</w:t>
            </w:r>
            <w:proofErr w:type="spellEnd"/>
            <w:r w:rsidRPr="0006120D">
              <w:rPr>
                <w:color w:val="000000"/>
                <w:sz w:val="18"/>
                <w:szCs w:val="18"/>
                <w:lang w:val="en-CA"/>
              </w:rPr>
              <w:t>.</w:t>
            </w:r>
          </w:p>
          <w:p w:rsidR="00A4511A" w:rsidRPr="0006120D" w:rsidRDefault="00A4511A" w:rsidP="001E426F">
            <w:pPr>
              <w:spacing w:before="60" w:after="60" w:line="240" w:lineRule="auto"/>
              <w:ind w:left="372" w:hanging="284"/>
              <w:rPr>
                <w:color w:val="000000"/>
                <w:sz w:val="18"/>
                <w:szCs w:val="18"/>
                <w:lang w:val="en-CA"/>
              </w:rPr>
            </w:pPr>
            <w:r w:rsidRPr="0006120D">
              <w:rPr>
                <w:color w:val="000000"/>
                <w:sz w:val="18"/>
                <w:szCs w:val="18"/>
                <w:lang w:val="en-CA"/>
              </w:rPr>
              <w:t>2.</w:t>
            </w:r>
            <w:r w:rsidRPr="0006120D">
              <w:rPr>
                <w:color w:val="000000"/>
                <w:sz w:val="18"/>
                <w:szCs w:val="18"/>
                <w:lang w:val="en-CA"/>
              </w:rPr>
              <w:tab/>
              <w:t xml:space="preserve">Inner </w:t>
            </w:r>
            <w:proofErr w:type="spellStart"/>
            <w:r w:rsidRPr="0006120D">
              <w:rPr>
                <w:color w:val="000000"/>
                <w:sz w:val="18"/>
                <w:szCs w:val="18"/>
                <w:lang w:val="en-CA"/>
              </w:rPr>
              <w:t>packagings</w:t>
            </w:r>
            <w:proofErr w:type="spellEnd"/>
            <w:r w:rsidRPr="0006120D">
              <w:rPr>
                <w:color w:val="000000"/>
                <w:sz w:val="18"/>
                <w:szCs w:val="18"/>
                <w:lang w:val="en-CA"/>
              </w:rPr>
              <w:t xml:space="preserve"> containing sharps objects such as broken glass and needles shall be rigid and resistant to puncture.</w:t>
            </w:r>
          </w:p>
          <w:p w:rsidR="00A4511A" w:rsidRPr="0006120D" w:rsidRDefault="00A4511A" w:rsidP="001E426F">
            <w:pPr>
              <w:spacing w:before="60" w:after="60" w:line="240" w:lineRule="auto"/>
              <w:ind w:left="372" w:hanging="284"/>
              <w:rPr>
                <w:color w:val="000000"/>
                <w:sz w:val="18"/>
                <w:szCs w:val="18"/>
                <w:lang w:val="en-CA"/>
              </w:rPr>
            </w:pPr>
            <w:r w:rsidRPr="0006120D">
              <w:rPr>
                <w:color w:val="000000"/>
                <w:sz w:val="18"/>
                <w:szCs w:val="18"/>
                <w:lang w:val="en-CA"/>
              </w:rPr>
              <w:t>3.</w:t>
            </w:r>
            <w:r w:rsidRPr="0006120D">
              <w:rPr>
                <w:color w:val="000000"/>
                <w:sz w:val="18"/>
                <w:szCs w:val="18"/>
                <w:lang w:val="en-CA"/>
              </w:rPr>
              <w:tab/>
              <w:t>The inner packaging</w:t>
            </w:r>
            <w:r>
              <w:rPr>
                <w:color w:val="000000"/>
                <w:sz w:val="18"/>
                <w:szCs w:val="18"/>
                <w:lang w:val="en-CA"/>
              </w:rPr>
              <w:t>,</w:t>
            </w:r>
            <w:r w:rsidRPr="0006120D">
              <w:rPr>
                <w:color w:val="000000"/>
                <w:sz w:val="18"/>
                <w:szCs w:val="18"/>
                <w:lang w:val="en-CA"/>
              </w:rPr>
              <w:t xml:space="preserve"> the intermediate packaging</w:t>
            </w:r>
            <w:r>
              <w:rPr>
                <w:color w:val="000000"/>
                <w:sz w:val="18"/>
                <w:szCs w:val="18"/>
                <w:lang w:val="en-CA"/>
              </w:rPr>
              <w:t xml:space="preserve"> and the outer packaging</w:t>
            </w:r>
            <w:r w:rsidRPr="0006120D">
              <w:rPr>
                <w:color w:val="000000"/>
                <w:sz w:val="18"/>
                <w:szCs w:val="18"/>
                <w:lang w:val="en-CA"/>
              </w:rPr>
              <w:t xml:space="preserve"> shall </w:t>
            </w:r>
            <w:proofErr w:type="gramStart"/>
            <w:r w:rsidRPr="0006120D">
              <w:rPr>
                <w:color w:val="000000"/>
                <w:sz w:val="18"/>
                <w:szCs w:val="18"/>
                <w:lang w:val="en-CA"/>
              </w:rPr>
              <w:t>be capable of retaining</w:t>
            </w:r>
            <w:proofErr w:type="gramEnd"/>
            <w:r w:rsidRPr="0006120D">
              <w:rPr>
                <w:color w:val="000000"/>
                <w:sz w:val="18"/>
                <w:szCs w:val="18"/>
                <w:lang w:val="en-CA"/>
              </w:rPr>
              <w:t xml:space="preserve"> liquids.</w:t>
            </w:r>
            <w:r>
              <w:rPr>
                <w:color w:val="000000"/>
                <w:sz w:val="18"/>
                <w:szCs w:val="18"/>
                <w:lang w:val="en-CA"/>
              </w:rPr>
              <w:t xml:space="preserve"> </w:t>
            </w:r>
            <w:r>
              <w:rPr>
                <w:color w:val="000000"/>
                <w:sz w:val="18"/>
                <w:szCs w:val="18"/>
              </w:rPr>
              <w:t xml:space="preserve">Outer </w:t>
            </w:r>
            <w:proofErr w:type="spellStart"/>
            <w:r>
              <w:rPr>
                <w:color w:val="000000"/>
                <w:sz w:val="18"/>
                <w:szCs w:val="18"/>
              </w:rPr>
              <w:t>packagings</w:t>
            </w:r>
            <w:proofErr w:type="spellEnd"/>
            <w:r>
              <w:rPr>
                <w:color w:val="000000"/>
                <w:sz w:val="18"/>
                <w:szCs w:val="18"/>
              </w:rPr>
              <w:t xml:space="preserve"> that are not capable of retaining liquids by design shall be fitted with a liner or suitable measure of retaining liquids.</w:t>
            </w:r>
          </w:p>
          <w:p w:rsidR="00A4511A" w:rsidRPr="0006120D" w:rsidRDefault="00A4511A" w:rsidP="001E426F">
            <w:pPr>
              <w:spacing w:before="60" w:after="60" w:line="240" w:lineRule="auto"/>
              <w:ind w:left="372" w:hanging="284"/>
              <w:rPr>
                <w:color w:val="000000"/>
                <w:sz w:val="18"/>
                <w:szCs w:val="18"/>
                <w:lang w:val="en-CA"/>
              </w:rPr>
            </w:pPr>
            <w:r w:rsidRPr="0006120D">
              <w:rPr>
                <w:color w:val="000000"/>
                <w:sz w:val="18"/>
                <w:szCs w:val="18"/>
                <w:lang w:val="en-CA"/>
              </w:rPr>
              <w:t>4.</w:t>
            </w:r>
            <w:r w:rsidRPr="0006120D">
              <w:rPr>
                <w:color w:val="000000"/>
                <w:sz w:val="18"/>
                <w:szCs w:val="18"/>
                <w:lang w:val="en-CA"/>
              </w:rPr>
              <w:tab/>
              <w:t xml:space="preserve">The inner packaging and/or the intermediate packaging may be flexible.  When flexible </w:t>
            </w:r>
            <w:proofErr w:type="spellStart"/>
            <w:r w:rsidRPr="0006120D">
              <w:rPr>
                <w:color w:val="000000"/>
                <w:sz w:val="18"/>
                <w:szCs w:val="18"/>
                <w:lang w:val="en-CA"/>
              </w:rPr>
              <w:t>packagings</w:t>
            </w:r>
            <w:proofErr w:type="spellEnd"/>
            <w:r w:rsidRPr="0006120D">
              <w:rPr>
                <w:color w:val="000000"/>
                <w:sz w:val="18"/>
                <w:szCs w:val="18"/>
                <w:lang w:val="en-CA"/>
              </w:rPr>
              <w:t xml:space="preserve"> are used, they shall be capable of passing the impact resistance </w:t>
            </w:r>
            <w:r w:rsidRPr="003203DA">
              <w:rPr>
                <w:sz w:val="18"/>
                <w:szCs w:val="18"/>
                <w:lang w:val="en-CA"/>
              </w:rPr>
              <w:t>test to at least 165g</w:t>
            </w:r>
            <w:r w:rsidRPr="0006120D">
              <w:rPr>
                <w:sz w:val="18"/>
                <w:szCs w:val="18"/>
                <w:lang w:val="en-CA"/>
              </w:rPr>
              <w:t xml:space="preserve"> </w:t>
            </w:r>
            <w:r w:rsidRPr="0006120D">
              <w:rPr>
                <w:color w:val="000000"/>
                <w:sz w:val="18"/>
                <w:szCs w:val="18"/>
                <w:lang w:val="en-CA"/>
              </w:rPr>
              <w:t xml:space="preserve">according to ISO 7765-1:1988 “Plastics film and sheeting – Determination of impact resistance by the free-falling dart method – Part 1: Staircase methods” and </w:t>
            </w:r>
            <w:r w:rsidRPr="003203DA">
              <w:rPr>
                <w:sz w:val="18"/>
                <w:szCs w:val="18"/>
                <w:lang w:val="en-CA"/>
              </w:rPr>
              <w:t>the tear resistance test to at least 480g in both parallel and perpendicular planes with respect to the length of the bag in accordance</w:t>
            </w:r>
            <w:r w:rsidRPr="0006120D">
              <w:rPr>
                <w:sz w:val="18"/>
                <w:szCs w:val="18"/>
                <w:lang w:val="en-CA"/>
              </w:rPr>
              <w:t xml:space="preserve"> </w:t>
            </w:r>
            <w:r w:rsidRPr="0006120D">
              <w:rPr>
                <w:color w:val="000000"/>
                <w:sz w:val="18"/>
                <w:szCs w:val="18"/>
                <w:lang w:val="en-CA"/>
              </w:rPr>
              <w:t xml:space="preserve">with ISO 6383-2:1983 “Plastics – Film and sheeting – Determination of tear resistance – Part 2: Elmendorf method”.  The maximum net mass of each </w:t>
            </w:r>
            <w:r w:rsidRPr="003203DA">
              <w:rPr>
                <w:sz w:val="18"/>
                <w:szCs w:val="18"/>
                <w:lang w:val="en-CA"/>
              </w:rPr>
              <w:t>flexible inner packaging</w:t>
            </w:r>
            <w:r w:rsidRPr="0006120D">
              <w:rPr>
                <w:sz w:val="18"/>
                <w:szCs w:val="18"/>
                <w:lang w:val="en-CA"/>
              </w:rPr>
              <w:t xml:space="preserve"> </w:t>
            </w:r>
            <w:r w:rsidRPr="0006120D">
              <w:rPr>
                <w:color w:val="000000"/>
                <w:sz w:val="18"/>
                <w:szCs w:val="18"/>
                <w:lang w:val="en-CA"/>
              </w:rPr>
              <w:t>shall be 30kg.</w:t>
            </w:r>
          </w:p>
          <w:p w:rsidR="00A4511A" w:rsidRPr="0006120D" w:rsidRDefault="00A4511A" w:rsidP="001E426F">
            <w:pPr>
              <w:spacing w:before="60" w:after="60" w:line="240" w:lineRule="auto"/>
              <w:ind w:left="372" w:hanging="284"/>
              <w:rPr>
                <w:color w:val="000000"/>
                <w:sz w:val="18"/>
                <w:szCs w:val="18"/>
                <w:lang w:val="en-CA"/>
              </w:rPr>
            </w:pPr>
            <w:r w:rsidRPr="0006120D">
              <w:rPr>
                <w:color w:val="000000"/>
                <w:sz w:val="18"/>
                <w:szCs w:val="18"/>
                <w:lang w:val="en-CA"/>
              </w:rPr>
              <w:t>5.</w:t>
            </w:r>
            <w:r w:rsidRPr="0006120D">
              <w:rPr>
                <w:color w:val="000000"/>
                <w:sz w:val="18"/>
                <w:szCs w:val="18"/>
                <w:lang w:val="en-CA"/>
              </w:rPr>
              <w:tab/>
              <w:t>Each flexible intermediate packaging shall contain only one inner packaging.</w:t>
            </w:r>
          </w:p>
          <w:p w:rsidR="00A4511A" w:rsidRDefault="00A4511A" w:rsidP="001E426F">
            <w:pPr>
              <w:spacing w:before="60" w:after="60" w:line="240" w:lineRule="auto"/>
              <w:ind w:left="372" w:hanging="284"/>
              <w:rPr>
                <w:color w:val="000000"/>
                <w:sz w:val="18"/>
                <w:szCs w:val="18"/>
                <w:lang w:val="en-CA"/>
              </w:rPr>
            </w:pPr>
            <w:r w:rsidRPr="0006120D">
              <w:rPr>
                <w:color w:val="000000"/>
                <w:sz w:val="18"/>
                <w:szCs w:val="18"/>
                <w:lang w:val="en-CA"/>
              </w:rPr>
              <w:t>6.</w:t>
            </w:r>
            <w:r w:rsidRPr="0006120D">
              <w:rPr>
                <w:color w:val="000000"/>
                <w:sz w:val="18"/>
                <w:szCs w:val="18"/>
                <w:lang w:val="en-CA"/>
              </w:rPr>
              <w:tab/>
              <w:t xml:space="preserve">Inner </w:t>
            </w:r>
            <w:proofErr w:type="spellStart"/>
            <w:r w:rsidRPr="0006120D">
              <w:rPr>
                <w:color w:val="000000"/>
                <w:sz w:val="18"/>
                <w:szCs w:val="18"/>
                <w:lang w:val="en-CA"/>
              </w:rPr>
              <w:t>packagings</w:t>
            </w:r>
            <w:proofErr w:type="spellEnd"/>
            <w:r w:rsidRPr="0006120D">
              <w:rPr>
                <w:color w:val="000000"/>
                <w:sz w:val="18"/>
                <w:szCs w:val="18"/>
                <w:lang w:val="en-CA"/>
              </w:rPr>
              <w:t xml:space="preserve"> containing a small amount of free liquid may be included in intermediate packaging </w:t>
            </w:r>
            <w:proofErr w:type="gramStart"/>
            <w:r w:rsidRPr="0006120D">
              <w:rPr>
                <w:color w:val="000000"/>
                <w:sz w:val="18"/>
                <w:szCs w:val="18"/>
                <w:lang w:val="en-CA"/>
              </w:rPr>
              <w:t>provided that</w:t>
            </w:r>
            <w:proofErr w:type="gramEnd"/>
            <w:r w:rsidRPr="0006120D">
              <w:rPr>
                <w:color w:val="000000"/>
                <w:sz w:val="18"/>
                <w:szCs w:val="18"/>
                <w:lang w:val="en-CA"/>
              </w:rPr>
              <w:t xml:space="preserve">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A4511A" w:rsidRPr="003141B9" w:rsidRDefault="00A4511A" w:rsidP="001E426F">
            <w:pPr>
              <w:spacing w:before="60" w:after="60" w:line="240" w:lineRule="auto"/>
              <w:ind w:left="372" w:hanging="284"/>
              <w:rPr>
                <w:color w:val="000000"/>
                <w:sz w:val="18"/>
                <w:szCs w:val="18"/>
                <w:lang w:val="en-CA"/>
              </w:rPr>
            </w:pPr>
            <w:r>
              <w:rPr>
                <w:color w:val="000000"/>
                <w:sz w:val="18"/>
                <w:szCs w:val="18"/>
                <w:lang w:val="en-CA"/>
              </w:rPr>
              <w:t xml:space="preserve">7.    Intermediate </w:t>
            </w:r>
            <w:proofErr w:type="spellStart"/>
            <w:r>
              <w:rPr>
                <w:color w:val="000000"/>
                <w:sz w:val="18"/>
                <w:szCs w:val="18"/>
                <w:lang w:val="en-CA"/>
              </w:rPr>
              <w:t>packagings</w:t>
            </w:r>
            <w:proofErr w:type="spellEnd"/>
            <w:r>
              <w:rPr>
                <w:color w:val="000000"/>
                <w:sz w:val="18"/>
                <w:szCs w:val="18"/>
                <w:lang w:val="en-CA"/>
              </w:rPr>
              <w:t xml:space="preserve"> shall be secured in outer </w:t>
            </w:r>
            <w:proofErr w:type="spellStart"/>
            <w:r>
              <w:rPr>
                <w:color w:val="000000"/>
                <w:sz w:val="18"/>
                <w:szCs w:val="18"/>
                <w:lang w:val="en-CA"/>
              </w:rPr>
              <w:t>packagings</w:t>
            </w:r>
            <w:proofErr w:type="spellEnd"/>
            <w:r>
              <w:rPr>
                <w:color w:val="000000"/>
                <w:sz w:val="18"/>
                <w:szCs w:val="18"/>
                <w:lang w:val="en-CA"/>
              </w:rPr>
              <w:t xml:space="preserve"> with suitable cushioning and</w:t>
            </w:r>
            <w:r>
              <w:rPr>
                <w:color w:val="000000"/>
                <w:sz w:val="18"/>
                <w:szCs w:val="18"/>
                <w:lang w:val="en-US"/>
              </w:rPr>
              <w:t>/or absorbent material.</w:t>
            </w:r>
          </w:p>
        </w:tc>
      </w:tr>
    </w:tbl>
    <w:p w:rsidR="00E071FA" w:rsidRPr="00E071FA" w:rsidRDefault="00E071FA" w:rsidP="00E071FA">
      <w:pPr>
        <w:pStyle w:val="SingleTxtG"/>
        <w:rPr>
          <w:lang w:val="en-US"/>
        </w:rPr>
      </w:pPr>
      <w:r w:rsidRPr="00E071FA">
        <w:rPr>
          <w:lang w:val="en-US"/>
        </w:rPr>
        <w:t>]</w:t>
      </w:r>
    </w:p>
    <w:p w:rsidR="00A4511A" w:rsidRDefault="00A4511A" w:rsidP="00A4511A">
      <w:pPr>
        <w:pStyle w:val="SingleTxtG"/>
        <w:rPr>
          <w:bCs/>
          <w:i/>
          <w:iCs/>
          <w:lang w:val="en-US"/>
        </w:rPr>
      </w:pPr>
      <w:r w:rsidRPr="003141B9">
        <w:rPr>
          <w:i/>
          <w:iCs/>
          <w:lang w:val="en-US"/>
        </w:rPr>
        <w:t xml:space="preserve">(Reference document: </w:t>
      </w:r>
      <w:r w:rsidR="00CF419C" w:rsidRPr="00627AC0">
        <w:rPr>
          <w:bCs/>
          <w:i/>
          <w:iCs/>
          <w:lang w:val="en-US"/>
        </w:rPr>
        <w:t>ST/SG/AC.10/C.3/2018/</w:t>
      </w:r>
      <w:r w:rsidR="00CF419C">
        <w:rPr>
          <w:bCs/>
          <w:i/>
          <w:iCs/>
          <w:lang w:val="en-US"/>
        </w:rPr>
        <w:t>20 and</w:t>
      </w:r>
      <w:r w:rsidR="00CF419C" w:rsidRPr="006A6A78">
        <w:rPr>
          <w:i/>
          <w:iCs/>
          <w:lang w:val="en-US"/>
        </w:rPr>
        <w:t xml:space="preserve"> </w:t>
      </w:r>
      <w:r w:rsidRPr="003141B9">
        <w:rPr>
          <w:i/>
          <w:iCs/>
          <w:lang w:val="en-US"/>
        </w:rPr>
        <w:t>informal document INF.70, replaces the amendment in annex II of document ST/SG/AC.10/C.3/102/Add.1</w:t>
      </w:r>
      <w:r w:rsidRPr="003141B9">
        <w:rPr>
          <w:bCs/>
          <w:i/>
          <w:iCs/>
          <w:lang w:val="en-US"/>
        </w:rPr>
        <w:t>)</w:t>
      </w:r>
    </w:p>
    <w:p w:rsidR="00203CA8" w:rsidRPr="00C87103" w:rsidRDefault="00203CA8" w:rsidP="004C12CE">
      <w:pPr>
        <w:pStyle w:val="H1G"/>
        <w:rPr>
          <w:lang w:val="en-US"/>
        </w:rPr>
      </w:pPr>
      <w:r>
        <w:tab/>
      </w:r>
      <w:r>
        <w:rPr>
          <w:lang w:val="en-US"/>
        </w:rPr>
        <w:tab/>
      </w:r>
      <w:r w:rsidRPr="00C87103">
        <w:rPr>
          <w:lang w:val="en-US"/>
        </w:rPr>
        <w:t>Chapter 4.2</w:t>
      </w:r>
    </w:p>
    <w:p w:rsidR="00203CA8" w:rsidRPr="007E6055" w:rsidRDefault="007405ED" w:rsidP="00203CA8">
      <w:pPr>
        <w:pStyle w:val="SingleTxtG"/>
        <w:rPr>
          <w:lang w:val="en-US"/>
        </w:rPr>
      </w:pPr>
      <w:r>
        <w:rPr>
          <w:lang w:val="en-US"/>
        </w:rPr>
        <w:t>Add the following new 4.2.3.7.3</w:t>
      </w:r>
      <w:r w:rsidR="00203CA8" w:rsidRPr="007E6055">
        <w:rPr>
          <w:lang w:val="en-US"/>
        </w:rPr>
        <w:t>:</w:t>
      </w:r>
    </w:p>
    <w:p w:rsidR="00203CA8" w:rsidRPr="007E6055" w:rsidRDefault="00203CA8" w:rsidP="00203CA8">
      <w:pPr>
        <w:pStyle w:val="SingleTxtG"/>
      </w:pPr>
      <w:r w:rsidRPr="007E6055">
        <w:t xml:space="preserve">“4.2.3.7.3 </w:t>
      </w:r>
      <w:r w:rsidRPr="007E6055">
        <w:tab/>
        <w:t>The date at which the actual holding time ends shall be entered in the transport document (see 5.4.1.5.13).”</w:t>
      </w:r>
    </w:p>
    <w:p w:rsidR="00203CA8" w:rsidRDefault="007405ED" w:rsidP="00203CA8">
      <w:pPr>
        <w:pStyle w:val="SingleTxtG"/>
        <w:rPr>
          <w:i/>
          <w:iCs/>
          <w:lang w:val="en-US"/>
        </w:rPr>
      </w:pPr>
      <w:r>
        <w:rPr>
          <w:i/>
          <w:iCs/>
          <w:lang w:val="en-US"/>
        </w:rPr>
        <w:t>(Reference document</w:t>
      </w:r>
      <w:r w:rsidR="00203CA8" w:rsidRPr="00D23BF9">
        <w:rPr>
          <w:i/>
          <w:iCs/>
          <w:lang w:val="en-US"/>
        </w:rPr>
        <w:t>: ST/SG/AC.10/C.3/2018/42)</w:t>
      </w:r>
    </w:p>
    <w:p w:rsidR="00203CA8" w:rsidRDefault="00A62578" w:rsidP="00203CA8">
      <w:pPr>
        <w:pStyle w:val="SingleTxtG"/>
      </w:pPr>
      <w:r>
        <w:t>4.2.5.2, s</w:t>
      </w:r>
      <w:r w:rsidR="00203CA8">
        <w:t>pecial provision TP19</w:t>
      </w:r>
      <w:r w:rsidR="00203CA8">
        <w:tab/>
        <w:t>Amend to read as follows:</w:t>
      </w:r>
    </w:p>
    <w:p w:rsidR="00203CA8" w:rsidRPr="00307CBD" w:rsidRDefault="00203CA8" w:rsidP="00203CA8">
      <w:pPr>
        <w:pStyle w:val="SingleTxtG"/>
      </w:pPr>
      <w:r w:rsidRPr="00307CBD">
        <w:t xml:space="preserve">“TP19 </w:t>
      </w:r>
      <w:r>
        <w:tab/>
      </w:r>
      <w:proofErr w:type="gramStart"/>
      <w:r w:rsidRPr="00307CBD">
        <w:t>At</w:t>
      </w:r>
      <w:proofErr w:type="gramEnd"/>
      <w:r w:rsidRPr="00307CBD">
        <w:t xml:space="preserve"> the time of construction, the calculated shell thickness </w:t>
      </w:r>
      <w:r>
        <w:t>shall</w:t>
      </w:r>
      <w:r w:rsidRPr="00307CBD">
        <w:t xml:space="preserve"> be increased by 3 mm as a corrosion allowance. Shell thickness </w:t>
      </w:r>
      <w:r>
        <w:t>shall</w:t>
      </w:r>
      <w:r w:rsidRPr="00307CBD">
        <w:t xml:space="preserve"> be verified ultrasonically at intervals midway between periodic hydraulic tests and </w:t>
      </w:r>
      <w:r>
        <w:t>shall</w:t>
      </w:r>
      <w:r w:rsidRPr="00307CBD">
        <w:t xml:space="preserve"> never be lower than the calculated shell thickness.”.</w:t>
      </w:r>
    </w:p>
    <w:p w:rsidR="00203CA8" w:rsidRPr="00007C69" w:rsidRDefault="00203CA8" w:rsidP="00007C69">
      <w:pPr>
        <w:pStyle w:val="SingleTxtG"/>
        <w:rPr>
          <w:i/>
          <w:iCs/>
        </w:rPr>
      </w:pPr>
      <w:r w:rsidRPr="00D23BF9">
        <w:rPr>
          <w:i/>
          <w:iCs/>
        </w:rPr>
        <w:t>(Reference document: ST/SG/AC.10/C.3/2018/43</w:t>
      </w:r>
      <w:r>
        <w:rPr>
          <w:i/>
          <w:iCs/>
        </w:rPr>
        <w:t>, option 2, as amended</w:t>
      </w:r>
      <w:r w:rsidRPr="00D23BF9">
        <w:rPr>
          <w:i/>
          <w:iCs/>
        </w:rPr>
        <w:t>)</w:t>
      </w:r>
    </w:p>
    <w:p w:rsidR="00203CA8" w:rsidRDefault="00203CA8" w:rsidP="00203CA8">
      <w:pPr>
        <w:pStyle w:val="SingleTxtG"/>
        <w:rPr>
          <w:bCs/>
          <w:i/>
          <w:iCs/>
          <w:lang w:val="en-US"/>
        </w:rPr>
      </w:pPr>
      <w:r>
        <w:t>4.2.5.3</w:t>
      </w:r>
      <w:r>
        <w:tab/>
        <w:t xml:space="preserve"> </w:t>
      </w:r>
      <w:r>
        <w:tab/>
        <w:t>Delete portable tank instructions TP35, TP37, TP38 and TP39 and add “</w:t>
      </w:r>
      <w:r w:rsidRPr="00415AB5">
        <w:rPr>
          <w:i/>
        </w:rPr>
        <w:t>Deleted</w:t>
      </w:r>
      <w:r>
        <w:t>”.</w:t>
      </w:r>
    </w:p>
    <w:p w:rsidR="00203CA8" w:rsidRDefault="00203CA8" w:rsidP="00203CA8">
      <w:pPr>
        <w:pStyle w:val="SingleTxtG"/>
        <w:rPr>
          <w:bCs/>
          <w:i/>
          <w:iCs/>
          <w:lang w:val="en-US"/>
        </w:rPr>
      </w:pPr>
      <w:r w:rsidRPr="007F764E">
        <w:rPr>
          <w:i/>
          <w:iCs/>
        </w:rPr>
        <w:t xml:space="preserve">(Reference document: </w:t>
      </w:r>
      <w:r w:rsidRPr="003B3A0D">
        <w:rPr>
          <w:bCs/>
          <w:i/>
          <w:iCs/>
          <w:lang w:val="en-US"/>
        </w:rPr>
        <w:t>ST/SG/AC.10/C.3/2018/</w:t>
      </w:r>
      <w:r>
        <w:rPr>
          <w:bCs/>
          <w:i/>
          <w:iCs/>
          <w:lang w:val="en-US"/>
        </w:rPr>
        <w:t>31)</w:t>
      </w:r>
    </w:p>
    <w:p w:rsidR="00203CA8" w:rsidRDefault="00203CA8" w:rsidP="00A62578">
      <w:pPr>
        <w:pStyle w:val="H1G"/>
      </w:pPr>
      <w:r>
        <w:tab/>
      </w:r>
      <w:r>
        <w:tab/>
      </w:r>
      <w:r w:rsidR="009135B3">
        <w:tab/>
      </w:r>
      <w:r>
        <w:t>Chapter 5.4</w:t>
      </w:r>
    </w:p>
    <w:p w:rsidR="00203CA8" w:rsidRDefault="00203CA8" w:rsidP="00203CA8">
      <w:pPr>
        <w:pStyle w:val="SingleTxtG"/>
      </w:pPr>
      <w:r>
        <w:t>Add the following new 5.4.1.5.13:</w:t>
      </w:r>
    </w:p>
    <w:p w:rsidR="00203CA8" w:rsidRPr="00307CBD" w:rsidRDefault="00203CA8" w:rsidP="00203CA8">
      <w:pPr>
        <w:pStyle w:val="SingleTxtG"/>
      </w:pPr>
      <w:r w:rsidRPr="00307CBD">
        <w:t xml:space="preserve">“5.4.1.5.13 </w:t>
      </w:r>
      <w:r w:rsidRPr="00307CBD">
        <w:tab/>
      </w:r>
      <w:r w:rsidRPr="00307CBD">
        <w:rPr>
          <w:i/>
          <w:iCs/>
        </w:rPr>
        <w:t>Actual holding time</w:t>
      </w:r>
    </w:p>
    <w:p w:rsidR="00203CA8" w:rsidRPr="00307CBD" w:rsidRDefault="00203CA8" w:rsidP="00203CA8">
      <w:pPr>
        <w:pStyle w:val="SingleTxtG"/>
      </w:pPr>
      <w:r w:rsidRPr="00307CBD">
        <w:t>In the case of portable tanks carrying refrigerated liquefied gases the consign</w:t>
      </w:r>
      <w:r>
        <w:t>o</w:t>
      </w:r>
      <w:r w:rsidRPr="00307CBD">
        <w:t>r shall enter in the transport document the date at which the actual holding time ends, in the following format:</w:t>
      </w:r>
    </w:p>
    <w:p w:rsidR="00203CA8" w:rsidRPr="00307CBD" w:rsidRDefault="00203CA8" w:rsidP="00203CA8">
      <w:pPr>
        <w:pStyle w:val="SingleTxtG"/>
      </w:pPr>
      <w:r w:rsidRPr="00307CBD">
        <w:t>“END OF HOLDING TIME: ………</w:t>
      </w:r>
      <w:proofErr w:type="gramStart"/>
      <w:r w:rsidRPr="00307CBD">
        <w:t>…..</w:t>
      </w:r>
      <w:proofErr w:type="gramEnd"/>
      <w:r w:rsidRPr="00307CBD">
        <w:t xml:space="preserve"> (DD/MM/YYYY)”.</w:t>
      </w:r>
    </w:p>
    <w:p w:rsidR="00203CA8" w:rsidRDefault="00203CA8" w:rsidP="00203CA8">
      <w:pPr>
        <w:pStyle w:val="SingleTxtG"/>
        <w:rPr>
          <w:i/>
          <w:iCs/>
        </w:rPr>
      </w:pPr>
      <w:r w:rsidRPr="00BB39ED">
        <w:rPr>
          <w:i/>
          <w:iCs/>
        </w:rPr>
        <w:t>(Reference document: ST/SG/AC.10/C.3/2018/42)</w:t>
      </w:r>
    </w:p>
    <w:p w:rsidR="00007C69" w:rsidRDefault="00203CA8" w:rsidP="004C12CE">
      <w:pPr>
        <w:pStyle w:val="H1G"/>
      </w:pPr>
      <w:r>
        <w:tab/>
      </w:r>
      <w:r>
        <w:tab/>
      </w:r>
      <w:r w:rsidR="00007C69">
        <w:t>Chapter 6.1</w:t>
      </w:r>
    </w:p>
    <w:p w:rsidR="00007C69" w:rsidRDefault="00007C69" w:rsidP="00007C69">
      <w:pPr>
        <w:pStyle w:val="SingleTxtG"/>
      </w:pPr>
      <w:r>
        <w:t>6.1.3.1 (e)</w:t>
      </w:r>
      <w:r>
        <w:tab/>
        <w:t>In the text of the note explaining the asterisk, after the clock, replace the second sentence with the following:</w:t>
      </w:r>
    </w:p>
    <w:p w:rsidR="00007C69" w:rsidRPr="006160E8" w:rsidRDefault="00007C69" w:rsidP="00007C69">
      <w:pPr>
        <w:pStyle w:val="SingleTxtG"/>
      </w:pPr>
      <w:r>
        <w:t>“</w:t>
      </w:r>
      <w:r w:rsidRPr="006160E8">
        <w:t xml:space="preserve">In such a case and when the clock is placed adjacent to the UN design type mark, </w:t>
      </w:r>
      <w:r w:rsidRPr="006160E8">
        <w:rPr>
          <w:rFonts w:eastAsia="Calibri"/>
        </w:rPr>
        <w:t>the indication of the year in the mark may be waived. However, when the clock is not placed</w:t>
      </w:r>
      <w:r w:rsidRPr="006160E8">
        <w:rPr>
          <w:rFonts w:eastAsia="Calibri"/>
          <w:bCs/>
        </w:rPr>
        <w:t xml:space="preserve"> adjacent</w:t>
      </w:r>
      <w:r w:rsidRPr="006160E8">
        <w:rPr>
          <w:rFonts w:eastAsia="Calibri"/>
        </w:rPr>
        <w:t xml:space="preserve"> to the UN design type mark, </w:t>
      </w:r>
      <w:r w:rsidRPr="006160E8">
        <w:t>the two digits of the year in the mark and in the clock shall be identical.</w:t>
      </w:r>
      <w:r>
        <w:t>”.</w:t>
      </w:r>
      <w:r w:rsidRPr="006160E8">
        <w:t xml:space="preserve">  </w:t>
      </w:r>
    </w:p>
    <w:p w:rsidR="00007C69" w:rsidRPr="00E96385" w:rsidRDefault="00007C69" w:rsidP="00007C69">
      <w:pPr>
        <w:pStyle w:val="SingleTxtG"/>
        <w:rPr>
          <w:i/>
          <w:iCs/>
          <w:lang w:val="en-US"/>
        </w:rPr>
      </w:pPr>
      <w:r w:rsidRPr="00E96385">
        <w:rPr>
          <w:i/>
          <w:iCs/>
          <w:lang w:val="en-US"/>
        </w:rPr>
        <w:t xml:space="preserve">(Reference document: </w:t>
      </w:r>
      <w:r w:rsidR="00A62578" w:rsidRPr="00BB39ED">
        <w:rPr>
          <w:i/>
          <w:iCs/>
        </w:rPr>
        <w:t>ST/SG/AC.10/C.3/2018/</w:t>
      </w:r>
      <w:r w:rsidR="00A62578">
        <w:rPr>
          <w:i/>
          <w:iCs/>
        </w:rPr>
        <w:t xml:space="preserve">46 and </w:t>
      </w:r>
      <w:r w:rsidRPr="00E96385">
        <w:rPr>
          <w:i/>
          <w:iCs/>
          <w:lang w:val="en-US"/>
        </w:rPr>
        <w:t>informal document INF.63, as amended)</w:t>
      </w:r>
    </w:p>
    <w:p w:rsidR="00203CA8" w:rsidRDefault="00203CA8" w:rsidP="00203CA8">
      <w:pPr>
        <w:pStyle w:val="SingleTxtG"/>
        <w:spacing w:line="240" w:lineRule="auto"/>
        <w:ind w:right="1135"/>
        <w:rPr>
          <w:iCs/>
          <w:lang w:val="en-US"/>
        </w:rPr>
      </w:pPr>
      <w:r>
        <w:rPr>
          <w:iCs/>
          <w:lang w:val="en-US"/>
        </w:rPr>
        <w:t>Add the following new 6.1.3.13:</w:t>
      </w:r>
    </w:p>
    <w:p w:rsidR="00203CA8" w:rsidRPr="00876370" w:rsidRDefault="00203CA8" w:rsidP="00203CA8">
      <w:pPr>
        <w:pStyle w:val="SingleTxtG"/>
        <w:spacing w:line="240" w:lineRule="auto"/>
        <w:ind w:right="1135"/>
        <w:rPr>
          <w:iCs/>
          <w:lang w:val="en-US"/>
        </w:rPr>
      </w:pPr>
      <w:r>
        <w:rPr>
          <w:iCs/>
          <w:lang w:val="en-US"/>
        </w:rPr>
        <w:t>“6.1.3.13</w:t>
      </w:r>
      <w:r>
        <w:rPr>
          <w:iCs/>
          <w:lang w:val="en-US"/>
        </w:rPr>
        <w:tab/>
        <w:t>Where a packaging</w:t>
      </w:r>
      <w:r w:rsidRPr="00876370">
        <w:rPr>
          <w:iCs/>
          <w:lang w:val="en-US"/>
        </w:rPr>
        <w:t xml:space="preserve"> conforms to </w:t>
      </w:r>
      <w:r w:rsidRPr="00EF53CD">
        <w:rPr>
          <w:iCs/>
          <w:lang w:val="en-US"/>
        </w:rPr>
        <w:t>one or</w:t>
      </w:r>
      <w:r>
        <w:rPr>
          <w:iCs/>
          <w:u w:val="single"/>
          <w:lang w:val="en-US"/>
        </w:rPr>
        <w:t xml:space="preserve"> </w:t>
      </w:r>
      <w:r w:rsidRPr="00876370">
        <w:rPr>
          <w:iCs/>
          <w:lang w:val="en-US"/>
        </w:rPr>
        <w:t>more than one tested packaging</w:t>
      </w:r>
      <w:r>
        <w:rPr>
          <w:iCs/>
          <w:lang w:val="en-US"/>
        </w:rPr>
        <w:t xml:space="preserve"> design type</w:t>
      </w:r>
      <w:r w:rsidRPr="003C6937">
        <w:rPr>
          <w:iCs/>
          <w:lang w:val="en-US"/>
        </w:rPr>
        <w:t xml:space="preserve">, </w:t>
      </w:r>
      <w:r w:rsidRPr="00357579">
        <w:rPr>
          <w:iCs/>
          <w:lang w:val="en-US"/>
        </w:rPr>
        <w:t>including one or more than one tested IBC or large packaging design type, the packaging may bear more than one mark to indicate the relevant performance test requirements that have been met.</w:t>
      </w:r>
      <w:r w:rsidRPr="00C85EAD">
        <w:rPr>
          <w:iCs/>
          <w:lang w:val="en-US"/>
        </w:rPr>
        <w:t xml:space="preserve"> </w:t>
      </w:r>
      <w:r w:rsidRPr="00876370">
        <w:rPr>
          <w:iCs/>
          <w:lang w:val="en-US"/>
        </w:rPr>
        <w:t>Where more than one m</w:t>
      </w:r>
      <w:r>
        <w:rPr>
          <w:iCs/>
          <w:lang w:val="en-US"/>
        </w:rPr>
        <w:t>ark appears on a packaging,</w:t>
      </w:r>
      <w:r w:rsidRPr="00876370">
        <w:rPr>
          <w:iCs/>
          <w:lang w:val="en-US"/>
        </w:rPr>
        <w:t xml:space="preserve"> the marks must appear </w:t>
      </w:r>
      <w:proofErr w:type="gramStart"/>
      <w:r w:rsidRPr="00876370">
        <w:rPr>
          <w:iCs/>
          <w:lang w:val="en-US"/>
        </w:rPr>
        <w:t>in close proximity to</w:t>
      </w:r>
      <w:proofErr w:type="gramEnd"/>
      <w:r w:rsidRPr="00876370">
        <w:rPr>
          <w:iCs/>
          <w:lang w:val="en-US"/>
        </w:rPr>
        <w:t xml:space="preserve"> one another and each mark must appear in its entirety.</w:t>
      </w:r>
      <w:r w:rsidRPr="00357579">
        <w:rPr>
          <w:iCs/>
          <w:lang w:val="en-US"/>
        </w:rPr>
        <w:t>”</w:t>
      </w:r>
      <w:r>
        <w:rPr>
          <w:iCs/>
          <w:lang w:val="en-US"/>
        </w:rPr>
        <w:t>.</w:t>
      </w:r>
    </w:p>
    <w:p w:rsidR="00203CA8" w:rsidRPr="00EF53CD" w:rsidRDefault="00203CA8" w:rsidP="00203CA8">
      <w:pPr>
        <w:pStyle w:val="SingleTxtG"/>
        <w:rPr>
          <w:bCs/>
          <w:i/>
          <w:iCs/>
          <w:lang w:val="en-US"/>
        </w:rPr>
      </w:pPr>
      <w:r w:rsidRPr="00EF53CD">
        <w:rPr>
          <w:i/>
          <w:iCs/>
          <w:lang w:val="en-US"/>
        </w:rPr>
        <w:t xml:space="preserve">(Reference document: </w:t>
      </w:r>
      <w:r w:rsidR="00241AE6" w:rsidRPr="00BB39ED">
        <w:rPr>
          <w:i/>
          <w:iCs/>
        </w:rPr>
        <w:t>ST/SG/AC.10/C.3/2018/</w:t>
      </w:r>
      <w:r w:rsidR="00241AE6">
        <w:rPr>
          <w:i/>
          <w:iCs/>
        </w:rPr>
        <w:t xml:space="preserve">49 and </w:t>
      </w:r>
      <w:r w:rsidR="00E04DFB">
        <w:rPr>
          <w:i/>
          <w:iCs/>
        </w:rPr>
        <w:t>I</w:t>
      </w:r>
      <w:proofErr w:type="spellStart"/>
      <w:r w:rsidRPr="00EF53CD">
        <w:rPr>
          <w:bCs/>
          <w:i/>
          <w:iCs/>
          <w:lang w:val="en-US"/>
        </w:rPr>
        <w:t>nformal</w:t>
      </w:r>
      <w:proofErr w:type="spellEnd"/>
      <w:r w:rsidRPr="00EF53CD">
        <w:rPr>
          <w:bCs/>
          <w:i/>
          <w:iCs/>
          <w:lang w:val="en-US"/>
        </w:rPr>
        <w:t xml:space="preserve"> document INF.53, replaces the amendment in annex II of document ST/SG/AC.10/C.3/104/Add.1)</w:t>
      </w:r>
    </w:p>
    <w:p w:rsidR="00203CA8" w:rsidRDefault="00203CA8" w:rsidP="00203CA8">
      <w:pPr>
        <w:pStyle w:val="SingleTxtG"/>
        <w:spacing w:line="240" w:lineRule="auto"/>
        <w:ind w:right="1135"/>
        <w:rPr>
          <w:iCs/>
          <w:lang w:val="en-US"/>
        </w:rPr>
      </w:pPr>
      <w:r>
        <w:rPr>
          <w:iCs/>
          <w:lang w:val="en-US"/>
        </w:rPr>
        <w:t>Add the following new 6.1.4.2.6:</w:t>
      </w:r>
    </w:p>
    <w:p w:rsidR="00203CA8" w:rsidRDefault="00203CA8" w:rsidP="00203CA8">
      <w:pPr>
        <w:pStyle w:val="SingleTxtG"/>
      </w:pPr>
      <w:r>
        <w:rPr>
          <w:bCs/>
        </w:rPr>
        <w:t>“</w:t>
      </w:r>
      <w:r w:rsidRPr="0060009B">
        <w:rPr>
          <w:bCs/>
        </w:rPr>
        <w:t>6.1.4.2.6</w:t>
      </w:r>
      <w:r>
        <w:rPr>
          <w:bCs/>
        </w:rPr>
        <w:tab/>
      </w:r>
      <w:r w:rsidRPr="0060009B">
        <w:t xml:space="preserve">If materials used for body, heads, closures and fittings are not in themselves compatible with the contents to be </w:t>
      </w:r>
      <w:r>
        <w:t>transported</w:t>
      </w:r>
      <w:r w:rsidRPr="0060009B">
        <w:t xml:space="preserve">, suitable internal protective coatings or treatments shall be applied. These coatings or treatments shall retain their protective properties under normal conditions of </w:t>
      </w:r>
      <w:r>
        <w:t>transport</w:t>
      </w:r>
      <w:r w:rsidRPr="0060009B">
        <w:t>.</w:t>
      </w:r>
      <w:r>
        <w:t>”.</w:t>
      </w:r>
    </w:p>
    <w:p w:rsidR="00203CA8" w:rsidRPr="0060009B" w:rsidRDefault="00203CA8" w:rsidP="00203CA8">
      <w:pPr>
        <w:pStyle w:val="SingleTxtG"/>
      </w:pPr>
      <w:r>
        <w:t>Renumber the existing 6.1.4.2.6 and 6.1.4.2.7 as 6.1.4.2.7 and 6.1.4.2.8.</w:t>
      </w:r>
    </w:p>
    <w:p w:rsidR="00203CA8" w:rsidRDefault="00203CA8" w:rsidP="00203CA8">
      <w:pPr>
        <w:pStyle w:val="SingleTxtG"/>
      </w:pPr>
      <w:r w:rsidRPr="007F764E">
        <w:rPr>
          <w:i/>
          <w:iCs/>
        </w:rPr>
        <w:t xml:space="preserve">(Reference document: </w:t>
      </w:r>
      <w:r w:rsidRPr="003B3A0D">
        <w:rPr>
          <w:bCs/>
          <w:i/>
          <w:iCs/>
          <w:lang w:val="en-US"/>
        </w:rPr>
        <w:t>ST/SG/AC.10/C.3/2018/</w:t>
      </w:r>
      <w:r>
        <w:rPr>
          <w:bCs/>
          <w:i/>
          <w:iCs/>
          <w:lang w:val="en-US"/>
        </w:rPr>
        <w:t>32)</w:t>
      </w:r>
    </w:p>
    <w:p w:rsidR="00203CA8" w:rsidRDefault="00203CA8" w:rsidP="00203CA8">
      <w:pPr>
        <w:pStyle w:val="SingleTxtG"/>
        <w:spacing w:line="240" w:lineRule="auto"/>
        <w:ind w:right="1135"/>
        <w:rPr>
          <w:iCs/>
          <w:lang w:val="en-US"/>
        </w:rPr>
      </w:pPr>
      <w:r>
        <w:rPr>
          <w:iCs/>
          <w:lang w:val="en-US"/>
        </w:rPr>
        <w:t>Add the following new 6.1.4.3.6:</w:t>
      </w:r>
    </w:p>
    <w:p w:rsidR="00203CA8" w:rsidRDefault="00203CA8" w:rsidP="00203CA8">
      <w:pPr>
        <w:pStyle w:val="SingleTxtG"/>
        <w:rPr>
          <w:lang w:val="en-US"/>
        </w:rPr>
      </w:pPr>
      <w:r>
        <w:rPr>
          <w:lang w:val="en-US"/>
        </w:rPr>
        <w:t>“6.1.4.3.6</w:t>
      </w:r>
      <w:r>
        <w:rPr>
          <w:lang w:val="en-US"/>
        </w:rPr>
        <w:tab/>
      </w:r>
      <w:r w:rsidRPr="0060009B">
        <w:t xml:space="preserve">If materials used for body, heads, closures and fittings are not in themselves compatible with the contents to be </w:t>
      </w:r>
      <w:r>
        <w:t>transported</w:t>
      </w:r>
      <w:r w:rsidRPr="0060009B">
        <w:t xml:space="preserve">, suitable internal protective coatings or treatments shall be applied. These coatings or treatments shall retain their protective properties under normal conditions of </w:t>
      </w:r>
      <w:r>
        <w:t>transport</w:t>
      </w:r>
      <w:r w:rsidRPr="0060009B">
        <w:t>.</w:t>
      </w:r>
      <w:r>
        <w:t>”.</w:t>
      </w:r>
    </w:p>
    <w:p w:rsidR="00203CA8" w:rsidRDefault="00203CA8" w:rsidP="00203CA8">
      <w:pPr>
        <w:pStyle w:val="SingleTxtG"/>
        <w:rPr>
          <w:lang w:val="en-US"/>
        </w:rPr>
      </w:pPr>
      <w:r>
        <w:rPr>
          <w:lang w:val="en-US"/>
        </w:rPr>
        <w:t>Renumber the existing 6.1.4.3.6 and 6.1.4.3.7 as 6.1.4.3.7 and 6.1.4.3.8.</w:t>
      </w:r>
    </w:p>
    <w:p w:rsidR="00203CA8" w:rsidRDefault="00203CA8" w:rsidP="00203CA8">
      <w:pPr>
        <w:pStyle w:val="SingleTxtG"/>
        <w:rPr>
          <w:bCs/>
          <w:i/>
          <w:iCs/>
          <w:lang w:val="en-US"/>
        </w:rPr>
      </w:pPr>
      <w:r w:rsidRPr="007F764E">
        <w:rPr>
          <w:i/>
          <w:iCs/>
        </w:rPr>
        <w:t xml:space="preserve">(Reference document: </w:t>
      </w:r>
      <w:r w:rsidRPr="003B3A0D">
        <w:rPr>
          <w:bCs/>
          <w:i/>
          <w:iCs/>
          <w:lang w:val="en-US"/>
        </w:rPr>
        <w:t>ST/SG/AC.10/C.3/2018/</w:t>
      </w:r>
      <w:r>
        <w:rPr>
          <w:bCs/>
          <w:i/>
          <w:iCs/>
          <w:lang w:val="en-US"/>
        </w:rPr>
        <w:t>32, consequential amendment)</w:t>
      </w:r>
    </w:p>
    <w:p w:rsidR="005573FF" w:rsidRDefault="005573FF" w:rsidP="004C12CE">
      <w:pPr>
        <w:pStyle w:val="H1G"/>
        <w:rPr>
          <w:lang w:val="en-US"/>
        </w:rPr>
      </w:pPr>
      <w:r>
        <w:rPr>
          <w:lang w:val="en-US"/>
        </w:rPr>
        <w:tab/>
      </w:r>
      <w:r>
        <w:rPr>
          <w:lang w:val="en-US"/>
        </w:rPr>
        <w:tab/>
        <w:t>Chapter 6.2</w:t>
      </w:r>
    </w:p>
    <w:p w:rsidR="005573FF" w:rsidRDefault="005573FF" w:rsidP="005573FF">
      <w:pPr>
        <w:pStyle w:val="SingleTxtG"/>
      </w:pPr>
      <w:r>
        <w:rPr>
          <w:lang w:val="en-US"/>
        </w:rPr>
        <w:t>[6.2.2.1.1</w:t>
      </w:r>
      <w:r>
        <w:rPr>
          <w:lang w:val="en-US"/>
        </w:rPr>
        <w:tab/>
      </w:r>
      <w:r>
        <w:t xml:space="preserve">In the table, in the rows for “ISO 11119-3:2002” and “ISO 11119-3:2013” add the following new Note in the second column: </w:t>
      </w:r>
    </w:p>
    <w:p w:rsidR="005573FF" w:rsidRDefault="005573FF" w:rsidP="005573FF">
      <w:pPr>
        <w:pStyle w:val="SingleTxtG"/>
      </w:pPr>
      <w:r w:rsidRPr="00C712F6">
        <w:t>"</w:t>
      </w:r>
      <w:r w:rsidRPr="006C2279">
        <w:rPr>
          <w:b/>
          <w:bCs/>
          <w:i/>
          <w:iCs/>
        </w:rPr>
        <w:t>NOTE:</w:t>
      </w:r>
      <w:r w:rsidRPr="00C712F6">
        <w:tab/>
        <w:t xml:space="preserve">This standard shall not be used for </w:t>
      </w:r>
      <w:proofErr w:type="spellStart"/>
      <w:r>
        <w:t>linerless</w:t>
      </w:r>
      <w:proofErr w:type="spellEnd"/>
      <w:r>
        <w:t xml:space="preserve"> </w:t>
      </w:r>
      <w:r w:rsidRPr="00C712F6">
        <w:t>cylinders manufactured from two parts joined together".</w:t>
      </w:r>
      <w:r>
        <w:t>]</w:t>
      </w:r>
    </w:p>
    <w:p w:rsidR="005573FF" w:rsidRPr="00696275" w:rsidRDefault="005573FF" w:rsidP="005573FF">
      <w:pPr>
        <w:pStyle w:val="SingleTxtG"/>
        <w:rPr>
          <w:i/>
          <w:iCs/>
          <w:lang w:val="en-US"/>
        </w:rPr>
      </w:pPr>
      <w:r w:rsidRPr="00696275">
        <w:rPr>
          <w:i/>
          <w:iCs/>
          <w:lang w:val="en-US"/>
        </w:rPr>
        <w:t>(Reference document: informal document INF.10, as amended)</w:t>
      </w:r>
    </w:p>
    <w:p w:rsidR="005573FF" w:rsidRDefault="005573FF" w:rsidP="005573FF">
      <w:pPr>
        <w:spacing w:before="120" w:after="120"/>
        <w:ind w:left="1134" w:right="1134"/>
        <w:jc w:val="both"/>
      </w:pPr>
      <w:r>
        <w:t xml:space="preserve">6.2.2.1.1 </w:t>
      </w:r>
      <w:r>
        <w:tab/>
        <w:t>In the table, after “ISO 11119-3:2013”, add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275"/>
      </w:tblGrid>
      <w:tr w:rsidR="005573FF" w:rsidRPr="00AA6F5C" w:rsidTr="001E426F">
        <w:tc>
          <w:tcPr>
            <w:tcW w:w="1384" w:type="dxa"/>
            <w:shd w:val="clear" w:color="auto" w:fill="auto"/>
          </w:tcPr>
          <w:p w:rsidR="005573FF" w:rsidRPr="00AA6F5C" w:rsidRDefault="005573FF" w:rsidP="001E426F">
            <w:pPr>
              <w:spacing w:before="120" w:after="120"/>
            </w:pPr>
            <w:r>
              <w:t>ISO </w:t>
            </w:r>
            <w:r w:rsidRPr="00AA6F5C">
              <w:t>11119-4:</w:t>
            </w:r>
            <w:r>
              <w:t xml:space="preserve"> </w:t>
            </w:r>
            <w:r w:rsidRPr="00AA6F5C">
              <w:t xml:space="preserve">2016 </w:t>
            </w:r>
          </w:p>
        </w:tc>
        <w:tc>
          <w:tcPr>
            <w:tcW w:w="4820" w:type="dxa"/>
            <w:shd w:val="clear" w:color="auto" w:fill="auto"/>
          </w:tcPr>
          <w:p w:rsidR="005573FF" w:rsidRPr="00AA6F5C" w:rsidRDefault="005573FF" w:rsidP="001E426F">
            <w:pPr>
              <w:spacing w:before="120" w:after="120"/>
            </w:pPr>
            <w:r w:rsidRPr="00AA6F5C">
              <w:t>Gas cylinders – Refillable composite gas cylinders – Design, construction and testing – Part 4: Fully wrapped fibre reinforced composite gas cylinders up to 150 l with load-sharing welded metallic liners</w:t>
            </w:r>
          </w:p>
        </w:tc>
        <w:tc>
          <w:tcPr>
            <w:tcW w:w="1275" w:type="dxa"/>
            <w:shd w:val="clear" w:color="auto" w:fill="auto"/>
          </w:tcPr>
          <w:p w:rsidR="005573FF" w:rsidRPr="00AA6F5C" w:rsidRDefault="005573FF" w:rsidP="001E426F">
            <w:pPr>
              <w:spacing w:before="120" w:after="120"/>
            </w:pPr>
            <w:r w:rsidRPr="00AA6F5C">
              <w:t>Until further notice</w:t>
            </w:r>
          </w:p>
        </w:tc>
      </w:tr>
    </w:tbl>
    <w:p w:rsidR="005573FF" w:rsidRDefault="005573FF" w:rsidP="005573FF">
      <w:pPr>
        <w:pStyle w:val="SingleTxtG"/>
        <w:spacing w:before="120"/>
        <w:ind w:left="1138" w:right="1138"/>
        <w:rPr>
          <w:i/>
          <w:iCs/>
        </w:rPr>
      </w:pPr>
      <w:r w:rsidRPr="00CC56EE">
        <w:rPr>
          <w:i/>
          <w:iCs/>
        </w:rPr>
        <w:t xml:space="preserve">(Reference document, ST/SG/AC.10/C.3/2018/23, proposal </w:t>
      </w:r>
      <w:r>
        <w:rPr>
          <w:i/>
          <w:iCs/>
        </w:rPr>
        <w:t>2</w:t>
      </w:r>
      <w:r w:rsidRPr="00CC56EE">
        <w:rPr>
          <w:i/>
          <w:iCs/>
        </w:rPr>
        <w:t>)</w:t>
      </w:r>
    </w:p>
    <w:p w:rsidR="005573FF" w:rsidRDefault="005573FF" w:rsidP="005573FF">
      <w:pPr>
        <w:pStyle w:val="SingleTxtG"/>
      </w:pPr>
      <w:r>
        <w:t>[6.2.2.1.2</w:t>
      </w:r>
      <w:r w:rsidRPr="00E87F50">
        <w:tab/>
      </w:r>
      <w:r>
        <w:t>In the table, in the row containing “ISO</w:t>
      </w:r>
      <w:r w:rsidR="00E04DFB">
        <w:t xml:space="preserve"> </w:t>
      </w:r>
      <w:r>
        <w:t>11119-3:2013”, add the following new Note in the central column:</w:t>
      </w:r>
    </w:p>
    <w:p w:rsidR="005573FF" w:rsidRPr="00C712F6" w:rsidRDefault="005573FF" w:rsidP="005573FF">
      <w:pPr>
        <w:pStyle w:val="SingleTxtG"/>
      </w:pPr>
      <w:r w:rsidRPr="00C712F6">
        <w:t>"</w:t>
      </w:r>
      <w:r w:rsidRPr="006C2279">
        <w:rPr>
          <w:b/>
          <w:bCs/>
          <w:i/>
          <w:iCs/>
        </w:rPr>
        <w:t>NOTE:</w:t>
      </w:r>
      <w:r w:rsidRPr="00C712F6">
        <w:tab/>
        <w:t xml:space="preserve">This standard shall not be used for </w:t>
      </w:r>
      <w:proofErr w:type="spellStart"/>
      <w:r>
        <w:t>linerless</w:t>
      </w:r>
      <w:proofErr w:type="spellEnd"/>
      <w:r>
        <w:t xml:space="preserve"> tubes manufactured from two parts joined together</w:t>
      </w:r>
      <w:r w:rsidRPr="00C712F6">
        <w:t>".</w:t>
      </w:r>
      <w:r>
        <w:t>]</w:t>
      </w:r>
    </w:p>
    <w:p w:rsidR="005573FF" w:rsidRPr="00696275" w:rsidRDefault="005573FF" w:rsidP="005573FF">
      <w:pPr>
        <w:pStyle w:val="SingleTxtG"/>
        <w:rPr>
          <w:i/>
          <w:iCs/>
          <w:lang w:val="en-US"/>
        </w:rPr>
      </w:pPr>
      <w:r w:rsidRPr="00696275">
        <w:rPr>
          <w:i/>
          <w:iCs/>
          <w:lang w:val="en-US"/>
        </w:rPr>
        <w:t>(Reference document: informal document INF.10, as amended)</w:t>
      </w:r>
    </w:p>
    <w:p w:rsidR="005573FF" w:rsidRDefault="005573FF" w:rsidP="005573FF">
      <w:pPr>
        <w:pStyle w:val="SingleTxtG"/>
        <w:spacing w:before="120"/>
        <w:ind w:left="1138" w:right="1138"/>
      </w:pPr>
      <w:r>
        <w:t>6.2.2.1.3</w:t>
      </w:r>
      <w:r>
        <w:tab/>
        <w:t xml:space="preserve">In the table, under “For the cylinder shell” add the following two new rows at the end: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4084"/>
        <w:gridCol w:w="1659"/>
      </w:tblGrid>
      <w:tr w:rsidR="005573FF" w:rsidRPr="00A03CB5" w:rsidTr="001E426F">
        <w:trPr>
          <w:trHeight w:val="262"/>
          <w:jc w:val="center"/>
        </w:trPr>
        <w:tc>
          <w:tcPr>
            <w:tcW w:w="1864" w:type="dxa"/>
            <w:tcMar>
              <w:top w:w="0" w:type="dxa"/>
              <w:left w:w="108" w:type="dxa"/>
              <w:bottom w:w="0" w:type="dxa"/>
              <w:right w:w="108" w:type="dxa"/>
            </w:tcMar>
            <w:hideMark/>
          </w:tcPr>
          <w:p w:rsidR="005573FF" w:rsidRPr="00A03CB5" w:rsidRDefault="005573FF" w:rsidP="001E426F">
            <w:pPr>
              <w:rPr>
                <w:iCs/>
              </w:rPr>
            </w:pPr>
            <w:r w:rsidRPr="00A03CB5">
              <w:rPr>
                <w:iCs/>
              </w:rPr>
              <w:t>ISO 4706:2008</w:t>
            </w:r>
          </w:p>
        </w:tc>
        <w:tc>
          <w:tcPr>
            <w:tcW w:w="4084" w:type="dxa"/>
            <w:tcMar>
              <w:top w:w="0" w:type="dxa"/>
              <w:left w:w="108" w:type="dxa"/>
              <w:bottom w:w="0" w:type="dxa"/>
              <w:right w:w="108" w:type="dxa"/>
            </w:tcMar>
            <w:hideMark/>
          </w:tcPr>
          <w:p w:rsidR="005573FF" w:rsidRPr="00A03CB5" w:rsidRDefault="005573FF" w:rsidP="001E426F">
            <w:pPr>
              <w:pStyle w:val="NoSpacing"/>
              <w:rPr>
                <w:sz w:val="20"/>
                <w:szCs w:val="20"/>
              </w:rPr>
            </w:pPr>
            <w:r w:rsidRPr="00A03CB5">
              <w:rPr>
                <w:sz w:val="20"/>
                <w:szCs w:val="20"/>
              </w:rPr>
              <w:t>Gas cylinders – Refillable welded steel cylinders – Test pressure 60 bar and below</w:t>
            </w:r>
          </w:p>
        </w:tc>
        <w:tc>
          <w:tcPr>
            <w:tcW w:w="1659" w:type="dxa"/>
            <w:tcMar>
              <w:top w:w="0" w:type="dxa"/>
              <w:left w:w="108" w:type="dxa"/>
              <w:bottom w:w="0" w:type="dxa"/>
              <w:right w:w="108" w:type="dxa"/>
            </w:tcMar>
            <w:hideMark/>
          </w:tcPr>
          <w:p w:rsidR="005573FF" w:rsidRPr="00A03CB5" w:rsidRDefault="005573FF" w:rsidP="001E426F">
            <w:pPr>
              <w:rPr>
                <w:iCs/>
              </w:rPr>
            </w:pPr>
            <w:r w:rsidRPr="00A03CB5">
              <w:rPr>
                <w:iCs/>
              </w:rPr>
              <w:t>Until further notice</w:t>
            </w:r>
          </w:p>
        </w:tc>
      </w:tr>
      <w:tr w:rsidR="005573FF" w:rsidRPr="00A03CB5" w:rsidTr="001E426F">
        <w:trPr>
          <w:trHeight w:val="262"/>
          <w:jc w:val="center"/>
        </w:trPr>
        <w:tc>
          <w:tcPr>
            <w:tcW w:w="1864" w:type="dxa"/>
            <w:tcMar>
              <w:top w:w="0" w:type="dxa"/>
              <w:left w:w="108" w:type="dxa"/>
              <w:bottom w:w="0" w:type="dxa"/>
              <w:right w:w="108" w:type="dxa"/>
            </w:tcMar>
          </w:tcPr>
          <w:p w:rsidR="005573FF" w:rsidRPr="00A03CB5" w:rsidRDefault="005573FF" w:rsidP="001E426F">
            <w:pPr>
              <w:rPr>
                <w:iCs/>
              </w:rPr>
            </w:pPr>
            <w:r w:rsidRPr="00A03CB5">
              <w:rPr>
                <w:iCs/>
              </w:rPr>
              <w:t>ISO 7866:2012 + Cor 1:2014</w:t>
            </w:r>
          </w:p>
        </w:tc>
        <w:tc>
          <w:tcPr>
            <w:tcW w:w="4084" w:type="dxa"/>
            <w:tcMar>
              <w:top w:w="0" w:type="dxa"/>
              <w:left w:w="108" w:type="dxa"/>
              <w:bottom w:w="0" w:type="dxa"/>
              <w:right w:w="108" w:type="dxa"/>
            </w:tcMar>
          </w:tcPr>
          <w:p w:rsidR="005573FF" w:rsidRPr="00A03CB5" w:rsidRDefault="005573FF" w:rsidP="001E426F">
            <w:pPr>
              <w:pStyle w:val="NoSpacing"/>
              <w:rPr>
                <w:sz w:val="20"/>
                <w:szCs w:val="20"/>
              </w:rPr>
            </w:pPr>
            <w:r w:rsidRPr="00A03CB5">
              <w:rPr>
                <w:sz w:val="20"/>
                <w:szCs w:val="20"/>
              </w:rPr>
              <w:t>Gas cylinders – Refillable seamless aluminum alloy gas cylinders – Design, construction and testing</w:t>
            </w:r>
          </w:p>
          <w:p w:rsidR="005573FF" w:rsidRPr="00A03CB5" w:rsidRDefault="005573FF" w:rsidP="001E426F">
            <w:pPr>
              <w:pStyle w:val="NoSpacing"/>
              <w:rPr>
                <w:i/>
                <w:sz w:val="20"/>
                <w:szCs w:val="20"/>
              </w:rPr>
            </w:pPr>
            <w:r w:rsidRPr="00A03CB5">
              <w:rPr>
                <w:b/>
                <w:i/>
                <w:sz w:val="20"/>
                <w:szCs w:val="20"/>
              </w:rPr>
              <w:t>NOTE:</w:t>
            </w:r>
            <w:r w:rsidRPr="00A03CB5">
              <w:rPr>
                <w:i/>
                <w:sz w:val="20"/>
                <w:szCs w:val="20"/>
              </w:rPr>
              <w:t xml:space="preserve"> Aluminum alloy 6351A or equivalent shall not be used</w:t>
            </w:r>
          </w:p>
        </w:tc>
        <w:tc>
          <w:tcPr>
            <w:tcW w:w="1659" w:type="dxa"/>
            <w:tcMar>
              <w:top w:w="0" w:type="dxa"/>
              <w:left w:w="108" w:type="dxa"/>
              <w:bottom w:w="0" w:type="dxa"/>
              <w:right w:w="108" w:type="dxa"/>
            </w:tcMar>
          </w:tcPr>
          <w:p w:rsidR="005573FF" w:rsidRPr="00A03CB5" w:rsidRDefault="005573FF" w:rsidP="001E426F">
            <w:pPr>
              <w:rPr>
                <w:iCs/>
              </w:rPr>
            </w:pPr>
            <w:r w:rsidRPr="00A03CB5">
              <w:rPr>
                <w:iCs/>
              </w:rPr>
              <w:t>Until further notice</w:t>
            </w:r>
          </w:p>
        </w:tc>
      </w:tr>
    </w:tbl>
    <w:p w:rsidR="005573FF" w:rsidRDefault="005573FF" w:rsidP="005573FF">
      <w:pPr>
        <w:pStyle w:val="SingleTxtG"/>
        <w:spacing w:before="120"/>
        <w:ind w:left="1138" w:right="1138"/>
        <w:rPr>
          <w:i/>
          <w:iCs/>
          <w:lang w:val="fr-CH"/>
        </w:rPr>
      </w:pPr>
      <w:r w:rsidRPr="00996742">
        <w:rPr>
          <w:i/>
          <w:iCs/>
          <w:lang w:val="fr-CH"/>
        </w:rPr>
        <w:t xml:space="preserve">(Reference </w:t>
      </w:r>
      <w:proofErr w:type="gramStart"/>
      <w:r w:rsidRPr="00996742">
        <w:rPr>
          <w:i/>
          <w:iCs/>
          <w:lang w:val="fr-CH"/>
        </w:rPr>
        <w:t>document:</w:t>
      </w:r>
      <w:proofErr w:type="gramEnd"/>
      <w:r w:rsidRPr="00996742">
        <w:rPr>
          <w:i/>
          <w:iCs/>
          <w:lang w:val="fr-CH"/>
        </w:rPr>
        <w:t xml:space="preserve"> </w:t>
      </w:r>
      <w:proofErr w:type="spellStart"/>
      <w:r w:rsidRPr="00996742">
        <w:rPr>
          <w:i/>
          <w:iCs/>
          <w:lang w:val="fr-CH"/>
        </w:rPr>
        <w:t>informal</w:t>
      </w:r>
      <w:proofErr w:type="spellEnd"/>
      <w:r w:rsidRPr="00996742">
        <w:rPr>
          <w:i/>
          <w:iCs/>
          <w:lang w:val="fr-CH"/>
        </w:rPr>
        <w:t xml:space="preserve"> document INF.18)</w:t>
      </w:r>
    </w:p>
    <w:p w:rsidR="005573FF" w:rsidRDefault="005573FF" w:rsidP="005573FF">
      <w:pPr>
        <w:pStyle w:val="SingleTxtG"/>
      </w:pPr>
      <w:r>
        <w:t>6.2.2.1.3</w:t>
      </w:r>
      <w:r>
        <w:tab/>
        <w:t>Amend the headline of the second table to read as follows:</w:t>
      </w:r>
    </w:p>
    <w:p w:rsidR="005573FF" w:rsidRDefault="005573FF" w:rsidP="005573FF">
      <w:pPr>
        <w:pStyle w:val="SingleTxtG"/>
      </w:pPr>
      <w:r>
        <w:t>“For the acetylene cylinder including the porous material”.</w:t>
      </w:r>
    </w:p>
    <w:p w:rsidR="005573FF" w:rsidRPr="001B36C9" w:rsidRDefault="005573FF" w:rsidP="005573FF">
      <w:pPr>
        <w:pStyle w:val="SingleTxtG"/>
        <w:rPr>
          <w:i/>
          <w:iCs/>
          <w:lang w:val="en-US"/>
        </w:rPr>
      </w:pPr>
      <w:r w:rsidRPr="001B36C9">
        <w:rPr>
          <w:i/>
          <w:iCs/>
          <w:lang w:val="en-US"/>
        </w:rPr>
        <w:t xml:space="preserve">(Reference document: </w:t>
      </w:r>
      <w:r w:rsidR="006E13CD" w:rsidRPr="00BB39ED">
        <w:rPr>
          <w:i/>
          <w:iCs/>
        </w:rPr>
        <w:t>ST/SG/AC.10/C.3/2018/</w:t>
      </w:r>
      <w:r w:rsidR="006E13CD">
        <w:rPr>
          <w:i/>
          <w:iCs/>
        </w:rPr>
        <w:t xml:space="preserve">8 and </w:t>
      </w:r>
      <w:r w:rsidRPr="001B36C9">
        <w:rPr>
          <w:i/>
          <w:iCs/>
          <w:lang w:val="en-US"/>
        </w:rPr>
        <w:t>informal document INF.36)</w:t>
      </w:r>
    </w:p>
    <w:p w:rsidR="005573FF" w:rsidRDefault="005573FF" w:rsidP="005573FF">
      <w:pPr>
        <w:pStyle w:val="SingleTxtG"/>
        <w:spacing w:before="120"/>
        <w:ind w:left="1138" w:right="1138"/>
      </w:pPr>
      <w:r>
        <w:t xml:space="preserve">6.2.2.3 </w:t>
      </w:r>
      <w:r>
        <w:tab/>
        <w:t xml:space="preserve">In the row for ISO 14246:2014 replace “Until further notice” with “Until 31 December 2024”. Insert the following new row after ISO 14246:2014: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573FF" w:rsidRPr="00AA6F5C" w:rsidTr="001E426F">
        <w:tc>
          <w:tcPr>
            <w:tcW w:w="1544" w:type="dxa"/>
            <w:shd w:val="clear" w:color="auto" w:fill="auto"/>
          </w:tcPr>
          <w:p w:rsidR="005573FF" w:rsidRPr="00AA6F5C" w:rsidRDefault="005573FF" w:rsidP="001E426F">
            <w:pPr>
              <w:spacing w:before="120" w:after="120"/>
            </w:pPr>
            <w:r>
              <w:t>ISO 14246</w:t>
            </w:r>
            <w:r w:rsidRPr="00AA6F5C">
              <w:t>:201</w:t>
            </w:r>
            <w:r>
              <w:t xml:space="preserve">4 + </w:t>
            </w:r>
            <w:proofErr w:type="spellStart"/>
            <w:r>
              <w:t>Amd</w:t>
            </w:r>
            <w:proofErr w:type="spellEnd"/>
            <w:r>
              <w:t xml:space="preserve"> 1:2017</w:t>
            </w:r>
            <w:r w:rsidRPr="00AA6F5C">
              <w:t xml:space="preserve"> </w:t>
            </w:r>
          </w:p>
        </w:tc>
        <w:tc>
          <w:tcPr>
            <w:tcW w:w="4820" w:type="dxa"/>
            <w:shd w:val="clear" w:color="auto" w:fill="auto"/>
          </w:tcPr>
          <w:p w:rsidR="005573FF" w:rsidRPr="00AA6F5C" w:rsidRDefault="005573FF" w:rsidP="001E426F">
            <w:pPr>
              <w:spacing w:before="120" w:after="120"/>
            </w:pPr>
            <w:r w:rsidRPr="00AA6F5C">
              <w:t xml:space="preserve">Gas cylinders – </w:t>
            </w:r>
            <w:r>
              <w:rPr>
                <w:lang w:val="en-US"/>
              </w:rPr>
              <w:t>Cylinder valves –</w:t>
            </w:r>
            <w:r w:rsidRPr="001A3501">
              <w:rPr>
                <w:lang w:val="en-US"/>
              </w:rPr>
              <w:t xml:space="preserve"> Manufacturing tests and examinations</w:t>
            </w:r>
          </w:p>
        </w:tc>
        <w:tc>
          <w:tcPr>
            <w:tcW w:w="1275" w:type="dxa"/>
            <w:shd w:val="clear" w:color="auto" w:fill="auto"/>
          </w:tcPr>
          <w:p w:rsidR="005573FF" w:rsidRPr="00AA6F5C" w:rsidRDefault="005573FF" w:rsidP="001E426F">
            <w:pPr>
              <w:spacing w:before="120" w:after="120"/>
            </w:pPr>
            <w:r w:rsidRPr="00AA6F5C">
              <w:t>Until further notice</w:t>
            </w:r>
          </w:p>
        </w:tc>
      </w:tr>
    </w:tbl>
    <w:p w:rsidR="005573FF" w:rsidRDefault="005573FF" w:rsidP="005573FF">
      <w:pPr>
        <w:pStyle w:val="SingleTxtG"/>
        <w:spacing w:before="120"/>
        <w:ind w:left="1138" w:right="1138"/>
        <w:rPr>
          <w:i/>
          <w:iCs/>
        </w:rPr>
      </w:pPr>
      <w:r w:rsidRPr="00CC56EE">
        <w:rPr>
          <w:i/>
          <w:iCs/>
        </w:rPr>
        <w:t xml:space="preserve">(Reference document, ST/SG/AC.10/C.3/2018/23, proposal </w:t>
      </w:r>
      <w:r>
        <w:rPr>
          <w:i/>
          <w:iCs/>
        </w:rPr>
        <w:t>3</w:t>
      </w:r>
      <w:r w:rsidRPr="00CC56EE">
        <w:rPr>
          <w:i/>
          <w:iCs/>
        </w:rPr>
        <w:t>)</w:t>
      </w:r>
    </w:p>
    <w:p w:rsidR="005573FF" w:rsidRDefault="005573FF" w:rsidP="005573FF">
      <w:pPr>
        <w:spacing w:after="120"/>
        <w:ind w:left="1134" w:right="1134"/>
        <w:jc w:val="both"/>
      </w:pPr>
      <w:r w:rsidRPr="00E06187">
        <w:t xml:space="preserve">6.2.2.4 </w:t>
      </w:r>
      <w:r>
        <w:tab/>
        <w:t>A</w:t>
      </w:r>
      <w:r w:rsidRPr="00E06187">
        <w:t>dd a new row at the end of the first table im</w:t>
      </w:r>
      <w:r>
        <w:t>mediately after the row for</w:t>
      </w:r>
      <w:r w:rsidRPr="00E06187">
        <w:t xml:space="preserve"> ISO 22434:2006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573FF" w:rsidRPr="00AA6F5C" w:rsidTr="001E426F">
        <w:tc>
          <w:tcPr>
            <w:tcW w:w="1544" w:type="dxa"/>
            <w:shd w:val="clear" w:color="auto" w:fill="auto"/>
          </w:tcPr>
          <w:p w:rsidR="005573FF" w:rsidRPr="00AA6F5C" w:rsidRDefault="005573FF" w:rsidP="001E426F">
            <w:r>
              <w:t>ISO 20475</w:t>
            </w:r>
            <w:r w:rsidRPr="00AA6F5C">
              <w:t>:201</w:t>
            </w:r>
            <w:r>
              <w:t>8</w:t>
            </w:r>
          </w:p>
        </w:tc>
        <w:tc>
          <w:tcPr>
            <w:tcW w:w="4820" w:type="dxa"/>
            <w:shd w:val="clear" w:color="auto" w:fill="auto"/>
          </w:tcPr>
          <w:p w:rsidR="005573FF" w:rsidRPr="00AA6F5C" w:rsidRDefault="005573FF" w:rsidP="001E426F">
            <w:r w:rsidRPr="00F009F4">
              <w:rPr>
                <w:lang w:val="en-US"/>
              </w:rPr>
              <w:t>G</w:t>
            </w:r>
            <w:r>
              <w:rPr>
                <w:lang w:val="en-US"/>
              </w:rPr>
              <w:t>as cylinders – Cylinder bundles –</w:t>
            </w:r>
            <w:r w:rsidRPr="00F009F4">
              <w:rPr>
                <w:lang w:val="en-US"/>
              </w:rPr>
              <w:t xml:space="preserve"> Periodic inspection and testing</w:t>
            </w:r>
          </w:p>
        </w:tc>
        <w:tc>
          <w:tcPr>
            <w:tcW w:w="1275" w:type="dxa"/>
            <w:shd w:val="clear" w:color="auto" w:fill="auto"/>
          </w:tcPr>
          <w:p w:rsidR="005573FF" w:rsidRPr="00AA6F5C" w:rsidRDefault="005573FF" w:rsidP="001E426F">
            <w:r w:rsidRPr="00AA6F5C">
              <w:t>Until further notice</w:t>
            </w:r>
          </w:p>
        </w:tc>
      </w:tr>
    </w:tbl>
    <w:p w:rsidR="005573FF" w:rsidRDefault="005573FF" w:rsidP="005573FF">
      <w:pPr>
        <w:pStyle w:val="SingleTxtG"/>
        <w:spacing w:before="120"/>
        <w:ind w:left="1138" w:right="1138"/>
        <w:rPr>
          <w:i/>
          <w:iCs/>
        </w:rPr>
      </w:pPr>
      <w:r w:rsidRPr="00CC56EE">
        <w:rPr>
          <w:i/>
          <w:iCs/>
        </w:rPr>
        <w:t xml:space="preserve">(Reference document, ST/SG/AC.10/C.3/2018/23, proposal </w:t>
      </w:r>
      <w:r>
        <w:rPr>
          <w:i/>
          <w:iCs/>
        </w:rPr>
        <w:t>5</w:t>
      </w:r>
      <w:r w:rsidRPr="00CC56EE">
        <w:rPr>
          <w:i/>
          <w:iCs/>
        </w:rPr>
        <w:t>)</w:t>
      </w:r>
    </w:p>
    <w:p w:rsidR="005573FF" w:rsidRDefault="005573FF" w:rsidP="005573FF">
      <w:pPr>
        <w:pStyle w:val="SingleTxtG"/>
      </w:pPr>
      <w:r>
        <w:t xml:space="preserve">6.2.2.4 </w:t>
      </w:r>
      <w:r>
        <w:tab/>
        <w:t>Delete the row for ISO 10462:2005.</w:t>
      </w:r>
    </w:p>
    <w:p w:rsidR="005573FF" w:rsidRDefault="005573FF" w:rsidP="005573FF">
      <w:pPr>
        <w:pStyle w:val="SingleTxtG"/>
        <w:spacing w:before="120"/>
        <w:ind w:left="1138" w:right="1138"/>
        <w:rPr>
          <w:i/>
          <w:iCs/>
        </w:rPr>
      </w:pPr>
      <w:r w:rsidRPr="00CC56EE">
        <w:rPr>
          <w:i/>
          <w:iCs/>
        </w:rPr>
        <w:t xml:space="preserve">(Reference document, ST/SG/AC.10/C.3/2018/23, proposal </w:t>
      </w:r>
      <w:r>
        <w:rPr>
          <w:i/>
          <w:iCs/>
        </w:rPr>
        <w:t>6</w:t>
      </w:r>
      <w:r w:rsidRPr="00CC56EE">
        <w:rPr>
          <w:i/>
          <w:iCs/>
        </w:rPr>
        <w:t>)</w:t>
      </w:r>
    </w:p>
    <w:p w:rsidR="005573FF" w:rsidRDefault="005573FF" w:rsidP="005573FF">
      <w:pPr>
        <w:pStyle w:val="SingleTxtG"/>
      </w:pPr>
      <w:r>
        <w:t>6.2.2.7.2 (c)</w:t>
      </w:r>
      <w:r>
        <w:tab/>
        <w:t>Add the following new Note:</w:t>
      </w:r>
    </w:p>
    <w:p w:rsidR="005573FF" w:rsidRDefault="005573FF" w:rsidP="005573FF">
      <w:pPr>
        <w:pStyle w:val="SingleTxtG"/>
      </w:pPr>
      <w:r w:rsidRPr="00A51879">
        <w:t>“</w:t>
      </w:r>
      <w:r w:rsidRPr="006C2279">
        <w:rPr>
          <w:b/>
          <w:bCs/>
          <w:i/>
          <w:iCs/>
        </w:rPr>
        <w:t>NOTE:</w:t>
      </w:r>
      <w:r w:rsidRPr="00A51879">
        <w:t xml:space="preserve"> </w:t>
      </w:r>
      <w:r>
        <w:tab/>
      </w:r>
      <w:r w:rsidRPr="00A51879">
        <w:t xml:space="preserve">For the purpose of this mark the country of approval </w:t>
      </w:r>
      <w:r>
        <w:t>means</w:t>
      </w:r>
      <w:r w:rsidRPr="00A51879">
        <w:t xml:space="preserve"> the country of the competent authority that authorized the initial inspection and test of the individual receptacle at the time of manufacture.”.</w:t>
      </w:r>
    </w:p>
    <w:p w:rsidR="005573FF" w:rsidRPr="001B36C9" w:rsidRDefault="005573FF" w:rsidP="005573FF">
      <w:pPr>
        <w:pStyle w:val="SingleTxtG"/>
        <w:rPr>
          <w:i/>
          <w:iCs/>
          <w:lang w:val="en-US"/>
        </w:rPr>
      </w:pPr>
      <w:r w:rsidRPr="001B36C9">
        <w:rPr>
          <w:i/>
          <w:iCs/>
          <w:lang w:val="en-US"/>
        </w:rPr>
        <w:t xml:space="preserve">(Reference document: </w:t>
      </w:r>
      <w:r w:rsidR="006E13CD" w:rsidRPr="00BB39ED">
        <w:rPr>
          <w:i/>
          <w:iCs/>
        </w:rPr>
        <w:t>ST/SG/AC.10/C.3/2018/</w:t>
      </w:r>
      <w:r w:rsidR="006E13CD">
        <w:rPr>
          <w:i/>
          <w:iCs/>
        </w:rPr>
        <w:t xml:space="preserve">22 and </w:t>
      </w:r>
      <w:r w:rsidRPr="001B36C9">
        <w:rPr>
          <w:i/>
          <w:iCs/>
          <w:lang w:val="en-US"/>
        </w:rPr>
        <w:t>informal document INF.57)</w:t>
      </w:r>
    </w:p>
    <w:p w:rsidR="005573FF" w:rsidRDefault="005573FF" w:rsidP="005573FF">
      <w:pPr>
        <w:pStyle w:val="SingleTxtG"/>
      </w:pPr>
      <w:r>
        <w:t>6.2.2.9.2 (c)</w:t>
      </w:r>
      <w:r>
        <w:tab/>
        <w:t>Add the following new Note:</w:t>
      </w:r>
    </w:p>
    <w:p w:rsidR="005573FF" w:rsidRDefault="005573FF" w:rsidP="005573FF">
      <w:pPr>
        <w:pStyle w:val="SingleTxtG"/>
      </w:pPr>
      <w:r w:rsidRPr="00A51879">
        <w:t>“</w:t>
      </w:r>
      <w:r w:rsidRPr="006C2279">
        <w:rPr>
          <w:b/>
          <w:bCs/>
          <w:i/>
          <w:iCs/>
        </w:rPr>
        <w:t>NOTE:</w:t>
      </w:r>
      <w:r w:rsidRPr="00A51879">
        <w:t xml:space="preserve"> </w:t>
      </w:r>
      <w:r>
        <w:tab/>
      </w:r>
      <w:r w:rsidRPr="00A51879">
        <w:t xml:space="preserve">For the purpose of this mark the country of </w:t>
      </w:r>
      <w:proofErr w:type="spellStart"/>
      <w:r w:rsidRPr="00A51879">
        <w:t>approval</w:t>
      </w:r>
      <w:r>
        <w:t>means</w:t>
      </w:r>
      <w:proofErr w:type="spellEnd"/>
      <w:r w:rsidRPr="00A51879">
        <w:t xml:space="preserve"> the country of the competent authority that authorized the initial inspection and test of the individual </w:t>
      </w:r>
      <w:r>
        <w:t>system</w:t>
      </w:r>
      <w:r w:rsidRPr="00A51879">
        <w:t xml:space="preserve"> at the time of manufacture.”.</w:t>
      </w:r>
    </w:p>
    <w:p w:rsidR="005573FF" w:rsidRPr="00E96385" w:rsidRDefault="005573FF" w:rsidP="005573FF">
      <w:pPr>
        <w:pStyle w:val="SingleTxtG"/>
        <w:rPr>
          <w:i/>
          <w:iCs/>
          <w:lang w:val="en-US"/>
        </w:rPr>
      </w:pPr>
      <w:r w:rsidRPr="00E96385">
        <w:rPr>
          <w:i/>
          <w:iCs/>
          <w:lang w:val="en-US"/>
        </w:rPr>
        <w:t xml:space="preserve">(Reference document: </w:t>
      </w:r>
      <w:r w:rsidR="006E13CD" w:rsidRPr="00BB39ED">
        <w:rPr>
          <w:i/>
          <w:iCs/>
        </w:rPr>
        <w:t>ST/SG/AC.10/C.3/2018/</w:t>
      </w:r>
      <w:r w:rsidR="006E13CD">
        <w:rPr>
          <w:i/>
          <w:iCs/>
        </w:rPr>
        <w:t xml:space="preserve">22 and </w:t>
      </w:r>
      <w:r w:rsidRPr="00E96385">
        <w:rPr>
          <w:i/>
          <w:iCs/>
          <w:lang w:val="en-US"/>
        </w:rPr>
        <w:t>informal document INF.57, consequential amendment)</w:t>
      </w:r>
    </w:p>
    <w:p w:rsidR="005573FF" w:rsidRPr="00E96385" w:rsidRDefault="005573FF" w:rsidP="004C12CE">
      <w:pPr>
        <w:pStyle w:val="H1G"/>
        <w:rPr>
          <w:lang w:val="en-US"/>
        </w:rPr>
      </w:pPr>
      <w:r>
        <w:rPr>
          <w:lang w:val="en-US"/>
        </w:rPr>
        <w:tab/>
      </w:r>
      <w:r>
        <w:rPr>
          <w:lang w:val="en-US"/>
        </w:rPr>
        <w:tab/>
      </w:r>
      <w:r w:rsidRPr="00E96385">
        <w:rPr>
          <w:lang w:val="en-US"/>
        </w:rPr>
        <w:t>Chapter 6.3</w:t>
      </w:r>
    </w:p>
    <w:p w:rsidR="005573FF" w:rsidRPr="006D6188" w:rsidRDefault="005573FF" w:rsidP="005573FF">
      <w:pPr>
        <w:pStyle w:val="SingleTxtG"/>
        <w:rPr>
          <w:lang w:val="en-US"/>
        </w:rPr>
      </w:pPr>
      <w:r w:rsidRPr="006D6188">
        <w:rPr>
          <w:lang w:val="en-US"/>
        </w:rPr>
        <w:t>6.3.5.2.2</w:t>
      </w:r>
      <w:r w:rsidRPr="006D6188">
        <w:rPr>
          <w:lang w:val="en-US"/>
        </w:rPr>
        <w:tab/>
        <w:t xml:space="preserve">In </w:t>
      </w:r>
      <w:r>
        <w:rPr>
          <w:lang w:val="en-US"/>
        </w:rPr>
        <w:t>“</w:t>
      </w:r>
      <w:r w:rsidRPr="006D6188">
        <w:rPr>
          <w:i/>
          <w:iCs/>
          <w:lang w:val="en-US"/>
        </w:rPr>
        <w:t>Explanation for use of the table</w:t>
      </w:r>
      <w:r>
        <w:rPr>
          <w:i/>
          <w:iCs/>
          <w:lang w:val="en-US"/>
        </w:rPr>
        <w:t>”</w:t>
      </w:r>
      <w:r w:rsidRPr="006D6188">
        <w:rPr>
          <w:lang w:val="en-US"/>
        </w:rPr>
        <w:t>,</w:t>
      </w:r>
      <w:r>
        <w:rPr>
          <w:lang w:val="en-US"/>
        </w:rPr>
        <w:t xml:space="preserve"> at the end of the first paragraph, delete “five times after conditioning”.</w:t>
      </w:r>
      <w:r w:rsidRPr="006D6188">
        <w:rPr>
          <w:lang w:val="en-US"/>
        </w:rPr>
        <w:t xml:space="preserve"> </w:t>
      </w:r>
    </w:p>
    <w:p w:rsidR="005573FF" w:rsidRPr="001B36C9" w:rsidRDefault="007405ED" w:rsidP="005573FF">
      <w:pPr>
        <w:pStyle w:val="SingleTxtG"/>
        <w:rPr>
          <w:i/>
          <w:iCs/>
          <w:lang w:val="en-US"/>
        </w:rPr>
      </w:pPr>
      <w:r>
        <w:rPr>
          <w:i/>
          <w:iCs/>
          <w:lang w:val="en-US"/>
        </w:rPr>
        <w:t>(Reference document</w:t>
      </w:r>
      <w:r w:rsidR="005573FF" w:rsidRPr="001B36C9">
        <w:rPr>
          <w:i/>
          <w:iCs/>
          <w:lang w:val="en-US"/>
        </w:rPr>
        <w:t>:</w:t>
      </w:r>
      <w:r w:rsidR="006E13CD" w:rsidRPr="006E13CD">
        <w:rPr>
          <w:i/>
          <w:iCs/>
        </w:rPr>
        <w:t xml:space="preserve"> </w:t>
      </w:r>
      <w:r w:rsidR="006E13CD" w:rsidRPr="00BB39ED">
        <w:rPr>
          <w:i/>
          <w:iCs/>
        </w:rPr>
        <w:t>ST/SG/AC.10/C.3/2018/</w:t>
      </w:r>
      <w:r w:rsidR="006E13CD">
        <w:rPr>
          <w:i/>
          <w:iCs/>
        </w:rPr>
        <w:t xml:space="preserve">25 and </w:t>
      </w:r>
      <w:r w:rsidR="005573FF" w:rsidRPr="001B36C9">
        <w:rPr>
          <w:i/>
          <w:iCs/>
          <w:lang w:val="en-US"/>
        </w:rPr>
        <w:t>informal document INF.59)</w:t>
      </w:r>
    </w:p>
    <w:p w:rsidR="005573FF" w:rsidRPr="006D6188" w:rsidRDefault="005573FF" w:rsidP="005573FF">
      <w:pPr>
        <w:pStyle w:val="SingleTxtG"/>
        <w:rPr>
          <w:lang w:val="en-US"/>
        </w:rPr>
      </w:pPr>
      <w:r w:rsidRPr="006D6188">
        <w:rPr>
          <w:lang w:val="en-US"/>
        </w:rPr>
        <w:t>6.3.5.3.1</w:t>
      </w:r>
      <w:r w:rsidRPr="006D6188">
        <w:rPr>
          <w:lang w:val="en-US"/>
        </w:rPr>
        <w:tab/>
        <w:t>Add the follow</w:t>
      </w:r>
      <w:r w:rsidR="007405ED">
        <w:rPr>
          <w:lang w:val="en-US"/>
        </w:rPr>
        <w:t>ing new title to this paragraph</w:t>
      </w:r>
      <w:r w:rsidRPr="006D6188">
        <w:rPr>
          <w:lang w:val="en-US"/>
        </w:rPr>
        <w:t xml:space="preserve">: </w:t>
      </w:r>
      <w:r>
        <w:rPr>
          <w:lang w:val="en-US"/>
        </w:rPr>
        <w:t>“Drop height and target”.</w:t>
      </w:r>
    </w:p>
    <w:p w:rsidR="005573FF" w:rsidRPr="001B36C9" w:rsidRDefault="007405ED" w:rsidP="005573FF">
      <w:pPr>
        <w:pStyle w:val="SingleTxtG"/>
        <w:rPr>
          <w:i/>
          <w:iCs/>
          <w:lang w:val="en-US"/>
        </w:rPr>
      </w:pPr>
      <w:r>
        <w:rPr>
          <w:i/>
          <w:iCs/>
          <w:lang w:val="en-US"/>
        </w:rPr>
        <w:t>(Reference document</w:t>
      </w:r>
      <w:r w:rsidR="005573FF" w:rsidRPr="001B36C9">
        <w:rPr>
          <w:i/>
          <w:iCs/>
          <w:lang w:val="en-US"/>
        </w:rPr>
        <w:t>:</w:t>
      </w:r>
      <w:r w:rsidR="00250E34" w:rsidRPr="00250E34">
        <w:rPr>
          <w:i/>
          <w:iCs/>
        </w:rPr>
        <w:t xml:space="preserve"> </w:t>
      </w:r>
      <w:r w:rsidR="00250E34" w:rsidRPr="00BB39ED">
        <w:rPr>
          <w:i/>
          <w:iCs/>
        </w:rPr>
        <w:t>ST/SG/AC.10/C.3/2018/</w:t>
      </w:r>
      <w:r w:rsidR="00250E34">
        <w:rPr>
          <w:i/>
          <w:iCs/>
        </w:rPr>
        <w:t>25 and</w:t>
      </w:r>
      <w:r w:rsidR="005573FF" w:rsidRPr="001B36C9">
        <w:rPr>
          <w:i/>
          <w:iCs/>
          <w:lang w:val="en-US"/>
        </w:rPr>
        <w:t xml:space="preserve"> informal document INF.59)</w:t>
      </w:r>
    </w:p>
    <w:p w:rsidR="005573FF" w:rsidRPr="006D6188" w:rsidRDefault="005573FF" w:rsidP="005573FF">
      <w:pPr>
        <w:pStyle w:val="SingleTxtG"/>
        <w:rPr>
          <w:lang w:val="en-US"/>
        </w:rPr>
      </w:pPr>
      <w:r w:rsidRPr="006D6188">
        <w:rPr>
          <w:lang w:val="en-US"/>
        </w:rPr>
        <w:t>6.3.5.3.2</w:t>
      </w:r>
      <w:r w:rsidRPr="006D6188">
        <w:rPr>
          <w:lang w:val="en-US"/>
        </w:rPr>
        <w:tab/>
        <w:t>Add the follow</w:t>
      </w:r>
      <w:r w:rsidR="007405ED">
        <w:rPr>
          <w:lang w:val="en-US"/>
        </w:rPr>
        <w:t>ing new title to this paragraph</w:t>
      </w:r>
      <w:r w:rsidRPr="006D6188">
        <w:rPr>
          <w:lang w:val="en-US"/>
        </w:rPr>
        <w:t xml:space="preserve">: </w:t>
      </w:r>
      <w:r>
        <w:rPr>
          <w:lang w:val="en-US"/>
        </w:rPr>
        <w:t>“</w:t>
      </w:r>
      <w:r w:rsidRPr="006D6188">
        <w:rPr>
          <w:lang w:val="en-US"/>
        </w:rPr>
        <w:t>Number of test samples and drop orientation</w:t>
      </w:r>
      <w:r>
        <w:rPr>
          <w:lang w:val="en-US"/>
        </w:rPr>
        <w:t>”. Renumber the text under this paragraph as “6.3.5.3.2.1”.</w:t>
      </w:r>
    </w:p>
    <w:p w:rsidR="005573FF" w:rsidRPr="006F6681" w:rsidRDefault="007405ED" w:rsidP="005573FF">
      <w:pPr>
        <w:pStyle w:val="SingleTxtG"/>
        <w:rPr>
          <w:i/>
          <w:iCs/>
          <w:lang w:val="en-US"/>
        </w:rPr>
      </w:pPr>
      <w:r>
        <w:rPr>
          <w:i/>
          <w:iCs/>
          <w:lang w:val="en-US"/>
        </w:rPr>
        <w:t>(Reference document</w:t>
      </w:r>
      <w:r w:rsidR="005573FF" w:rsidRPr="006F6681">
        <w:rPr>
          <w:i/>
          <w:iCs/>
          <w:lang w:val="en-US"/>
        </w:rPr>
        <w:t xml:space="preserve">: </w:t>
      </w:r>
      <w:r w:rsidR="00250E34" w:rsidRPr="00BB39ED">
        <w:rPr>
          <w:i/>
          <w:iCs/>
        </w:rPr>
        <w:t>ST/SG/AC.10/C.3/2018/</w:t>
      </w:r>
      <w:r w:rsidR="00250E34">
        <w:rPr>
          <w:i/>
          <w:iCs/>
        </w:rPr>
        <w:t xml:space="preserve">25 and </w:t>
      </w:r>
      <w:r w:rsidR="005573FF" w:rsidRPr="006F6681">
        <w:rPr>
          <w:i/>
          <w:iCs/>
          <w:lang w:val="en-US"/>
        </w:rPr>
        <w:t>informal document INF.59, as amended)</w:t>
      </w:r>
    </w:p>
    <w:p w:rsidR="005573FF" w:rsidRPr="00C87103" w:rsidRDefault="005573FF" w:rsidP="005573FF">
      <w:pPr>
        <w:pStyle w:val="SingleTxtG"/>
        <w:rPr>
          <w:lang w:val="en-US"/>
        </w:rPr>
      </w:pPr>
      <w:r w:rsidRPr="00C87103">
        <w:rPr>
          <w:lang w:val="en-US"/>
        </w:rPr>
        <w:t>6.3.5.3.3</w:t>
      </w:r>
      <w:r w:rsidRPr="00C87103">
        <w:rPr>
          <w:lang w:val="en-US"/>
        </w:rPr>
        <w:tab/>
        <w:t>Renumber as 6.3.5.3.2.2.</w:t>
      </w:r>
    </w:p>
    <w:p w:rsidR="005573FF" w:rsidRPr="00195F87" w:rsidRDefault="007405ED" w:rsidP="005573FF">
      <w:pPr>
        <w:pStyle w:val="SingleTxtG"/>
        <w:rPr>
          <w:i/>
          <w:iCs/>
          <w:lang w:val="en-US"/>
        </w:rPr>
      </w:pPr>
      <w:r>
        <w:rPr>
          <w:i/>
          <w:iCs/>
          <w:lang w:val="en-US"/>
        </w:rPr>
        <w:t>(Reference document</w:t>
      </w:r>
      <w:r w:rsidR="005573FF" w:rsidRPr="00195F87">
        <w:rPr>
          <w:i/>
          <w:iCs/>
          <w:lang w:val="en-US"/>
        </w:rPr>
        <w:t>:</w:t>
      </w:r>
      <w:r w:rsidR="00250E34" w:rsidRPr="00250E34">
        <w:rPr>
          <w:i/>
          <w:iCs/>
        </w:rPr>
        <w:t xml:space="preserve"> </w:t>
      </w:r>
      <w:r w:rsidR="00250E34" w:rsidRPr="00BB39ED">
        <w:rPr>
          <w:i/>
          <w:iCs/>
        </w:rPr>
        <w:t>ST/SG/AC.10/C.3/2018/</w:t>
      </w:r>
      <w:r w:rsidR="00250E34">
        <w:rPr>
          <w:i/>
          <w:iCs/>
        </w:rPr>
        <w:t xml:space="preserve">25 and </w:t>
      </w:r>
      <w:r w:rsidR="005573FF" w:rsidRPr="00195F87">
        <w:rPr>
          <w:i/>
          <w:iCs/>
          <w:lang w:val="en-US"/>
        </w:rPr>
        <w:t>informal document INF.59, as amended)</w:t>
      </w:r>
    </w:p>
    <w:p w:rsidR="005573FF" w:rsidRPr="00C87103" w:rsidRDefault="005573FF" w:rsidP="005573FF">
      <w:pPr>
        <w:spacing w:before="120" w:after="120" w:line="240" w:lineRule="auto"/>
        <w:ind w:left="1134" w:right="1134"/>
        <w:jc w:val="both"/>
        <w:rPr>
          <w:lang w:val="en-US"/>
        </w:rPr>
      </w:pPr>
      <w:r w:rsidRPr="004F116A">
        <w:rPr>
          <w:lang w:val="en-US"/>
        </w:rPr>
        <w:t>Renumber paragraphs 6.3.5.3.4, 6.3.5.3.5, 6.3.5.3.6, 6.3.5.3.6.1, 6.3.5.3.6.2 and 6.3.5.3.6.3 as 6.3.5.3.3, 6.3.5.3.4, 6.3.5.3.5, 6.3.5.3.5.1, 6.3.5.3.5.2 an</w:t>
      </w:r>
      <w:r>
        <w:rPr>
          <w:lang w:val="en-US"/>
        </w:rPr>
        <w:t>d</w:t>
      </w:r>
      <w:r w:rsidRPr="004F116A">
        <w:rPr>
          <w:lang w:val="en-US"/>
        </w:rPr>
        <w:t xml:space="preserve"> 6.3.5.3.5.3, </w:t>
      </w:r>
      <w:r>
        <w:rPr>
          <w:lang w:val="en-US"/>
        </w:rPr>
        <w:t>respectively</w:t>
      </w:r>
      <w:r w:rsidRPr="004F116A">
        <w:rPr>
          <w:lang w:val="en-US"/>
        </w:rPr>
        <w:t xml:space="preserve">. </w:t>
      </w:r>
      <w:r w:rsidRPr="00C87103">
        <w:rPr>
          <w:lang w:val="en-US"/>
        </w:rPr>
        <w:t xml:space="preserve">Adapt the cross references accordingly as follows: </w:t>
      </w:r>
    </w:p>
    <w:p w:rsidR="005573FF" w:rsidRPr="006D6188" w:rsidRDefault="005573FF" w:rsidP="005573FF">
      <w:pPr>
        <w:spacing w:before="120" w:after="120" w:line="240" w:lineRule="auto"/>
        <w:ind w:left="1134" w:right="1134"/>
        <w:jc w:val="both"/>
        <w:rPr>
          <w:lang w:val="en-US"/>
        </w:rPr>
      </w:pPr>
      <w:r w:rsidRPr="006D6188">
        <w:rPr>
          <w:lang w:val="en-US"/>
        </w:rPr>
        <w:t>In 6.3.5.2.2, in the table, under</w:t>
      </w:r>
      <w:r>
        <w:rPr>
          <w:lang w:val="en-US"/>
        </w:rPr>
        <w:t xml:space="preserve"> “Explanation for the use of the table”</w:t>
      </w:r>
      <w:r w:rsidRPr="006D6188">
        <w:rPr>
          <w:iCs/>
          <w:w w:val="105"/>
          <w:lang w:val="en-US"/>
        </w:rPr>
        <w:t>, replace</w:t>
      </w:r>
      <w:r>
        <w:rPr>
          <w:iCs/>
          <w:w w:val="105"/>
          <w:lang w:val="en-US"/>
        </w:rPr>
        <w:t xml:space="preserve"> “</w:t>
      </w:r>
      <w:r w:rsidRPr="006D6188">
        <w:rPr>
          <w:lang w:val="en-US"/>
        </w:rPr>
        <w:t>6.3.5.3.6.1</w:t>
      </w:r>
      <w:r>
        <w:rPr>
          <w:lang w:val="en-US"/>
        </w:rPr>
        <w:t>”</w:t>
      </w:r>
      <w:r w:rsidRPr="006D6188">
        <w:rPr>
          <w:lang w:val="en-US"/>
        </w:rPr>
        <w:t xml:space="preserve">, </w:t>
      </w:r>
      <w:r>
        <w:rPr>
          <w:lang w:val="en-US"/>
        </w:rPr>
        <w:t>“</w:t>
      </w:r>
      <w:r w:rsidRPr="006D6188">
        <w:rPr>
          <w:lang w:val="en-US"/>
        </w:rPr>
        <w:t>6.3.5.3.6.2</w:t>
      </w:r>
      <w:r>
        <w:rPr>
          <w:lang w:val="en-US"/>
        </w:rPr>
        <w:t>”</w:t>
      </w:r>
      <w:r w:rsidRPr="006D6188">
        <w:rPr>
          <w:lang w:val="en-US"/>
        </w:rPr>
        <w:t xml:space="preserve"> and </w:t>
      </w:r>
      <w:r>
        <w:rPr>
          <w:lang w:val="en-US"/>
        </w:rPr>
        <w:t>“</w:t>
      </w:r>
      <w:r w:rsidRPr="006D6188">
        <w:rPr>
          <w:lang w:val="en-US"/>
        </w:rPr>
        <w:t>6.3.5.3.6.3</w:t>
      </w:r>
      <w:r>
        <w:rPr>
          <w:lang w:val="en-US"/>
        </w:rPr>
        <w:t>”</w:t>
      </w:r>
      <w:r w:rsidRPr="006D6188">
        <w:rPr>
          <w:lang w:val="en-US"/>
        </w:rPr>
        <w:t xml:space="preserve"> by </w:t>
      </w:r>
      <w:r>
        <w:rPr>
          <w:iCs/>
          <w:w w:val="105"/>
          <w:lang w:val="en-US"/>
        </w:rPr>
        <w:t>“</w:t>
      </w:r>
      <w:r w:rsidRPr="006D6188">
        <w:rPr>
          <w:lang w:val="en-US"/>
        </w:rPr>
        <w:t>6.3.5.3.5.1</w:t>
      </w:r>
      <w:r>
        <w:rPr>
          <w:lang w:val="en-US"/>
        </w:rPr>
        <w:t>”, “</w:t>
      </w:r>
      <w:r w:rsidRPr="006D6188">
        <w:rPr>
          <w:lang w:val="en-US"/>
        </w:rPr>
        <w:t>6.3.5.3.5.2</w:t>
      </w:r>
      <w:r>
        <w:rPr>
          <w:lang w:val="en-US"/>
        </w:rPr>
        <w:t>”</w:t>
      </w:r>
      <w:r w:rsidRPr="006D6188">
        <w:rPr>
          <w:lang w:val="en-US"/>
        </w:rPr>
        <w:t xml:space="preserve"> and </w:t>
      </w:r>
      <w:r>
        <w:rPr>
          <w:lang w:val="en-US"/>
        </w:rPr>
        <w:t>“</w:t>
      </w:r>
      <w:r w:rsidRPr="006D6188">
        <w:rPr>
          <w:lang w:val="en-US"/>
        </w:rPr>
        <w:t>6.3.5.3.5.3</w:t>
      </w:r>
      <w:r>
        <w:rPr>
          <w:lang w:val="en-US"/>
        </w:rPr>
        <w:t>”</w:t>
      </w:r>
      <w:r w:rsidRPr="006D6188">
        <w:rPr>
          <w:lang w:val="en-US"/>
        </w:rPr>
        <w:t>, respectively.</w:t>
      </w:r>
    </w:p>
    <w:p w:rsidR="005573FF" w:rsidRPr="004F116A" w:rsidRDefault="005573FF" w:rsidP="005573FF">
      <w:pPr>
        <w:spacing w:before="120" w:after="120" w:line="240" w:lineRule="auto"/>
        <w:ind w:left="1134" w:right="1134"/>
        <w:jc w:val="both"/>
        <w:rPr>
          <w:lang w:val="en-US"/>
        </w:rPr>
      </w:pPr>
      <w:r w:rsidRPr="004F116A">
        <w:rPr>
          <w:lang w:val="en-US"/>
        </w:rPr>
        <w:t xml:space="preserve">In 6.3.5.3.6.3, renumber 6.3.5.3.5.3, replace </w:t>
      </w:r>
      <w:r>
        <w:rPr>
          <w:lang w:val="en-US"/>
        </w:rPr>
        <w:t>“</w:t>
      </w:r>
      <w:r w:rsidRPr="004F116A">
        <w:rPr>
          <w:lang w:val="en-US"/>
        </w:rPr>
        <w:t>6.3.5.3.6.1</w:t>
      </w:r>
      <w:r>
        <w:rPr>
          <w:lang w:val="en-US"/>
        </w:rPr>
        <w:t>”</w:t>
      </w:r>
      <w:r w:rsidRPr="004F116A">
        <w:rPr>
          <w:lang w:val="en-US"/>
        </w:rPr>
        <w:t xml:space="preserve"> and</w:t>
      </w:r>
      <w:r>
        <w:rPr>
          <w:lang w:val="en-US"/>
        </w:rPr>
        <w:t xml:space="preserve"> “</w:t>
      </w:r>
      <w:r w:rsidRPr="004F116A">
        <w:rPr>
          <w:lang w:val="en-US"/>
        </w:rPr>
        <w:t>6.3.5.3.6.2</w:t>
      </w:r>
      <w:r>
        <w:rPr>
          <w:lang w:val="en-US"/>
        </w:rPr>
        <w:t>”</w:t>
      </w:r>
      <w:r w:rsidRPr="004F116A">
        <w:rPr>
          <w:lang w:val="en-US"/>
        </w:rPr>
        <w:t xml:space="preserve"> by</w:t>
      </w:r>
      <w:r>
        <w:rPr>
          <w:lang w:val="en-US"/>
        </w:rPr>
        <w:t xml:space="preserve"> “</w:t>
      </w:r>
      <w:r w:rsidRPr="004F116A">
        <w:rPr>
          <w:lang w:val="en-US"/>
        </w:rPr>
        <w:t>6.3.5.3.5.1</w:t>
      </w:r>
      <w:r>
        <w:rPr>
          <w:lang w:val="en-US"/>
        </w:rPr>
        <w:t>”</w:t>
      </w:r>
      <w:r w:rsidRPr="004F116A">
        <w:rPr>
          <w:lang w:val="en-US"/>
        </w:rPr>
        <w:t xml:space="preserve"> </w:t>
      </w:r>
      <w:r>
        <w:rPr>
          <w:lang w:val="en-US"/>
        </w:rPr>
        <w:t>and “</w:t>
      </w:r>
      <w:r w:rsidRPr="004F116A">
        <w:rPr>
          <w:lang w:val="en-US"/>
        </w:rPr>
        <w:t>6.3.5.3.5.2</w:t>
      </w:r>
      <w:r>
        <w:rPr>
          <w:lang w:val="en-US"/>
        </w:rPr>
        <w:t>”</w:t>
      </w:r>
      <w:r w:rsidRPr="004F116A">
        <w:rPr>
          <w:lang w:val="en-US"/>
        </w:rPr>
        <w:t xml:space="preserve">, </w:t>
      </w:r>
      <w:r>
        <w:rPr>
          <w:lang w:val="en-US"/>
        </w:rPr>
        <w:t>respectively.</w:t>
      </w:r>
      <w:r w:rsidRPr="004F116A">
        <w:rPr>
          <w:lang w:val="en-US"/>
        </w:rPr>
        <w:t xml:space="preserve"> At the end, replace </w:t>
      </w:r>
      <w:r>
        <w:rPr>
          <w:lang w:val="en-US"/>
        </w:rPr>
        <w:t>“</w:t>
      </w:r>
      <w:r w:rsidRPr="004F116A">
        <w:rPr>
          <w:lang w:val="en-US"/>
        </w:rPr>
        <w:t>in 6.3.5.3.2</w:t>
      </w:r>
      <w:r>
        <w:rPr>
          <w:lang w:val="en-US"/>
        </w:rPr>
        <w:t>”</w:t>
      </w:r>
      <w:r w:rsidRPr="004F116A">
        <w:rPr>
          <w:lang w:val="en-US"/>
        </w:rPr>
        <w:t xml:space="preserve"> by </w:t>
      </w:r>
      <w:r>
        <w:rPr>
          <w:lang w:val="en-US"/>
        </w:rPr>
        <w:t>“</w:t>
      </w:r>
      <w:r w:rsidRPr="004F116A">
        <w:rPr>
          <w:lang w:val="en-US"/>
        </w:rPr>
        <w:t xml:space="preserve">in 6.3.5.3.2.1 </w:t>
      </w:r>
      <w:r>
        <w:rPr>
          <w:lang w:val="en-US"/>
        </w:rPr>
        <w:t>or in</w:t>
      </w:r>
      <w:r w:rsidRPr="004F116A">
        <w:rPr>
          <w:lang w:val="en-US"/>
        </w:rPr>
        <w:t xml:space="preserve"> 6.3.5.3.2.2, </w:t>
      </w:r>
      <w:r>
        <w:rPr>
          <w:lang w:val="en-US"/>
        </w:rPr>
        <w:t>as appropriate;”</w:t>
      </w:r>
      <w:r w:rsidRPr="004F116A">
        <w:rPr>
          <w:lang w:val="en-US"/>
        </w:rPr>
        <w:t>.</w:t>
      </w:r>
    </w:p>
    <w:p w:rsidR="00826875" w:rsidRPr="001E6DE2" w:rsidRDefault="007405ED" w:rsidP="00250E34">
      <w:pPr>
        <w:spacing w:before="120" w:after="120" w:line="240" w:lineRule="auto"/>
        <w:ind w:left="1134" w:right="1134"/>
        <w:jc w:val="both"/>
        <w:rPr>
          <w:i/>
          <w:iCs/>
          <w:lang w:val="en-US"/>
        </w:rPr>
      </w:pPr>
      <w:r>
        <w:rPr>
          <w:i/>
          <w:iCs/>
          <w:lang w:val="en-US"/>
        </w:rPr>
        <w:t>(Reference document</w:t>
      </w:r>
      <w:r w:rsidR="005573FF" w:rsidRPr="001E6DE2">
        <w:rPr>
          <w:i/>
          <w:iCs/>
          <w:lang w:val="en-US"/>
        </w:rPr>
        <w:t xml:space="preserve">: </w:t>
      </w:r>
      <w:r w:rsidR="00250E34" w:rsidRPr="00BB39ED">
        <w:rPr>
          <w:i/>
          <w:iCs/>
        </w:rPr>
        <w:t>ST/SG/AC.10/C.3/2018/</w:t>
      </w:r>
      <w:r w:rsidR="00250E34">
        <w:rPr>
          <w:i/>
          <w:iCs/>
        </w:rPr>
        <w:t xml:space="preserve">25 and </w:t>
      </w:r>
      <w:r w:rsidR="005573FF" w:rsidRPr="001E6DE2">
        <w:rPr>
          <w:i/>
          <w:iCs/>
          <w:lang w:val="en-US"/>
        </w:rPr>
        <w:t>informal document INF.59 as amended and consequential amendments)</w:t>
      </w:r>
    </w:p>
    <w:p w:rsidR="00203CA8" w:rsidRDefault="00203CA8" w:rsidP="004C12CE">
      <w:pPr>
        <w:pStyle w:val="H1G"/>
      </w:pPr>
      <w:r>
        <w:rPr>
          <w:lang w:val="en-US"/>
        </w:rPr>
        <w:tab/>
      </w:r>
      <w:r w:rsidRPr="00EF53CD">
        <w:rPr>
          <w:lang w:val="en-US"/>
        </w:rPr>
        <w:tab/>
      </w:r>
      <w:r w:rsidRPr="00142B9F">
        <w:t xml:space="preserve">Chapter </w:t>
      </w:r>
      <w:r>
        <w:t>6.5</w:t>
      </w:r>
    </w:p>
    <w:p w:rsidR="00203CA8" w:rsidRDefault="00203CA8" w:rsidP="00203CA8">
      <w:pPr>
        <w:pStyle w:val="SingleTxtG"/>
      </w:pPr>
      <w:r>
        <w:t>Add the following new 6.5.2.1.3:</w:t>
      </w:r>
    </w:p>
    <w:p w:rsidR="00203CA8" w:rsidRDefault="00203CA8" w:rsidP="00203CA8">
      <w:pPr>
        <w:pStyle w:val="SingleTxtG"/>
      </w:pPr>
      <w:r>
        <w:t>“</w:t>
      </w:r>
      <w:r w:rsidRPr="00357579">
        <w:t>6.5.2.1.3</w:t>
      </w:r>
      <w:r w:rsidRPr="00357579">
        <w:tab/>
        <w:t>Where an IBC conforms to one or more than one tested IBC design type, including one or more than one tested packaging or large packaging design type, the IBC may bear more than one mark to indicate the relevant performance test requirements that have been met.</w:t>
      </w:r>
      <w:r w:rsidRPr="00C85EAD">
        <w:rPr>
          <w:iCs/>
          <w:lang w:val="en-US"/>
        </w:rPr>
        <w:t xml:space="preserve"> </w:t>
      </w:r>
      <w:r w:rsidRPr="00876370">
        <w:rPr>
          <w:iCs/>
          <w:lang w:val="en-US"/>
        </w:rPr>
        <w:t>Where more than one m</w:t>
      </w:r>
      <w:r>
        <w:rPr>
          <w:iCs/>
          <w:lang w:val="en-US"/>
        </w:rPr>
        <w:t>ark appears on a packaging,</w:t>
      </w:r>
      <w:r w:rsidRPr="00876370">
        <w:rPr>
          <w:iCs/>
          <w:lang w:val="en-US"/>
        </w:rPr>
        <w:t xml:space="preserve"> the marks must appear </w:t>
      </w:r>
      <w:proofErr w:type="gramStart"/>
      <w:r w:rsidRPr="00876370">
        <w:rPr>
          <w:iCs/>
          <w:lang w:val="en-US"/>
        </w:rPr>
        <w:t>in close proximity to</w:t>
      </w:r>
      <w:proofErr w:type="gramEnd"/>
      <w:r w:rsidRPr="00876370">
        <w:rPr>
          <w:iCs/>
          <w:lang w:val="en-US"/>
        </w:rPr>
        <w:t xml:space="preserve"> one another and each mark </w:t>
      </w:r>
      <w:r w:rsidR="00250E34">
        <w:rPr>
          <w:iCs/>
          <w:lang w:val="en-US"/>
        </w:rPr>
        <w:t>shall</w:t>
      </w:r>
      <w:r w:rsidRPr="00876370">
        <w:rPr>
          <w:iCs/>
          <w:lang w:val="en-US"/>
        </w:rPr>
        <w:t xml:space="preserve"> appear in its entirety.</w:t>
      </w:r>
      <w:r w:rsidRPr="00357579">
        <w:t>”</w:t>
      </w:r>
      <w:r>
        <w:t>.</w:t>
      </w:r>
    </w:p>
    <w:p w:rsidR="00203CA8" w:rsidRPr="00977189" w:rsidRDefault="00203CA8" w:rsidP="00203CA8">
      <w:pPr>
        <w:pStyle w:val="SingleTxtG"/>
        <w:rPr>
          <w:bCs/>
          <w:i/>
          <w:iCs/>
          <w:lang w:val="en-US"/>
        </w:rPr>
      </w:pPr>
      <w:r w:rsidRPr="00977189">
        <w:rPr>
          <w:i/>
          <w:iCs/>
          <w:lang w:val="en-US"/>
        </w:rPr>
        <w:t xml:space="preserve">(Reference document: </w:t>
      </w:r>
      <w:r w:rsidR="00250E34" w:rsidRPr="00065624">
        <w:rPr>
          <w:i/>
          <w:iCs/>
          <w:lang w:val="en-US"/>
        </w:rPr>
        <w:t>ST/SG/AC.10/C.3/2018/</w:t>
      </w:r>
      <w:r w:rsidR="00250E34">
        <w:rPr>
          <w:i/>
          <w:iCs/>
          <w:lang w:val="en-US"/>
        </w:rPr>
        <w:t xml:space="preserve">49 and </w:t>
      </w:r>
      <w:r w:rsidR="00E465FF">
        <w:rPr>
          <w:bCs/>
          <w:i/>
          <w:iCs/>
          <w:lang w:val="en-US"/>
        </w:rPr>
        <w:t>i</w:t>
      </w:r>
      <w:r w:rsidRPr="00977189">
        <w:rPr>
          <w:bCs/>
          <w:i/>
          <w:iCs/>
          <w:lang w:val="en-US"/>
        </w:rPr>
        <w:t>nformal document INF.53, replaces the amendment in annex II of document ST</w:t>
      </w:r>
      <w:r>
        <w:rPr>
          <w:bCs/>
          <w:i/>
          <w:iCs/>
          <w:lang w:val="en-US"/>
        </w:rPr>
        <w:t>/SG/AC.10/C.3/104/Add.1</w:t>
      </w:r>
      <w:r w:rsidRPr="00977189">
        <w:rPr>
          <w:bCs/>
          <w:i/>
          <w:iCs/>
          <w:lang w:val="en-US"/>
        </w:rPr>
        <w:t>)</w:t>
      </w:r>
    </w:p>
    <w:p w:rsidR="00203CA8" w:rsidRPr="00CE6BD2" w:rsidRDefault="00203CA8" w:rsidP="00203CA8">
      <w:pPr>
        <w:pStyle w:val="SingleTxtG"/>
        <w:rPr>
          <w:highlight w:val="yellow"/>
        </w:rPr>
      </w:pPr>
      <w:r w:rsidRPr="005F1207">
        <w:t>6.5.2.2.2</w:t>
      </w:r>
      <w:r w:rsidRPr="005F1207">
        <w:tab/>
        <w:t>In the first sentence, delete “when the IBC is in use”.</w:t>
      </w:r>
      <w:r w:rsidRPr="00CE6BD2">
        <w:rPr>
          <w:highlight w:val="yellow"/>
        </w:rPr>
        <w:t xml:space="preserve"> </w:t>
      </w:r>
    </w:p>
    <w:p w:rsidR="00203CA8" w:rsidRDefault="00203CA8" w:rsidP="00203CA8">
      <w:pPr>
        <w:pStyle w:val="SingleTxtG"/>
        <w:rPr>
          <w:i/>
          <w:iCs/>
          <w:lang w:val="en-US"/>
        </w:rPr>
      </w:pPr>
      <w:r w:rsidRPr="00065624">
        <w:rPr>
          <w:i/>
          <w:iCs/>
        </w:rPr>
        <w:t>(</w:t>
      </w:r>
      <w:r w:rsidRPr="00065624">
        <w:rPr>
          <w:i/>
          <w:iCs/>
          <w:lang w:val="en-US"/>
        </w:rPr>
        <w:t>Reference document: ST/SG/AC.10/C.3/2018/27)</w:t>
      </w:r>
    </w:p>
    <w:p w:rsidR="005573FF" w:rsidRPr="008B4351" w:rsidRDefault="005573FF" w:rsidP="005573FF">
      <w:pPr>
        <w:pStyle w:val="SingleTxtG"/>
        <w:rPr>
          <w:lang w:val="en-US"/>
        </w:rPr>
      </w:pPr>
      <w:r w:rsidRPr="008B4351">
        <w:rPr>
          <w:lang w:val="en-US"/>
        </w:rPr>
        <w:t>6.5.2.2.4</w:t>
      </w:r>
      <w:r w:rsidRPr="008B4351">
        <w:rPr>
          <w:lang w:val="en-US"/>
        </w:rPr>
        <w:tab/>
        <w:t>In the second paragraph, amend the sec</w:t>
      </w:r>
      <w:r w:rsidR="007405ED">
        <w:rPr>
          <w:lang w:val="en-US"/>
        </w:rPr>
        <w:t>ond sentence to read as follows</w:t>
      </w:r>
      <w:r w:rsidRPr="008B4351">
        <w:rPr>
          <w:lang w:val="en-US"/>
        </w:rPr>
        <w:t>:</w:t>
      </w:r>
    </w:p>
    <w:p w:rsidR="005573FF" w:rsidRPr="008B4351" w:rsidRDefault="005573FF" w:rsidP="005573FF">
      <w:pPr>
        <w:pStyle w:val="SingleTxtG"/>
        <w:rPr>
          <w:lang w:val="en-US"/>
        </w:rPr>
      </w:pPr>
      <w:r>
        <w:rPr>
          <w:lang w:val="en-US"/>
        </w:rPr>
        <w:t>“</w:t>
      </w:r>
      <w:r w:rsidRPr="00F37D94">
        <w:t>In such a case</w:t>
      </w:r>
      <w:r>
        <w:t>,</w:t>
      </w:r>
      <w:r w:rsidRPr="00F37D94">
        <w:t xml:space="preserve"> </w:t>
      </w:r>
      <w:r w:rsidRPr="008B4351">
        <w:t>the date may be waived from the remainder of the marks.”.</w:t>
      </w:r>
    </w:p>
    <w:p w:rsidR="005573FF" w:rsidRPr="001B36C9" w:rsidRDefault="007405ED" w:rsidP="005573FF">
      <w:pPr>
        <w:pStyle w:val="SingleTxtG"/>
        <w:rPr>
          <w:i/>
          <w:iCs/>
          <w:lang w:val="en-US"/>
        </w:rPr>
      </w:pPr>
      <w:r>
        <w:rPr>
          <w:i/>
          <w:iCs/>
          <w:lang w:val="en-US"/>
        </w:rPr>
        <w:t>(Reference document</w:t>
      </w:r>
      <w:r w:rsidR="005573FF" w:rsidRPr="001B36C9">
        <w:rPr>
          <w:i/>
          <w:iCs/>
          <w:lang w:val="en-US"/>
        </w:rPr>
        <w:t xml:space="preserve">: </w:t>
      </w:r>
      <w:r w:rsidR="004E0B1A" w:rsidRPr="00065624">
        <w:rPr>
          <w:i/>
          <w:iCs/>
          <w:lang w:val="en-US"/>
        </w:rPr>
        <w:t>ST/SG/AC.10/C.3/2018/</w:t>
      </w:r>
      <w:r w:rsidR="004E0B1A">
        <w:rPr>
          <w:i/>
          <w:iCs/>
          <w:lang w:val="en-US"/>
        </w:rPr>
        <w:t xml:space="preserve">46 and </w:t>
      </w:r>
      <w:r w:rsidR="005573FF" w:rsidRPr="001B36C9">
        <w:rPr>
          <w:i/>
          <w:iCs/>
          <w:lang w:val="en-US"/>
        </w:rPr>
        <w:t>informal document INF.63)</w:t>
      </w:r>
    </w:p>
    <w:p w:rsidR="00203CA8" w:rsidRDefault="00203CA8" w:rsidP="004C12CE">
      <w:pPr>
        <w:pStyle w:val="H1G"/>
      </w:pPr>
      <w:r w:rsidRPr="001B36C9">
        <w:rPr>
          <w:lang w:val="en-US"/>
        </w:rPr>
        <w:tab/>
      </w:r>
      <w:r w:rsidRPr="001B36C9">
        <w:rPr>
          <w:lang w:val="en-US"/>
        </w:rPr>
        <w:tab/>
      </w:r>
      <w:r w:rsidRPr="00142B9F">
        <w:t xml:space="preserve">Chapter </w:t>
      </w:r>
      <w:r>
        <w:t>6.6</w:t>
      </w:r>
    </w:p>
    <w:p w:rsidR="00203CA8" w:rsidRDefault="00203CA8" w:rsidP="00203CA8">
      <w:pPr>
        <w:pStyle w:val="SingleTxtG"/>
      </w:pPr>
      <w:r>
        <w:t>6.6.3.3</w:t>
      </w:r>
      <w:r>
        <w:tab/>
      </w:r>
      <w:r>
        <w:tab/>
        <w:t>In the first sentence, delete “when the large packaging is in use”.</w:t>
      </w:r>
    </w:p>
    <w:p w:rsidR="00203CA8" w:rsidRDefault="00203CA8" w:rsidP="00203CA8">
      <w:pPr>
        <w:pStyle w:val="SingleTxtG"/>
        <w:rPr>
          <w:i/>
          <w:iCs/>
          <w:lang w:val="en-US"/>
        </w:rPr>
      </w:pPr>
      <w:r w:rsidRPr="001539C6">
        <w:rPr>
          <w:i/>
          <w:iCs/>
        </w:rPr>
        <w:t>(</w:t>
      </w:r>
      <w:r>
        <w:rPr>
          <w:i/>
          <w:iCs/>
          <w:lang w:val="en-US"/>
        </w:rPr>
        <w:t>Reference document</w:t>
      </w:r>
      <w:r w:rsidRPr="00325855">
        <w:rPr>
          <w:i/>
          <w:iCs/>
          <w:lang w:val="en-US"/>
        </w:rPr>
        <w:t>:</w:t>
      </w:r>
      <w:r>
        <w:rPr>
          <w:i/>
          <w:iCs/>
          <w:lang w:val="en-US"/>
        </w:rPr>
        <w:t xml:space="preserve"> ST/SG/AC.10/C.3/2018/27, consequential amendment)</w:t>
      </w:r>
    </w:p>
    <w:p w:rsidR="00203CA8" w:rsidRDefault="00203CA8" w:rsidP="00203CA8">
      <w:pPr>
        <w:pStyle w:val="SingleTxtG"/>
      </w:pPr>
      <w:r>
        <w:t>Add the following new 6.6.3.4:</w:t>
      </w:r>
    </w:p>
    <w:p w:rsidR="00203CA8" w:rsidRPr="00A71F50" w:rsidRDefault="00203CA8" w:rsidP="00203CA8">
      <w:pPr>
        <w:pStyle w:val="SingleTxtG"/>
        <w:rPr>
          <w:lang w:val="en-US"/>
        </w:rPr>
      </w:pPr>
      <w:r w:rsidRPr="00A71F50">
        <w:t>“</w:t>
      </w:r>
      <w:r w:rsidRPr="00A71F50">
        <w:rPr>
          <w:lang w:val="en-US"/>
        </w:rPr>
        <w:t>6.6.3.4</w:t>
      </w:r>
      <w:r w:rsidRPr="00A71F50">
        <w:rPr>
          <w:lang w:val="en-US"/>
        </w:rPr>
        <w:tab/>
      </w:r>
      <w:r w:rsidRPr="00A71F50">
        <w:rPr>
          <w:iCs/>
          <w:lang w:val="en-US"/>
        </w:rPr>
        <w:t>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w:t>
      </w:r>
      <w:r w:rsidRPr="00C85EAD">
        <w:rPr>
          <w:iCs/>
          <w:lang w:val="en-US"/>
        </w:rPr>
        <w:t xml:space="preserve"> </w:t>
      </w:r>
      <w:r w:rsidRPr="00876370">
        <w:rPr>
          <w:iCs/>
          <w:lang w:val="en-US"/>
        </w:rPr>
        <w:t>Where more than one m</w:t>
      </w:r>
      <w:r>
        <w:rPr>
          <w:iCs/>
          <w:lang w:val="en-US"/>
        </w:rPr>
        <w:t>ark appears on a packaging,</w:t>
      </w:r>
      <w:r w:rsidRPr="00876370">
        <w:rPr>
          <w:iCs/>
          <w:lang w:val="en-US"/>
        </w:rPr>
        <w:t xml:space="preserve"> the marks must appear </w:t>
      </w:r>
      <w:proofErr w:type="gramStart"/>
      <w:r w:rsidRPr="00876370">
        <w:rPr>
          <w:iCs/>
          <w:lang w:val="en-US"/>
        </w:rPr>
        <w:t>in close proximity to</w:t>
      </w:r>
      <w:proofErr w:type="gramEnd"/>
      <w:r w:rsidRPr="00876370">
        <w:rPr>
          <w:iCs/>
          <w:lang w:val="en-US"/>
        </w:rPr>
        <w:t xml:space="preserve"> one another and each mark must appear in its entirety.</w:t>
      </w:r>
      <w:r w:rsidRPr="00A71F50">
        <w:rPr>
          <w:iCs/>
          <w:lang w:val="en-US"/>
        </w:rPr>
        <w:t>”.</w:t>
      </w:r>
    </w:p>
    <w:p w:rsidR="00203CA8" w:rsidRPr="00977189" w:rsidRDefault="00203CA8" w:rsidP="00203CA8">
      <w:pPr>
        <w:pStyle w:val="SingleTxtG"/>
        <w:rPr>
          <w:bCs/>
          <w:i/>
          <w:iCs/>
          <w:lang w:val="en-US"/>
        </w:rPr>
      </w:pPr>
      <w:r w:rsidRPr="00A71F50">
        <w:rPr>
          <w:i/>
          <w:iCs/>
          <w:lang w:val="en-US"/>
        </w:rPr>
        <w:t xml:space="preserve">(Reference document: </w:t>
      </w:r>
      <w:bookmarkStart w:id="4" w:name="_Hlk520470402"/>
      <w:r w:rsidR="004E0B1A" w:rsidRPr="00065624">
        <w:rPr>
          <w:i/>
          <w:iCs/>
          <w:lang w:val="en-US"/>
        </w:rPr>
        <w:t>ST/SG/AC.10/C.3/2018/</w:t>
      </w:r>
      <w:r w:rsidR="004E0B1A">
        <w:rPr>
          <w:i/>
          <w:iCs/>
          <w:lang w:val="en-US"/>
        </w:rPr>
        <w:t xml:space="preserve">49 </w:t>
      </w:r>
      <w:bookmarkEnd w:id="4"/>
      <w:r w:rsidR="004E0B1A">
        <w:rPr>
          <w:i/>
          <w:iCs/>
          <w:lang w:val="en-US"/>
        </w:rPr>
        <w:t xml:space="preserve">and </w:t>
      </w:r>
      <w:r w:rsidRPr="00A71F50">
        <w:rPr>
          <w:bCs/>
          <w:i/>
          <w:iCs/>
          <w:lang w:val="en-US"/>
        </w:rPr>
        <w:t>Informal document INF.53</w:t>
      </w:r>
      <w:r w:rsidRPr="00977189">
        <w:rPr>
          <w:bCs/>
          <w:i/>
          <w:iCs/>
          <w:lang w:val="en-US"/>
        </w:rPr>
        <w:t>, replaces the amendment in annex II of document ST</w:t>
      </w:r>
      <w:r>
        <w:rPr>
          <w:bCs/>
          <w:i/>
          <w:iCs/>
          <w:lang w:val="en-US"/>
        </w:rPr>
        <w:t>/SG/AC.10/C.3/104/Add.1</w:t>
      </w:r>
      <w:r w:rsidRPr="00977189">
        <w:rPr>
          <w:bCs/>
          <w:i/>
          <w:iCs/>
          <w:lang w:val="en-US"/>
        </w:rPr>
        <w:t>)</w:t>
      </w:r>
    </w:p>
    <w:p w:rsidR="00203CA8" w:rsidRDefault="00203CA8" w:rsidP="004C12CE">
      <w:pPr>
        <w:pStyle w:val="H1G"/>
      </w:pPr>
      <w:r w:rsidRPr="00A71F50">
        <w:rPr>
          <w:lang w:val="en-US"/>
        </w:rPr>
        <w:tab/>
      </w:r>
      <w:r w:rsidRPr="00A71F50">
        <w:rPr>
          <w:lang w:val="en-US"/>
        </w:rPr>
        <w:tab/>
      </w:r>
      <w:r>
        <w:t>Chapter 6.7</w:t>
      </w:r>
    </w:p>
    <w:p w:rsidR="00203CA8" w:rsidRDefault="00203CA8" w:rsidP="00203CA8">
      <w:pPr>
        <w:pStyle w:val="SingleTxtG"/>
      </w:pPr>
      <w:r w:rsidRPr="001260A8">
        <w:t xml:space="preserve">6.7.2.12.2.1 and 6.7.3.8.1.1 </w:t>
      </w:r>
      <w:r>
        <w:tab/>
        <w:t xml:space="preserve">Amend the definition of </w:t>
      </w:r>
      <w:r w:rsidRPr="001260A8">
        <w:t xml:space="preserve">factor </w:t>
      </w:r>
      <w:r>
        <w:t>“</w:t>
      </w:r>
      <w:r w:rsidRPr="001260A8">
        <w:t>U</w:t>
      </w:r>
      <w:r>
        <w:t>”</w:t>
      </w:r>
      <w:r w:rsidRPr="001260A8">
        <w:t xml:space="preserve"> to read:</w:t>
      </w:r>
      <w:r>
        <w:t xml:space="preserve"> </w:t>
      </w:r>
    </w:p>
    <w:p w:rsidR="00203CA8" w:rsidRPr="001260A8" w:rsidRDefault="00203CA8" w:rsidP="00203CA8">
      <w:pPr>
        <w:pStyle w:val="SingleTxtG"/>
      </w:pPr>
      <w:r>
        <w:t>“</w:t>
      </w:r>
      <w:r w:rsidRPr="001260A8">
        <w:t>U = heat transfer coefficient of the insulation, in kW·m</w:t>
      </w:r>
      <w:r w:rsidRPr="00721499">
        <w:rPr>
          <w:vertAlign w:val="superscript"/>
        </w:rPr>
        <w:t>-</w:t>
      </w:r>
      <w:r w:rsidRPr="003A2DEF">
        <w:rPr>
          <w:vertAlign w:val="superscript"/>
        </w:rPr>
        <w:t>2</w:t>
      </w:r>
      <w:r w:rsidRPr="001260A8">
        <w:t>·K</w:t>
      </w:r>
      <w:r w:rsidRPr="00721499">
        <w:rPr>
          <w:vertAlign w:val="superscript"/>
        </w:rPr>
        <w:t>-</w:t>
      </w:r>
      <w:r w:rsidRPr="003A2DEF">
        <w:rPr>
          <w:vertAlign w:val="superscript"/>
        </w:rPr>
        <w:t>1</w:t>
      </w:r>
      <w:r w:rsidRPr="001260A8">
        <w:t>, at 38</w:t>
      </w:r>
      <w:r>
        <w:t xml:space="preserve"> </w:t>
      </w:r>
      <w:r w:rsidRPr="001260A8">
        <w:t>°</w:t>
      </w:r>
      <w:r>
        <w:t>C”.</w:t>
      </w:r>
    </w:p>
    <w:p w:rsidR="00203CA8" w:rsidRDefault="00203CA8" w:rsidP="00203CA8">
      <w:pPr>
        <w:ind w:left="414" w:firstLine="720"/>
        <w:rPr>
          <w:bCs/>
          <w:i/>
          <w:iCs/>
          <w:lang w:val="en-US"/>
        </w:rPr>
      </w:pPr>
      <w:r w:rsidRPr="007F764E">
        <w:rPr>
          <w:i/>
          <w:iCs/>
        </w:rPr>
        <w:t xml:space="preserve">(Reference document: </w:t>
      </w:r>
      <w:r w:rsidRPr="003B3A0D">
        <w:rPr>
          <w:bCs/>
          <w:i/>
          <w:iCs/>
          <w:lang w:val="en-US"/>
        </w:rPr>
        <w:t>ST/SG/AC.10/C.3/2018/</w:t>
      </w:r>
      <w:r>
        <w:rPr>
          <w:bCs/>
          <w:i/>
          <w:iCs/>
          <w:lang w:val="en-US"/>
        </w:rPr>
        <w:t>56)</w:t>
      </w:r>
    </w:p>
    <w:p w:rsidR="004827D7" w:rsidRPr="00BF1321" w:rsidRDefault="00203CA8" w:rsidP="004C12CE">
      <w:pPr>
        <w:pStyle w:val="H1G"/>
        <w:rPr>
          <w:lang w:val="en-US"/>
        </w:rPr>
      </w:pPr>
      <w:r>
        <w:tab/>
      </w:r>
      <w:r w:rsidR="004827D7">
        <w:tab/>
      </w:r>
      <w:r w:rsidR="004827D7" w:rsidRPr="00BF1321">
        <w:rPr>
          <w:lang w:val="en-US"/>
        </w:rPr>
        <w:t>Chapter 7.1</w:t>
      </w:r>
    </w:p>
    <w:p w:rsidR="004827D7" w:rsidRDefault="00782CB1" w:rsidP="004827D7">
      <w:pPr>
        <w:pStyle w:val="SingleTxtG"/>
        <w:rPr>
          <w:lang w:val="en-US"/>
        </w:rPr>
      </w:pPr>
      <w:r>
        <w:rPr>
          <w:lang w:val="en-US"/>
        </w:rPr>
        <w:t>[</w:t>
      </w:r>
      <w:r w:rsidR="004827D7">
        <w:rPr>
          <w:lang w:val="en-US"/>
        </w:rPr>
        <w:t>7.1.5.4.5 (b)</w:t>
      </w:r>
      <w:r w:rsidR="004827D7">
        <w:rPr>
          <w:lang w:val="en-US"/>
        </w:rPr>
        <w:tab/>
        <w:t>At the end, add “or a means of replenishment is assured;”.</w:t>
      </w:r>
      <w:r>
        <w:rPr>
          <w:lang w:val="en-US"/>
        </w:rPr>
        <w:t>]</w:t>
      </w:r>
    </w:p>
    <w:p w:rsidR="004827D7" w:rsidRPr="008B7426" w:rsidRDefault="004827D7" w:rsidP="004827D7">
      <w:pPr>
        <w:pStyle w:val="SingleTxtG"/>
        <w:rPr>
          <w:i/>
          <w:iCs/>
          <w:lang w:val="en-US"/>
        </w:rPr>
      </w:pPr>
      <w:r w:rsidRPr="008B7426">
        <w:rPr>
          <w:i/>
          <w:iCs/>
          <w:lang w:val="en-US"/>
        </w:rPr>
        <w:t>(Reference document: ST/SG/AC.10/C.3/2018/39)</w:t>
      </w:r>
    </w:p>
    <w:p w:rsidR="004827D7" w:rsidRDefault="00782CB1" w:rsidP="004827D7">
      <w:pPr>
        <w:pStyle w:val="SingleTxtG"/>
        <w:rPr>
          <w:lang w:val="en-US"/>
        </w:rPr>
      </w:pPr>
      <w:r>
        <w:rPr>
          <w:lang w:val="en-US"/>
        </w:rPr>
        <w:t>[</w:t>
      </w:r>
      <w:r w:rsidR="004827D7">
        <w:rPr>
          <w:lang w:val="en-US"/>
        </w:rPr>
        <w:t>7.1.5.4.5 (c)</w:t>
      </w:r>
      <w:r w:rsidR="004827D7">
        <w:rPr>
          <w:lang w:val="en-US"/>
        </w:rPr>
        <w:tab/>
        <w:t xml:space="preserve">In the beginning, add “Thermal insulation and”. At the end, after “flammable </w:t>
      </w:r>
      <w:proofErr w:type="spellStart"/>
      <w:r w:rsidR="004827D7">
        <w:rPr>
          <w:lang w:val="en-US"/>
        </w:rPr>
        <w:t>vapours</w:t>
      </w:r>
      <w:proofErr w:type="spellEnd"/>
      <w:r w:rsidR="004827D7">
        <w:rPr>
          <w:lang w:val="en-US"/>
        </w:rPr>
        <w:t>”, add “from the substances;”.</w:t>
      </w:r>
      <w:r>
        <w:rPr>
          <w:lang w:val="en-US"/>
        </w:rPr>
        <w:t>]</w:t>
      </w:r>
    </w:p>
    <w:p w:rsidR="004827D7" w:rsidRDefault="004827D7" w:rsidP="004827D7">
      <w:pPr>
        <w:pStyle w:val="SingleTxtG"/>
        <w:rPr>
          <w:i/>
          <w:iCs/>
          <w:lang w:val="en-US"/>
        </w:rPr>
      </w:pPr>
      <w:r w:rsidRPr="008B7426">
        <w:rPr>
          <w:i/>
          <w:iCs/>
          <w:lang w:val="en-US"/>
        </w:rPr>
        <w:t>(Reference document: ST/SG/AC.10/C.3/2018/39)</w:t>
      </w:r>
    </w:p>
    <w:p w:rsidR="004827D7" w:rsidRPr="008B7426" w:rsidRDefault="00782CB1" w:rsidP="004827D7">
      <w:pPr>
        <w:pStyle w:val="SingleTxtG"/>
      </w:pPr>
      <w:r>
        <w:t>[</w:t>
      </w:r>
      <w:r w:rsidR="004827D7">
        <w:t>7.1.5.4.5 (d)</w:t>
      </w:r>
      <w:r w:rsidR="004827D7">
        <w:tab/>
        <w:t>In the beginning, add “Thermal insulation and”.</w:t>
      </w:r>
      <w:r>
        <w:t>]</w:t>
      </w:r>
      <w:r w:rsidR="004827D7">
        <w:tab/>
      </w:r>
    </w:p>
    <w:p w:rsidR="004827D7" w:rsidRDefault="004827D7" w:rsidP="004827D7">
      <w:pPr>
        <w:pStyle w:val="SingleTxtG"/>
        <w:rPr>
          <w:i/>
          <w:iCs/>
          <w:lang w:val="en-US"/>
        </w:rPr>
      </w:pPr>
      <w:r w:rsidRPr="008B7426">
        <w:rPr>
          <w:i/>
          <w:iCs/>
          <w:lang w:val="en-US"/>
        </w:rPr>
        <w:t>(Reference document: ST/SG/AC.10/C.3/2018/39)</w:t>
      </w:r>
    </w:p>
    <w:p w:rsidR="004827D7" w:rsidRPr="008B7426" w:rsidRDefault="00782CB1" w:rsidP="004827D7">
      <w:pPr>
        <w:pStyle w:val="SingleTxtG"/>
      </w:pPr>
      <w:r>
        <w:t>[</w:t>
      </w:r>
      <w:r w:rsidR="004827D7">
        <w:t>7.1.5.4.5 (e)</w:t>
      </w:r>
      <w:r w:rsidR="004827D7">
        <w:tab/>
        <w:t>In the beginning, add “Thermal insulation and”.</w:t>
      </w:r>
      <w:r w:rsidR="004827D7">
        <w:tab/>
        <w:t>At the end of paragraph (iii), after “flammable vapours”, add “from the substances.”.</w:t>
      </w:r>
      <w:r>
        <w:t>]</w:t>
      </w:r>
    </w:p>
    <w:p w:rsidR="004827D7" w:rsidRDefault="004827D7" w:rsidP="004827D7">
      <w:pPr>
        <w:pStyle w:val="SingleTxtG"/>
        <w:rPr>
          <w:i/>
          <w:iCs/>
          <w:lang w:val="en-US"/>
        </w:rPr>
      </w:pPr>
      <w:r w:rsidRPr="008B7426">
        <w:rPr>
          <w:i/>
          <w:iCs/>
          <w:lang w:val="en-US"/>
        </w:rPr>
        <w:t>(Reference document: ST/SG/AC.10/C.3/2018/39)</w:t>
      </w:r>
    </w:p>
    <w:p w:rsidR="005E08F8" w:rsidRDefault="005E08F8" w:rsidP="00782CB1">
      <w:pPr>
        <w:pStyle w:val="H23G"/>
      </w:pPr>
      <w:r>
        <w:tab/>
      </w:r>
      <w:r>
        <w:tab/>
      </w:r>
      <w:r w:rsidR="00782CB1">
        <w:t>Document ST/SG/AC.10/C.3/2018/54 adopted with the following modifications:</w:t>
      </w:r>
    </w:p>
    <w:p w:rsidR="001C4F79" w:rsidRDefault="001C4F79" w:rsidP="001C4F79">
      <w:pPr>
        <w:pStyle w:val="SingleTxtG"/>
      </w:pPr>
      <w:r w:rsidRPr="009B2AB7">
        <w:rPr>
          <w:highlight w:val="yellow"/>
        </w:rPr>
        <w:tab/>
      </w:r>
      <w:r w:rsidRPr="001C4F79">
        <w:t>Delete the amendments to the definitions of “Freight container” and “IBC” and to paragraphs 1.5.2.5 and 1.5.2.6. In 2.7.2.3.3.8, replace “shall the” by “shall then”.</w:t>
      </w:r>
    </w:p>
    <w:p w:rsidR="007844A4" w:rsidRPr="004827D7" w:rsidRDefault="007844A4">
      <w:pPr>
        <w:suppressAutoHyphens w:val="0"/>
        <w:spacing w:line="240" w:lineRule="auto"/>
        <w:rPr>
          <w:b/>
          <w:sz w:val="24"/>
          <w:lang w:val="en-US"/>
        </w:rPr>
      </w:pPr>
      <w:r w:rsidRPr="004827D7">
        <w:rPr>
          <w:lang w:val="en-US"/>
        </w:rPr>
        <w:br w:type="page"/>
      </w:r>
    </w:p>
    <w:p w:rsidR="00EC578D" w:rsidRPr="000E4463" w:rsidRDefault="00EC578D" w:rsidP="00065930">
      <w:pPr>
        <w:pStyle w:val="HChG"/>
      </w:pPr>
      <w:r w:rsidRPr="000E4463">
        <w:t xml:space="preserve">Annex </w:t>
      </w:r>
      <w:r w:rsidR="00144A79" w:rsidRPr="000E4463">
        <w:t>II</w:t>
      </w:r>
      <w:r w:rsidRPr="000E4463">
        <w:tab/>
      </w:r>
      <w:r w:rsidRPr="000E4463">
        <w:tab/>
      </w:r>
    </w:p>
    <w:p w:rsidR="00EC578D" w:rsidRPr="00CE7480" w:rsidRDefault="00EC578D" w:rsidP="000519DB">
      <w:pPr>
        <w:pStyle w:val="HChG"/>
        <w:rPr>
          <w:highlight w:val="yellow"/>
        </w:rPr>
      </w:pPr>
      <w:r w:rsidRPr="000E4463">
        <w:tab/>
      </w:r>
      <w:r w:rsidRPr="000E4463">
        <w:tab/>
      </w:r>
      <w:r w:rsidR="00970880" w:rsidRPr="000E4463">
        <w:t xml:space="preserve">Draft amendments to the </w:t>
      </w:r>
      <w:r w:rsidR="00203CA8">
        <w:t>six</w:t>
      </w:r>
      <w:r w:rsidR="007844A4">
        <w:t>th</w:t>
      </w:r>
      <w:r w:rsidR="00970880" w:rsidRPr="000E4463">
        <w:t xml:space="preserve"> revised edition of the Recommendations on the </w:t>
      </w:r>
      <w:r w:rsidR="0017629A" w:rsidRPr="000E4463">
        <w:t>T</w:t>
      </w:r>
      <w:r w:rsidR="00970880" w:rsidRPr="000E4463">
        <w:t xml:space="preserve">ransport of </w:t>
      </w:r>
      <w:r w:rsidR="0017629A" w:rsidRPr="000E4463">
        <w:t>D</w:t>
      </w:r>
      <w:r w:rsidR="00970880" w:rsidRPr="000E4463">
        <w:t xml:space="preserve">angerous </w:t>
      </w:r>
      <w:r w:rsidR="0017629A" w:rsidRPr="000E4463">
        <w:t>G</w:t>
      </w:r>
      <w:r w:rsidR="00970880" w:rsidRPr="000E4463">
        <w:t>oods, Manual of Tests an</w:t>
      </w:r>
      <w:r w:rsidR="007844A4">
        <w:t xml:space="preserve">d Criteria </w:t>
      </w:r>
      <w:r w:rsidR="00CF652B" w:rsidRPr="001B36C9">
        <w:t>(ST/SG/AC.10/11/Rev.6</w:t>
      </w:r>
      <w:r w:rsidR="00970880" w:rsidRPr="001B36C9">
        <w:t>)</w:t>
      </w:r>
      <w:r w:rsidR="007844A4" w:rsidRPr="001B36C9">
        <w:t xml:space="preserve"> </w:t>
      </w:r>
      <w:r w:rsidR="001B36C9" w:rsidRPr="001B36C9">
        <w:t>(as amended by ST/SG/AC.10/11/Rev.6/Amend.1)</w:t>
      </w:r>
    </w:p>
    <w:p w:rsidR="00203CA8" w:rsidRDefault="007C1FC6" w:rsidP="000519DB">
      <w:pPr>
        <w:pStyle w:val="H1G"/>
      </w:pPr>
      <w:r w:rsidRPr="007C1FC6">
        <w:tab/>
      </w:r>
      <w:r w:rsidRPr="007C1FC6">
        <w:tab/>
      </w:r>
      <w:r w:rsidR="00CE3F88" w:rsidRPr="006F467B">
        <w:rPr>
          <w:lang w:val="en-US"/>
        </w:rPr>
        <w:tab/>
      </w:r>
      <w:r w:rsidR="00203CA8" w:rsidRPr="00755589">
        <w:t xml:space="preserve">Section </w:t>
      </w:r>
      <w:r w:rsidR="00203CA8">
        <w:t>32</w:t>
      </w:r>
    </w:p>
    <w:p w:rsidR="00203CA8" w:rsidRPr="00F96F3B" w:rsidRDefault="00203CA8" w:rsidP="00203CA8">
      <w:pPr>
        <w:pStyle w:val="SingleTxtG"/>
        <w:rPr>
          <w:lang w:val="en-US"/>
        </w:rPr>
      </w:pPr>
      <w:r w:rsidRPr="00F96F3B">
        <w:rPr>
          <w:lang w:val="en-US"/>
        </w:rPr>
        <w:t>32.5.1.1</w:t>
      </w:r>
      <w:r w:rsidRPr="00F96F3B">
        <w:rPr>
          <w:lang w:val="en-US"/>
        </w:rPr>
        <w:tab/>
        <w:t xml:space="preserve">At the end, delete </w:t>
      </w:r>
      <w:r>
        <w:rPr>
          <w:lang w:val="en-US"/>
        </w:rPr>
        <w:t>“</w:t>
      </w:r>
      <w:r w:rsidRPr="00F96F3B">
        <w:rPr>
          <w:lang w:val="en-US"/>
        </w:rPr>
        <w:t>with a flas</w:t>
      </w:r>
      <w:r>
        <w:rPr>
          <w:lang w:val="en-US"/>
        </w:rPr>
        <w:t>h point of less than 23 °C”.</w:t>
      </w:r>
    </w:p>
    <w:p w:rsidR="00203CA8" w:rsidRDefault="00203CA8" w:rsidP="00203CA8">
      <w:pPr>
        <w:pStyle w:val="SingleTxtG"/>
        <w:rPr>
          <w:i/>
          <w:iCs/>
          <w:lang w:val="en-US"/>
        </w:rPr>
      </w:pPr>
      <w:r w:rsidRPr="001539C6">
        <w:rPr>
          <w:i/>
          <w:iCs/>
        </w:rPr>
        <w:t>(</w:t>
      </w:r>
      <w:r w:rsidRPr="00325855">
        <w:rPr>
          <w:i/>
          <w:iCs/>
          <w:lang w:val="en-US"/>
        </w:rPr>
        <w:t>Reference document: ST/SG/AC.10/</w:t>
      </w:r>
      <w:r>
        <w:rPr>
          <w:i/>
          <w:iCs/>
          <w:lang w:val="en-US"/>
        </w:rPr>
        <w:t>C.3/2018/4)</w:t>
      </w:r>
    </w:p>
    <w:p w:rsidR="00970880" w:rsidRDefault="009774B3" w:rsidP="000519DB">
      <w:pPr>
        <w:pStyle w:val="H23G"/>
        <w:rPr>
          <w:lang w:val="en-US"/>
        </w:rPr>
      </w:pPr>
      <w:r>
        <w:tab/>
      </w:r>
      <w:r>
        <w:tab/>
      </w:r>
      <w:r w:rsidR="00F76320" w:rsidRPr="0089475D">
        <w:rPr>
          <w:lang w:val="en-US"/>
        </w:rPr>
        <w:tab/>
      </w:r>
      <w:r w:rsidR="00F76320">
        <w:rPr>
          <w:lang w:val="en-US"/>
        </w:rPr>
        <w:t>Appendix 10</w:t>
      </w:r>
    </w:p>
    <w:p w:rsidR="00F76320" w:rsidRPr="006037D5" w:rsidRDefault="00F76320" w:rsidP="00F76320">
      <w:pPr>
        <w:pStyle w:val="SingleTxtG"/>
        <w:tabs>
          <w:tab w:val="left" w:pos="1701"/>
        </w:tabs>
      </w:pPr>
      <w:r w:rsidRPr="006037D5">
        <w:t>Insert a new appendix 10 to read as follows:</w:t>
      </w:r>
    </w:p>
    <w:p w:rsidR="00F76320" w:rsidRPr="00991582" w:rsidRDefault="00F76320" w:rsidP="00F76320">
      <w:pPr>
        <w:pStyle w:val="HChG"/>
        <w:spacing w:line="240" w:lineRule="auto"/>
        <w:jc w:val="center"/>
        <w:rPr>
          <w:sz w:val="20"/>
          <w:lang w:val="en-US"/>
        </w:rPr>
      </w:pPr>
      <w:r w:rsidRPr="00991582">
        <w:rPr>
          <w:sz w:val="20"/>
          <w:lang w:val="en-US"/>
        </w:rPr>
        <w:t>“</w:t>
      </w:r>
      <w:r w:rsidRPr="006037D5">
        <w:rPr>
          <w:sz w:val="20"/>
          <w:lang w:val="en-US"/>
        </w:rPr>
        <w:t>APPENDIX 10</w:t>
      </w:r>
    </w:p>
    <w:p w:rsidR="00F76320" w:rsidRPr="00991582" w:rsidRDefault="00F76320" w:rsidP="00F76320">
      <w:pPr>
        <w:pStyle w:val="HChG"/>
        <w:spacing w:before="0"/>
        <w:jc w:val="center"/>
        <w:rPr>
          <w:sz w:val="20"/>
          <w:lang w:val="en-US"/>
        </w:rPr>
      </w:pPr>
      <w:r w:rsidRPr="006037D5">
        <w:rPr>
          <w:sz w:val="20"/>
          <w:lang w:val="en-US"/>
        </w:rPr>
        <w:t>STABILITY TESTS FOR NITROCELLULOSE MIXTURES</w:t>
      </w:r>
    </w:p>
    <w:p w:rsidR="00F76320" w:rsidRPr="00991582" w:rsidRDefault="00F76320" w:rsidP="00F76320">
      <w:pPr>
        <w:pStyle w:val="H1G"/>
        <w:tabs>
          <w:tab w:val="left" w:pos="1134"/>
          <w:tab w:val="left" w:pos="1985"/>
        </w:tabs>
        <w:ind w:left="862" w:firstLine="0"/>
        <w:rPr>
          <w:sz w:val="20"/>
        </w:rPr>
      </w:pPr>
      <w:r w:rsidRPr="00991582">
        <w:rPr>
          <w:sz w:val="20"/>
        </w:rPr>
        <w:tab/>
        <w:t>1.</w:t>
      </w:r>
      <w:r w:rsidRPr="00991582">
        <w:rPr>
          <w:sz w:val="20"/>
        </w:rPr>
        <w:tab/>
        <w:t>Introduction</w:t>
      </w:r>
    </w:p>
    <w:p w:rsidR="00F76320" w:rsidRPr="006037D5" w:rsidRDefault="00F76320" w:rsidP="00F76320">
      <w:pPr>
        <w:pStyle w:val="SingleTxtG"/>
        <w:tabs>
          <w:tab w:val="left" w:pos="1985"/>
        </w:tabs>
      </w:pPr>
      <w:r w:rsidRPr="006037D5">
        <w:t>1.1</w:t>
      </w:r>
      <w:r w:rsidRPr="006037D5">
        <w:tab/>
        <w:t xml:space="preserve">The Bergmann Junk test and the methyl violet paper test are used to determine whether nitrocellulose mixtures </w:t>
      </w:r>
      <w:proofErr w:type="gramStart"/>
      <w:r w:rsidRPr="006037D5">
        <w:t>are considered to be</w:t>
      </w:r>
      <w:proofErr w:type="gramEnd"/>
      <w:r w:rsidRPr="006037D5">
        <w:t xml:space="preserve"> stable for transport. </w:t>
      </w:r>
    </w:p>
    <w:p w:rsidR="00F76320" w:rsidRPr="006037D5" w:rsidRDefault="00F76320" w:rsidP="00F76320">
      <w:pPr>
        <w:pStyle w:val="SingleTxtG"/>
        <w:tabs>
          <w:tab w:val="left" w:pos="1985"/>
        </w:tabs>
      </w:pPr>
      <w:r w:rsidRPr="006037D5">
        <w:t>1.2</w:t>
      </w:r>
      <w:r w:rsidRPr="006037D5">
        <w:tab/>
        <w:t xml:space="preserve">The methyl violet paper test is a qualitative test and determines the stability of a nitrocellulose mixture by examining the colour change of reagent paper over </w:t>
      </w:r>
      <w:proofErr w:type="gramStart"/>
      <w:r w:rsidRPr="006037D5">
        <w:t>a period of time</w:t>
      </w:r>
      <w:proofErr w:type="gramEnd"/>
      <w:r w:rsidRPr="006037D5">
        <w:t xml:space="preserve">. </w:t>
      </w:r>
    </w:p>
    <w:p w:rsidR="00F76320" w:rsidRPr="006037D5" w:rsidRDefault="00F76320" w:rsidP="00F76320">
      <w:pPr>
        <w:pStyle w:val="SingleTxtG"/>
        <w:tabs>
          <w:tab w:val="left" w:pos="1985"/>
        </w:tabs>
        <w:rPr>
          <w:lang w:val="en-US"/>
        </w:rPr>
      </w:pPr>
      <w:r w:rsidRPr="006037D5">
        <w:rPr>
          <w:lang w:val="en-US"/>
        </w:rPr>
        <w:t>1.3</w:t>
      </w:r>
      <w:r w:rsidRPr="006037D5">
        <w:rPr>
          <w:lang w:val="en-US"/>
        </w:rPr>
        <w:tab/>
        <w:t>The Bergmann-Junk test is a quantitative stability test applicable to all types of nitrocellulose mixtures (NC). The test measures the quantity of NO gas per g NC given off</w:t>
      </w:r>
      <w:r w:rsidRPr="006037D5">
        <w:t xml:space="preserve"> by </w:t>
      </w:r>
      <w:r w:rsidRPr="006037D5">
        <w:rPr>
          <w:lang w:val="en-US"/>
        </w:rPr>
        <w:t xml:space="preserve">nitrocellulose heated for two hours at 132 °C determined by titration with alkali. The expression “NO gas” comprises all types of NO-gas formed during the heating for 2 hours at 132 °C. The Bergmann Junk test method allows a reliable and reproducible quantitative assessment of chemical stability. </w:t>
      </w:r>
      <w:proofErr w:type="gramStart"/>
      <w:r w:rsidRPr="006037D5">
        <w:rPr>
          <w:lang w:val="en-US"/>
        </w:rPr>
        <w:t>Thus</w:t>
      </w:r>
      <w:proofErr w:type="gramEnd"/>
      <w:r w:rsidRPr="006037D5">
        <w:rPr>
          <w:lang w:val="en-US"/>
        </w:rPr>
        <w:t xml:space="preserve"> this test is the preferred method. </w:t>
      </w:r>
    </w:p>
    <w:p w:rsidR="00F76320" w:rsidRPr="00991582" w:rsidRDefault="00F76320" w:rsidP="00F76320">
      <w:pPr>
        <w:pStyle w:val="H1G"/>
        <w:tabs>
          <w:tab w:val="left" w:pos="1985"/>
        </w:tabs>
        <w:rPr>
          <w:sz w:val="20"/>
        </w:rPr>
      </w:pPr>
      <w:r w:rsidRPr="00991582">
        <w:rPr>
          <w:sz w:val="20"/>
        </w:rPr>
        <w:tab/>
      </w:r>
      <w:r w:rsidRPr="00991582">
        <w:rPr>
          <w:sz w:val="20"/>
        </w:rPr>
        <w:tab/>
        <w:t>2.</w:t>
      </w:r>
      <w:r w:rsidRPr="00991582">
        <w:rPr>
          <w:sz w:val="20"/>
        </w:rPr>
        <w:tab/>
        <w:t>Bergmann-Junk test</w:t>
      </w:r>
    </w:p>
    <w:p w:rsidR="00F76320" w:rsidRPr="006037D5" w:rsidRDefault="00F76320" w:rsidP="00F76320">
      <w:pPr>
        <w:pStyle w:val="H23G"/>
        <w:tabs>
          <w:tab w:val="left" w:pos="1985"/>
        </w:tabs>
      </w:pPr>
      <w:r w:rsidRPr="006037D5">
        <w:tab/>
      </w:r>
      <w:r w:rsidRPr="006037D5">
        <w:tab/>
        <w:t>2.1</w:t>
      </w:r>
      <w:r w:rsidRPr="006037D5">
        <w:tab/>
        <w:t>Introduction</w:t>
      </w:r>
    </w:p>
    <w:p w:rsidR="00F76320" w:rsidRPr="006037D5" w:rsidRDefault="00F76320" w:rsidP="00F76320">
      <w:pPr>
        <w:pStyle w:val="SingleTxtG"/>
        <w:tabs>
          <w:tab w:val="left" w:pos="1985"/>
        </w:tabs>
        <w:ind w:firstLine="851"/>
        <w:rPr>
          <w:lang w:val="en-US"/>
        </w:rPr>
      </w:pPr>
      <w:r w:rsidRPr="006037D5">
        <w:rPr>
          <w:lang w:val="en-US"/>
        </w:rPr>
        <w:t xml:space="preserve">The Bergmann-Junk test is a quantitative stability test applicable to all types of nitrocellulose (NC). The test measures the quantity of NO gas per g of NC given off by 1 (one) or 2 (two) gram(s) of nitrocellulose heated for two hours at 132 °C </w:t>
      </w:r>
      <w:r w:rsidRPr="006037D5">
        <w:sym w:font="Symbol" w:char="F0B1"/>
      </w:r>
      <w:r w:rsidRPr="006037D5">
        <w:rPr>
          <w:lang w:val="en-US"/>
        </w:rPr>
        <w:t xml:space="preserve"> </w:t>
      </w:r>
      <w:r w:rsidRPr="006037D5">
        <w:rPr>
          <w:bCs/>
          <w:lang w:val="en-US"/>
        </w:rPr>
        <w:t>1</w:t>
      </w:r>
      <w:r w:rsidRPr="006037D5">
        <w:rPr>
          <w:color w:val="0000FF"/>
          <w:lang w:val="en-US"/>
        </w:rPr>
        <w:t xml:space="preserve"> </w:t>
      </w:r>
      <w:r w:rsidRPr="006037D5">
        <w:rPr>
          <w:lang w:val="en-US"/>
        </w:rPr>
        <w:t xml:space="preserve">°C </w:t>
      </w:r>
      <w:r w:rsidRPr="006037D5">
        <w:rPr>
          <w:i/>
          <w:iCs/>
          <w:lang w:val="en-US"/>
        </w:rPr>
        <w:t>(</w:t>
      </w:r>
      <w:proofErr w:type="spellStart"/>
      <w:r w:rsidRPr="006037D5">
        <w:rPr>
          <w:i/>
          <w:iCs/>
          <w:lang w:val="en-US"/>
        </w:rPr>
        <w:t>Plasticised</w:t>
      </w:r>
      <w:proofErr w:type="spellEnd"/>
      <w:r w:rsidRPr="006037D5">
        <w:rPr>
          <w:i/>
          <w:iCs/>
          <w:lang w:val="en-US"/>
        </w:rPr>
        <w:t xml:space="preserve"> NC: 3 (three) grams are heated for 1 hour)</w:t>
      </w:r>
      <w:r w:rsidRPr="006037D5">
        <w:rPr>
          <w:lang w:val="en-US"/>
        </w:rPr>
        <w:t xml:space="preserve"> as determined by titration with alkali. </w:t>
      </w:r>
    </w:p>
    <w:p w:rsidR="00F76320" w:rsidRPr="006037D5" w:rsidRDefault="00F76320" w:rsidP="00F76320">
      <w:pPr>
        <w:pStyle w:val="H23G"/>
        <w:tabs>
          <w:tab w:val="left" w:pos="1985"/>
        </w:tabs>
        <w:ind w:firstLine="0"/>
      </w:pPr>
      <w:r w:rsidRPr="006037D5">
        <w:t>2.2</w:t>
      </w:r>
      <w:r w:rsidRPr="006037D5">
        <w:tab/>
        <w:t>Apparatus</w:t>
      </w:r>
      <w:r w:rsidRPr="006037D5">
        <w:rPr>
          <w:lang w:val="en-US"/>
        </w:rPr>
        <w:t xml:space="preserve"> and materials</w:t>
      </w:r>
    </w:p>
    <w:p w:rsidR="00F76320" w:rsidRPr="006037D5" w:rsidRDefault="00F76320" w:rsidP="00F76320">
      <w:pPr>
        <w:pStyle w:val="SingleTxtG"/>
        <w:tabs>
          <w:tab w:val="left" w:pos="1985"/>
        </w:tabs>
      </w:pPr>
      <w:r w:rsidRPr="006037D5">
        <w:rPr>
          <w:lang w:val="en-US"/>
        </w:rPr>
        <w:t>2.2.1</w:t>
      </w:r>
      <w:r w:rsidRPr="006037D5">
        <w:rPr>
          <w:lang w:val="en-US"/>
        </w:rPr>
        <w:tab/>
      </w:r>
      <w:r w:rsidRPr="006037D5">
        <w:t>Analytical balance, precision 1</w:t>
      </w:r>
      <w:r w:rsidRPr="006037D5">
        <w:rPr>
          <w:lang w:val="en-US"/>
        </w:rPr>
        <w:t>0</w:t>
      </w:r>
      <w:r w:rsidRPr="006037D5">
        <w:t xml:space="preserve"> mg or better.</w:t>
      </w:r>
    </w:p>
    <w:p w:rsidR="00F76320" w:rsidRPr="006037D5" w:rsidRDefault="00F76320" w:rsidP="00F76320">
      <w:pPr>
        <w:pStyle w:val="SingleTxtG"/>
        <w:tabs>
          <w:tab w:val="left" w:pos="1985"/>
        </w:tabs>
      </w:pPr>
      <w:r w:rsidRPr="006037D5">
        <w:rPr>
          <w:lang w:val="en-US"/>
        </w:rPr>
        <w:t>2</w:t>
      </w:r>
      <w:r w:rsidRPr="006037D5">
        <w:t>.2.2</w:t>
      </w:r>
      <w:r w:rsidRPr="006037D5">
        <w:tab/>
        <w:t>Bergman-Junk tube made of clear glass, approximately 17.5</w:t>
      </w:r>
      <w:r w:rsidRPr="006037D5">
        <w:rPr>
          <w:lang w:val="en-US"/>
        </w:rPr>
        <w:t xml:space="preserve"> </w:t>
      </w:r>
      <w:r w:rsidRPr="006037D5">
        <w:t>mm inner</w:t>
      </w:r>
      <w:r w:rsidRPr="006037D5">
        <w:rPr>
          <w:lang w:val="en-US"/>
        </w:rPr>
        <w:t xml:space="preserve"> </w:t>
      </w:r>
      <w:r w:rsidRPr="006037D5">
        <w:t>diameter, 19.5 mm, outer diameter, and 270 mm to 350 mm long fitted with a</w:t>
      </w:r>
      <w:r w:rsidRPr="006037D5">
        <w:rPr>
          <w:lang w:val="en-US"/>
        </w:rPr>
        <w:t xml:space="preserve"> </w:t>
      </w:r>
      <w:r w:rsidRPr="006037D5">
        <w:t>condensing chamber. Several different types of suitable condensing chambers are commercially available. (for examples see figures A10.1 and A10.2).</w:t>
      </w:r>
    </w:p>
    <w:p w:rsidR="00F76320" w:rsidRPr="006037D5" w:rsidRDefault="00F76320" w:rsidP="00F76320">
      <w:pPr>
        <w:pStyle w:val="SingleTxtG"/>
        <w:tabs>
          <w:tab w:val="left" w:pos="1985"/>
        </w:tabs>
      </w:pPr>
      <w:r w:rsidRPr="006037D5">
        <w:rPr>
          <w:lang w:val="en-US"/>
        </w:rPr>
        <w:t>2</w:t>
      </w:r>
      <w:r w:rsidRPr="006037D5">
        <w:t>.2.3</w:t>
      </w:r>
      <w:r w:rsidRPr="006037D5">
        <w:tab/>
        <w:t>Stability bath: Oil or suitable fluid bath or metal block capable of</w:t>
      </w:r>
      <w:r w:rsidRPr="006037D5">
        <w:rPr>
          <w:lang w:val="en-US"/>
        </w:rPr>
        <w:t xml:space="preserve"> </w:t>
      </w:r>
      <w:r w:rsidRPr="006037D5">
        <w:t xml:space="preserve">maintaining the temperature of the stability tubes at 132 °C </w:t>
      </w:r>
      <w:r w:rsidRPr="006037D5">
        <w:sym w:font="Symbol" w:char="F0B1"/>
      </w:r>
      <w:r w:rsidRPr="006037D5">
        <w:t xml:space="preserve"> </w:t>
      </w:r>
      <w:r w:rsidRPr="006037D5">
        <w:rPr>
          <w:bCs/>
        </w:rPr>
        <w:t>1</w:t>
      </w:r>
      <w:r w:rsidRPr="006037D5">
        <w:t xml:space="preserve"> °C</w:t>
      </w:r>
      <w:r w:rsidRPr="006037D5">
        <w:rPr>
          <w:lang w:val="en-US"/>
        </w:rPr>
        <w:t xml:space="preserve"> or better</w:t>
      </w:r>
      <w:r w:rsidRPr="006037D5">
        <w:t>. The</w:t>
      </w:r>
      <w:r w:rsidRPr="006037D5">
        <w:rPr>
          <w:lang w:val="en-US"/>
        </w:rPr>
        <w:t xml:space="preserve"> </w:t>
      </w:r>
      <w:r w:rsidRPr="006037D5">
        <w:t>temperature of the bath should be monitored with a calibrated thermometer or</w:t>
      </w:r>
      <w:r w:rsidRPr="006037D5">
        <w:rPr>
          <w:lang w:val="en-US"/>
        </w:rPr>
        <w:t xml:space="preserve"> </w:t>
      </w:r>
      <w:r w:rsidRPr="006037D5">
        <w:t xml:space="preserve">thermocouple (precision 0.1 </w:t>
      </w:r>
      <w:proofErr w:type="spellStart"/>
      <w:r w:rsidRPr="006037D5">
        <w:rPr>
          <w:vertAlign w:val="superscript"/>
        </w:rPr>
        <w:t>o</w:t>
      </w:r>
      <w:r w:rsidRPr="006037D5">
        <w:t>C</w:t>
      </w:r>
      <w:proofErr w:type="spellEnd"/>
      <w:r w:rsidRPr="006037D5">
        <w:t xml:space="preserve">) which </w:t>
      </w:r>
      <w:proofErr w:type="gramStart"/>
      <w:r w:rsidRPr="006037D5">
        <w:t>is located in</w:t>
      </w:r>
      <w:proofErr w:type="gramEnd"/>
      <w:r w:rsidRPr="006037D5">
        <w:t xml:space="preserve"> one of the test wells.</w:t>
      </w:r>
    </w:p>
    <w:p w:rsidR="00F76320" w:rsidRPr="006037D5" w:rsidRDefault="00F76320" w:rsidP="00F76320">
      <w:pPr>
        <w:pStyle w:val="SingleTxtG"/>
        <w:tabs>
          <w:tab w:val="left" w:pos="1985"/>
        </w:tabs>
        <w:rPr>
          <w:lang w:val="en-US"/>
        </w:rPr>
      </w:pPr>
      <w:r w:rsidRPr="006037D5">
        <w:rPr>
          <w:lang w:val="en-US"/>
        </w:rPr>
        <w:t>2.2.4</w:t>
      </w:r>
      <w:r w:rsidRPr="006037D5">
        <w:rPr>
          <w:lang w:val="en-US"/>
        </w:rPr>
        <w:tab/>
        <w:t xml:space="preserve">The </w:t>
      </w:r>
      <w:r w:rsidRPr="006037D5">
        <w:t>following</w:t>
      </w:r>
      <w:r w:rsidRPr="006037D5">
        <w:rPr>
          <w:lang w:val="en-US"/>
        </w:rPr>
        <w:t xml:space="preserve"> apparatus is required: </w:t>
      </w:r>
    </w:p>
    <w:p w:rsidR="00F76320" w:rsidRPr="006037D5" w:rsidRDefault="00F76320" w:rsidP="00F76320">
      <w:pPr>
        <w:pStyle w:val="SingleTxtG"/>
        <w:tabs>
          <w:tab w:val="left" w:pos="2268"/>
        </w:tabs>
        <w:ind w:left="2268" w:hanging="283"/>
      </w:pPr>
      <w:r w:rsidRPr="006037D5">
        <w:t>-</w:t>
      </w:r>
      <w:r w:rsidRPr="006037D5">
        <w:tab/>
        <w:t>10 cm</w:t>
      </w:r>
      <w:r w:rsidRPr="006037D5">
        <w:rPr>
          <w:vertAlign w:val="superscript"/>
        </w:rPr>
        <w:t>3</w:t>
      </w:r>
      <w:r w:rsidRPr="006037D5">
        <w:t xml:space="preserve"> semi-automatic pipette or equivalent.</w:t>
      </w:r>
    </w:p>
    <w:p w:rsidR="00F76320" w:rsidRPr="006037D5" w:rsidRDefault="00F76320" w:rsidP="00F76320">
      <w:pPr>
        <w:pStyle w:val="SingleTxtG"/>
        <w:tabs>
          <w:tab w:val="left" w:pos="2268"/>
        </w:tabs>
        <w:ind w:left="2268" w:hanging="283"/>
      </w:pPr>
      <w:r w:rsidRPr="006037D5">
        <w:t>-</w:t>
      </w:r>
      <w:r w:rsidRPr="006037D5">
        <w:tab/>
        <w:t>250 cm</w:t>
      </w:r>
      <w:r w:rsidRPr="006037D5">
        <w:rPr>
          <w:vertAlign w:val="superscript"/>
        </w:rPr>
        <w:t>3</w:t>
      </w:r>
      <w:r w:rsidRPr="006037D5">
        <w:t xml:space="preserve"> conical flash with wide neck.</w:t>
      </w:r>
    </w:p>
    <w:p w:rsidR="00F76320" w:rsidRPr="006037D5" w:rsidRDefault="00F76320" w:rsidP="00F76320">
      <w:pPr>
        <w:pStyle w:val="SingleTxtG"/>
        <w:tabs>
          <w:tab w:val="left" w:pos="2268"/>
        </w:tabs>
        <w:ind w:left="2268" w:hanging="283"/>
      </w:pPr>
      <w:r w:rsidRPr="006037D5">
        <w:t>-</w:t>
      </w:r>
      <w:r w:rsidRPr="006037D5">
        <w:tab/>
        <w:t>50 cm</w:t>
      </w:r>
      <w:r w:rsidRPr="006037D5">
        <w:rPr>
          <w:vertAlign w:val="superscript"/>
        </w:rPr>
        <w:t>3</w:t>
      </w:r>
      <w:r w:rsidRPr="006037D5">
        <w:t xml:space="preserve"> test tube.</w:t>
      </w:r>
    </w:p>
    <w:p w:rsidR="00F76320" w:rsidRPr="006037D5" w:rsidRDefault="00F76320" w:rsidP="00F76320">
      <w:pPr>
        <w:pStyle w:val="SingleTxtG"/>
        <w:tabs>
          <w:tab w:val="left" w:pos="2268"/>
        </w:tabs>
        <w:ind w:left="2268" w:hanging="283"/>
      </w:pPr>
      <w:r w:rsidRPr="006037D5">
        <w:t>-</w:t>
      </w:r>
      <w:r w:rsidRPr="006037D5">
        <w:tab/>
        <w:t>Titration burette 10 ml to 25 ml; or automated potentiometric titration apparatus with pH-electrode and calibrated class A burette</w:t>
      </w:r>
    </w:p>
    <w:p w:rsidR="00F76320" w:rsidRPr="006037D5" w:rsidRDefault="00F76320" w:rsidP="00F76320">
      <w:pPr>
        <w:pStyle w:val="SingleTxtG"/>
        <w:tabs>
          <w:tab w:val="left" w:pos="1985"/>
        </w:tabs>
      </w:pPr>
      <w:r w:rsidRPr="006037D5">
        <w:t>2.2.5</w:t>
      </w:r>
      <w:r w:rsidRPr="006037D5">
        <w:tab/>
        <w:t>Sodium hydroxide (</w:t>
      </w:r>
      <w:proofErr w:type="spellStart"/>
      <w:r w:rsidRPr="006037D5">
        <w:t>NaOH</w:t>
      </w:r>
      <w:proofErr w:type="spellEnd"/>
      <w:r w:rsidRPr="006037D5">
        <w:t xml:space="preserve">) solution </w:t>
      </w:r>
      <w:r w:rsidRPr="006037D5">
        <w:rPr>
          <w:lang w:val="en-US"/>
        </w:rPr>
        <w:t xml:space="preserve">0.01 </w:t>
      </w:r>
      <w:proofErr w:type="spellStart"/>
      <w:r w:rsidRPr="006037D5">
        <w:rPr>
          <w:lang w:val="en-US"/>
        </w:rPr>
        <w:t>mol</w:t>
      </w:r>
      <w:proofErr w:type="spellEnd"/>
      <w:r w:rsidRPr="006037D5">
        <w:rPr>
          <w:lang w:val="en-US"/>
        </w:rPr>
        <w:t xml:space="preserve">/l, specification 0.009998 to 0.01002 </w:t>
      </w:r>
      <w:proofErr w:type="spellStart"/>
      <w:r w:rsidRPr="006037D5">
        <w:rPr>
          <w:lang w:val="en-US"/>
        </w:rPr>
        <w:t>mol</w:t>
      </w:r>
      <w:proofErr w:type="spellEnd"/>
      <w:r w:rsidRPr="006037D5">
        <w:rPr>
          <w:lang w:val="en-US"/>
        </w:rPr>
        <w:t xml:space="preserve">/l for manual titration with a standard burette, or 0.1 </w:t>
      </w:r>
      <w:proofErr w:type="spellStart"/>
      <w:r w:rsidRPr="006037D5">
        <w:rPr>
          <w:lang w:val="en-US"/>
        </w:rPr>
        <w:t>mol</w:t>
      </w:r>
      <w:proofErr w:type="spellEnd"/>
      <w:r w:rsidRPr="006037D5">
        <w:rPr>
          <w:lang w:val="en-US"/>
        </w:rPr>
        <w:t>/l for the titration with an automated potentiometric titration apparatus with pH-electrode and calibrated class A burette, with factor determined to obtain the exact molarity of the sodium hydroxide solution.</w:t>
      </w:r>
    </w:p>
    <w:p w:rsidR="00F76320" w:rsidRPr="006037D5" w:rsidRDefault="00827B78" w:rsidP="00F76320">
      <w:pPr>
        <w:pStyle w:val="SingleTxtG"/>
      </w:pPr>
      <w:r>
        <w:rPr>
          <w:lang w:val="en-US"/>
        </w:rPr>
        <w:t>2.2.6</w:t>
      </w:r>
      <w:r>
        <w:rPr>
          <w:lang w:val="en-US"/>
        </w:rPr>
        <w:tab/>
      </w:r>
      <w:r w:rsidR="00F76320" w:rsidRPr="006037D5">
        <w:rPr>
          <w:lang w:val="en-US"/>
        </w:rPr>
        <w:t>S</w:t>
      </w:r>
      <w:proofErr w:type="spellStart"/>
      <w:r w:rsidR="00F76320" w:rsidRPr="006037D5">
        <w:t>uitable</w:t>
      </w:r>
      <w:proofErr w:type="spellEnd"/>
      <w:r w:rsidR="00F76320" w:rsidRPr="006037D5">
        <w:t xml:space="preserve"> pH indicator e.g. methyl orange, methyl red, methyl red/methylene blue or R8 B3 coloured indicating fluid (</w:t>
      </w:r>
      <w:proofErr w:type="spellStart"/>
      <w:r w:rsidR="00F76320" w:rsidRPr="006037D5">
        <w:t>Tacchiro</w:t>
      </w:r>
      <w:proofErr w:type="spellEnd"/>
      <w:r w:rsidR="00F76320" w:rsidRPr="006037D5">
        <w:t>). Solution composed of 1 % alcohol mixed with 8 g of methyl red and 3 g of purple methyl</w:t>
      </w:r>
      <w:r w:rsidR="00F76320" w:rsidRPr="006037D5">
        <w:rPr>
          <w:lang w:val="en-US"/>
        </w:rPr>
        <w:t xml:space="preserve"> (if manual titration is used)</w:t>
      </w:r>
      <w:r w:rsidR="00F76320" w:rsidRPr="006037D5">
        <w:t>.</w:t>
      </w:r>
    </w:p>
    <w:p w:rsidR="00F76320" w:rsidRPr="006037D5" w:rsidRDefault="00F76320" w:rsidP="00F76320">
      <w:pPr>
        <w:pStyle w:val="SingleTxtG"/>
      </w:pPr>
      <w:r w:rsidRPr="006037D5">
        <w:rPr>
          <w:lang w:val="en-US"/>
        </w:rPr>
        <w:t>2.2.7</w:t>
      </w:r>
      <w:r w:rsidRPr="006037D5">
        <w:tab/>
        <w:t>Fully deionized or distilled water with a conductivity &lt; 1 µS</w:t>
      </w:r>
      <w:r>
        <w:rPr>
          <w:lang w:val="en-US"/>
        </w:rPr>
        <w:t>/cm (micro Siemens </w:t>
      </w:r>
      <w:r w:rsidRPr="006037D5">
        <w:rPr>
          <w:lang w:val="en-US"/>
        </w:rPr>
        <w:t>/cm)</w:t>
      </w:r>
      <w:r w:rsidRPr="006037D5">
        <w:t>.</w:t>
      </w:r>
    </w:p>
    <w:p w:rsidR="00F76320" w:rsidRPr="006037D5" w:rsidRDefault="00F76320" w:rsidP="00F76320">
      <w:pPr>
        <w:pStyle w:val="H23G"/>
        <w:tabs>
          <w:tab w:val="left" w:pos="2268"/>
        </w:tabs>
      </w:pPr>
      <w:r w:rsidRPr="006037D5">
        <w:rPr>
          <w:lang w:val="en-US"/>
        </w:rPr>
        <w:tab/>
      </w:r>
      <w:r w:rsidRPr="006037D5">
        <w:rPr>
          <w:lang w:val="en-US"/>
        </w:rPr>
        <w:tab/>
        <w:t>2.3</w:t>
      </w:r>
      <w:r w:rsidRPr="006037D5">
        <w:rPr>
          <w:lang w:val="en-US"/>
        </w:rPr>
        <w:tab/>
      </w:r>
      <w:r w:rsidRPr="006037D5">
        <w:t>Procedure</w:t>
      </w:r>
    </w:p>
    <w:p w:rsidR="00F76320" w:rsidRPr="006037D5" w:rsidRDefault="00F76320" w:rsidP="00F76320">
      <w:pPr>
        <w:pStyle w:val="SingleTxtG"/>
        <w:tabs>
          <w:tab w:val="left" w:pos="2268"/>
        </w:tabs>
      </w:pPr>
      <w:r w:rsidRPr="006037D5">
        <w:t>2.3.1</w:t>
      </w:r>
      <w:r w:rsidRPr="006037D5">
        <w:tab/>
        <w:t xml:space="preserve">Weigh 1 (one) or 2 (two) gram(s) of dry NC to an accuracy of 0.01 g. </w:t>
      </w:r>
      <w:r w:rsidRPr="006037D5">
        <w:rPr>
          <w:i/>
          <w:iCs/>
        </w:rPr>
        <w:t>(Weigh 3 (three) grams of plasticised NC to an accuracy of 0.01 g)</w:t>
      </w:r>
      <w:r w:rsidRPr="006037D5">
        <w:t>. The moisture content of the sample must be below 1 % after the drying process and at the time, when it is introduced in the tube.</w:t>
      </w:r>
      <w:r w:rsidRPr="006037D5">
        <w:rPr>
          <w:lang w:val="en-US"/>
        </w:rPr>
        <w:t xml:space="preserve"> (Drying conditions must be chosen, which avoid a decomposition of the NC, e.g. 50 °C in a vacuum oven)</w:t>
      </w:r>
      <w:r w:rsidRPr="006037D5">
        <w:t xml:space="preserve"> With the help of a funnel introduce this into the tube which must be dry and clean. Wipe the ground section thoroughly and adjust the condensing chamber making sure that the above is well greased with silicone grease; it may also not be greased</w:t>
      </w:r>
      <w:r w:rsidRPr="006037D5">
        <w:rPr>
          <w:color w:val="0000FF"/>
        </w:rPr>
        <w:t>.</w:t>
      </w:r>
    </w:p>
    <w:p w:rsidR="00F76320" w:rsidRPr="006037D5" w:rsidRDefault="00F76320" w:rsidP="00F76320">
      <w:pPr>
        <w:pStyle w:val="SingleTxtG"/>
        <w:tabs>
          <w:tab w:val="left" w:pos="2268"/>
        </w:tabs>
      </w:pPr>
      <w:r w:rsidRPr="006037D5">
        <w:rPr>
          <w:lang w:val="en-US"/>
        </w:rPr>
        <w:t>2</w:t>
      </w:r>
      <w:r w:rsidRPr="006037D5">
        <w:t>.3.2</w:t>
      </w:r>
      <w:r w:rsidRPr="006037D5">
        <w:tab/>
        <w:t xml:space="preserve">Measure out 15 ml to </w:t>
      </w:r>
      <w:r w:rsidRPr="006037D5">
        <w:rPr>
          <w:bCs/>
        </w:rPr>
        <w:t>50</w:t>
      </w:r>
      <w:r w:rsidRPr="006037D5">
        <w:rPr>
          <w:b/>
        </w:rPr>
        <w:t xml:space="preserve"> </w:t>
      </w:r>
      <w:r w:rsidRPr="006037D5">
        <w:t>ml of distilled water, depending on the condenser type, in a test tube and pour into the bulbs of the condenser. Ensure that no water enters the stability tube.</w:t>
      </w:r>
    </w:p>
    <w:p w:rsidR="00F76320" w:rsidRPr="006037D5" w:rsidRDefault="00F76320" w:rsidP="00F76320">
      <w:pPr>
        <w:pStyle w:val="SingleTxtG"/>
        <w:tabs>
          <w:tab w:val="left" w:pos="2268"/>
        </w:tabs>
      </w:pPr>
      <w:r w:rsidRPr="006037D5">
        <w:rPr>
          <w:lang w:val="en-US"/>
        </w:rPr>
        <w:t>2</w:t>
      </w:r>
      <w:r w:rsidRPr="006037D5">
        <w:t>.3.3</w:t>
      </w:r>
      <w:r w:rsidRPr="006037D5">
        <w:tab/>
        <w:t xml:space="preserve">Make sure that the stability bath has reached a temperature of 132 °C </w:t>
      </w:r>
      <w:r w:rsidRPr="006037D5">
        <w:sym w:font="Symbol" w:char="F0B1"/>
      </w:r>
      <w:r w:rsidRPr="006037D5">
        <w:t xml:space="preserve"> </w:t>
      </w:r>
      <w:r w:rsidRPr="006037D5">
        <w:rPr>
          <w:bCs/>
        </w:rPr>
        <w:t>1</w:t>
      </w:r>
      <w:r w:rsidRPr="006037D5">
        <w:t xml:space="preserve"> °C and then insert each tube into one of the apertures in the bath. The depth of immersion of the tube will vary depending</w:t>
      </w:r>
      <w:r w:rsidRPr="006037D5">
        <w:rPr>
          <w:color w:val="1F497D"/>
        </w:rPr>
        <w:t xml:space="preserve"> </w:t>
      </w:r>
      <w:r w:rsidRPr="006037D5">
        <w:t xml:space="preserve">on the type of stability bath used but must be between 110 mm </w:t>
      </w:r>
      <w:r w:rsidRPr="006037D5">
        <w:rPr>
          <w:bCs/>
        </w:rPr>
        <w:t>and 220</w:t>
      </w:r>
      <w:r w:rsidRPr="006037D5">
        <w:t xml:space="preserve"> mm</w:t>
      </w:r>
      <w:r w:rsidRPr="006037D5">
        <w:rPr>
          <w:color w:val="1F497D"/>
        </w:rPr>
        <w:t>.</w:t>
      </w:r>
      <w:r w:rsidRPr="006037D5">
        <w:t xml:space="preserve"> Make a note of the time at which the experiment begins.</w:t>
      </w:r>
    </w:p>
    <w:p w:rsidR="00F76320" w:rsidRPr="006037D5" w:rsidRDefault="00F76320" w:rsidP="00F76320">
      <w:pPr>
        <w:pStyle w:val="SingleTxtG"/>
        <w:tabs>
          <w:tab w:val="left" w:pos="2268"/>
        </w:tabs>
      </w:pPr>
      <w:r w:rsidRPr="006037D5">
        <w:rPr>
          <w:lang w:val="en-US"/>
        </w:rPr>
        <w:t>2.3.4</w:t>
      </w:r>
      <w:r w:rsidRPr="006037D5">
        <w:rPr>
          <w:lang w:val="en-US"/>
        </w:rPr>
        <w:tab/>
      </w:r>
      <w:r w:rsidRPr="006037D5">
        <w:t xml:space="preserve">Maintain the tubes at a temperature of 132 °C </w:t>
      </w:r>
      <w:r w:rsidRPr="006037D5">
        <w:sym w:font="Symbol" w:char="F0B1"/>
      </w:r>
      <w:r w:rsidRPr="006037D5">
        <w:t xml:space="preserve"> </w:t>
      </w:r>
      <w:r w:rsidRPr="006037D5">
        <w:rPr>
          <w:bCs/>
        </w:rPr>
        <w:t>1</w:t>
      </w:r>
      <w:r w:rsidRPr="006037D5">
        <w:t xml:space="preserve"> °C for two hours unless pronounced fuming is observed.  If fuming occurs, the test shall be stopped </w:t>
      </w:r>
      <w:proofErr w:type="gramStart"/>
      <w:r w:rsidRPr="006037D5">
        <w:t>immediately</w:t>
      </w:r>
      <w:proofErr w:type="gramEnd"/>
      <w:r w:rsidRPr="006037D5">
        <w:t xml:space="preserve"> and the duration of the heating period noted.</w:t>
      </w:r>
    </w:p>
    <w:p w:rsidR="00F76320" w:rsidRPr="006037D5" w:rsidRDefault="00F76320" w:rsidP="00F76320">
      <w:pPr>
        <w:pStyle w:val="SingleTxtG"/>
        <w:tabs>
          <w:tab w:val="left" w:pos="2268"/>
        </w:tabs>
      </w:pPr>
      <w:r w:rsidRPr="006037D5">
        <w:rPr>
          <w:lang w:val="en-US"/>
        </w:rPr>
        <w:t>2.3.5</w:t>
      </w:r>
      <w:r w:rsidRPr="006037D5">
        <w:rPr>
          <w:lang w:val="en-US"/>
        </w:rPr>
        <w:tab/>
      </w:r>
      <w:r w:rsidRPr="006037D5">
        <w:t xml:space="preserve">After two hours at 132 °C </w:t>
      </w:r>
      <w:r w:rsidRPr="006037D5">
        <w:rPr>
          <w:bCs/>
          <w:i/>
          <w:iCs/>
        </w:rPr>
        <w:t>(1 hour for plasticised NC)</w:t>
      </w:r>
      <w:r w:rsidRPr="006037D5">
        <w:rPr>
          <w:b/>
          <w:color w:val="0000FF"/>
        </w:rPr>
        <w:t xml:space="preserve"> </w:t>
      </w:r>
      <w:r w:rsidRPr="006037D5">
        <w:t xml:space="preserve">remove the tube from the bath, place it in its stand and allow to cool behind a safety screen. During this time some water may be drawn into the lower tube. After </w:t>
      </w:r>
      <w:r>
        <w:rPr>
          <w:bCs/>
        </w:rPr>
        <w:t>30</w:t>
      </w:r>
      <w:r w:rsidRPr="006037D5">
        <w:t xml:space="preserve"> min cooling transfer the contents of the condensing chamber into the lower tube and rinse the condensing chamber with distilled water. </w:t>
      </w:r>
    </w:p>
    <w:p w:rsidR="00F76320" w:rsidRPr="006037D5" w:rsidRDefault="00F76320" w:rsidP="00F76320">
      <w:pPr>
        <w:pStyle w:val="SingleTxtG"/>
        <w:tabs>
          <w:tab w:val="left" w:pos="2268"/>
        </w:tabs>
      </w:pPr>
      <w:r w:rsidRPr="006037D5">
        <w:rPr>
          <w:lang w:val="en-US"/>
        </w:rPr>
        <w:t>2.3.6</w:t>
      </w:r>
      <w:r w:rsidRPr="006037D5">
        <w:rPr>
          <w:lang w:val="en-US"/>
        </w:rPr>
        <w:tab/>
      </w:r>
      <w:r w:rsidRPr="006037D5">
        <w:t xml:space="preserve">Transfer the contents of the lower tube into the conical flask and rinse with distilled water. The total amount of liquid should not be more than 175 ml. </w:t>
      </w:r>
    </w:p>
    <w:p w:rsidR="00F76320" w:rsidRPr="006037D5" w:rsidRDefault="00F76320" w:rsidP="00F76320">
      <w:pPr>
        <w:pStyle w:val="SingleTxtG"/>
        <w:tabs>
          <w:tab w:val="left" w:pos="2268"/>
        </w:tabs>
        <w:rPr>
          <w:strike/>
        </w:rPr>
      </w:pPr>
      <w:r w:rsidRPr="006037D5">
        <w:rPr>
          <w:lang w:val="en-US"/>
        </w:rPr>
        <w:t>2.3.7</w:t>
      </w:r>
      <w:r w:rsidRPr="006037D5">
        <w:rPr>
          <w:lang w:val="en-US"/>
        </w:rPr>
        <w:tab/>
      </w:r>
      <w:r w:rsidRPr="006037D5">
        <w:t xml:space="preserve">Titrate with </w:t>
      </w:r>
      <w:proofErr w:type="spellStart"/>
      <w:r>
        <w:t>c</w:t>
      </w:r>
      <w:r w:rsidRPr="006037D5">
        <w:rPr>
          <w:vertAlign w:val="subscript"/>
        </w:rPr>
        <w:t>NaOH</w:t>
      </w:r>
      <w:proofErr w:type="spellEnd"/>
      <w:r w:rsidRPr="006037D5">
        <w:t xml:space="preserve"> </w:t>
      </w:r>
      <w:r w:rsidRPr="006037D5">
        <w:rPr>
          <w:lang w:val="en-US"/>
        </w:rPr>
        <w:t xml:space="preserve">= </w:t>
      </w:r>
      <w:r w:rsidRPr="006037D5">
        <w:t xml:space="preserve">0.01 </w:t>
      </w:r>
      <w:proofErr w:type="spellStart"/>
      <w:r w:rsidRPr="006037D5">
        <w:t>mol</w:t>
      </w:r>
      <w:proofErr w:type="spellEnd"/>
      <w:r w:rsidRPr="006037D5">
        <w:t>/l sodium hydroxide solution</w:t>
      </w:r>
      <w:r w:rsidRPr="006037D5">
        <w:rPr>
          <w:lang w:val="en-US"/>
        </w:rPr>
        <w:t xml:space="preserve"> until the color of the indicator changes</w:t>
      </w:r>
      <w:r w:rsidRPr="006037D5">
        <w:t>.</w:t>
      </w:r>
    </w:p>
    <w:p w:rsidR="00F76320" w:rsidRPr="00F76320" w:rsidRDefault="00F76320" w:rsidP="00F76320">
      <w:pPr>
        <w:pStyle w:val="H4G"/>
        <w:tabs>
          <w:tab w:val="left" w:pos="2268"/>
        </w:tabs>
        <w:rPr>
          <w:lang w:val="es-ES"/>
        </w:rPr>
      </w:pPr>
      <w:r w:rsidRPr="006037D5">
        <w:rPr>
          <w:lang w:val="en-US"/>
        </w:rPr>
        <w:tab/>
      </w:r>
      <w:r w:rsidRPr="006037D5">
        <w:rPr>
          <w:lang w:val="en-US"/>
        </w:rPr>
        <w:tab/>
      </w:r>
      <w:r w:rsidRPr="00F76320">
        <w:rPr>
          <w:i w:val="0"/>
          <w:lang w:val="es-ES"/>
        </w:rPr>
        <w:t>2.3.8</w:t>
      </w:r>
      <w:r w:rsidRPr="00F76320">
        <w:rPr>
          <w:lang w:val="es-ES"/>
        </w:rPr>
        <w:tab/>
      </w:r>
      <w:proofErr w:type="spellStart"/>
      <w:r w:rsidRPr="00F76320">
        <w:rPr>
          <w:lang w:val="es-ES"/>
        </w:rPr>
        <w:t>Calculations</w:t>
      </w:r>
      <w:proofErr w:type="spellEnd"/>
    </w:p>
    <w:p w:rsidR="00F76320" w:rsidRPr="00F76320" w:rsidRDefault="00F76320" w:rsidP="00F76320">
      <w:pPr>
        <w:rPr>
          <w:lang w:val="es-ES"/>
        </w:rPr>
      </w:pPr>
    </w:p>
    <w:p w:rsidR="00F76320" w:rsidRPr="00F76320" w:rsidRDefault="00F76320" w:rsidP="00F76320">
      <w:pPr>
        <w:pStyle w:val="SingleTxtG"/>
        <w:jc w:val="center"/>
        <w:rPr>
          <w:b/>
          <w:lang w:val="es-ES"/>
        </w:rPr>
      </w:pPr>
      <w:r w:rsidRPr="00F76320">
        <w:rPr>
          <w:b/>
          <w:lang w:val="es-ES"/>
        </w:rPr>
        <w:t>2 NaOH + 2 NO + ½ O</w:t>
      </w:r>
      <w:r w:rsidRPr="00F76320">
        <w:rPr>
          <w:b/>
          <w:vertAlign w:val="subscript"/>
          <w:lang w:val="es-ES"/>
        </w:rPr>
        <w:t>2</w:t>
      </w:r>
      <w:r w:rsidRPr="00F76320">
        <w:rPr>
          <w:b/>
          <w:lang w:val="es-ES"/>
        </w:rPr>
        <w:t xml:space="preserve"> </w:t>
      </w:r>
      <w:r w:rsidRPr="006037D5">
        <w:rPr>
          <w:b/>
        </w:rPr>
        <w:sym w:font="Wingdings" w:char="F0E0"/>
      </w:r>
      <w:r w:rsidRPr="00F76320">
        <w:rPr>
          <w:b/>
          <w:lang w:val="es-ES"/>
        </w:rPr>
        <w:t xml:space="preserve"> 2 NaNO</w:t>
      </w:r>
      <w:r w:rsidRPr="00F76320">
        <w:rPr>
          <w:b/>
          <w:vertAlign w:val="subscript"/>
          <w:lang w:val="es-ES"/>
        </w:rPr>
        <w:t>2</w:t>
      </w:r>
      <w:r w:rsidRPr="00F76320">
        <w:rPr>
          <w:b/>
          <w:lang w:val="es-ES"/>
        </w:rPr>
        <w:t xml:space="preserve"> + H</w:t>
      </w:r>
      <w:r w:rsidRPr="00F76320">
        <w:rPr>
          <w:b/>
          <w:vertAlign w:val="subscript"/>
          <w:lang w:val="es-ES"/>
        </w:rPr>
        <w:t>2</w:t>
      </w:r>
      <w:r w:rsidRPr="00F76320">
        <w:rPr>
          <w:b/>
          <w:lang w:val="es-ES"/>
        </w:rPr>
        <w:t>0</w:t>
      </w:r>
    </w:p>
    <w:p w:rsidR="00F76320" w:rsidRPr="00F76320" w:rsidRDefault="00F76320" w:rsidP="00F76320">
      <w:pPr>
        <w:pStyle w:val="SingleTxtG"/>
        <w:jc w:val="center"/>
        <w:rPr>
          <w:b/>
          <w:lang w:val="es-ES"/>
        </w:rPr>
      </w:pPr>
    </w:p>
    <w:p w:rsidR="00F76320" w:rsidRPr="006037D5" w:rsidRDefault="00DF5DFE" w:rsidP="00F76320">
      <w:pPr>
        <w:pStyle w:val="SingleTxtG"/>
        <w:jc w:val="cente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NO</m:t>
              </m:r>
            </m:sub>
          </m:sSub>
          <m:r>
            <w:rPr>
              <w:rFonts w:ascii="Cambria Math" w:hAnsi="Cambria Math"/>
            </w:rPr>
            <m:t>=</m:t>
          </m:r>
          <m:f>
            <m:fPr>
              <m:ctrlPr>
                <w:rPr>
                  <w:rFonts w:ascii="Cambria Math" w:hAnsi="Cambria Math"/>
                  <w:i/>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 xml:space="preserve">NO,m </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NC</m:t>
                  </m:r>
                </m:sub>
              </m:sSub>
            </m:den>
          </m:f>
          <m:r>
            <w:rPr>
              <w:rFonts w:ascii="Cambria Math" w:hAnsi="Cambria Math"/>
            </w:rPr>
            <m:t xml:space="preserve">= </m:t>
          </m:r>
          <m:f>
            <m:fPr>
              <m:ctrlPr>
                <w:rPr>
                  <w:rFonts w:ascii="Cambria Math" w:hAnsi="Cambria Math"/>
                  <w:i/>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×0.224</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NC</m:t>
                  </m:r>
                </m:sub>
              </m:sSub>
            </m:den>
          </m:f>
          <m: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×0.224</m:t>
          </m:r>
        </m:oMath>
      </m:oMathPara>
    </w:p>
    <w:p w:rsidR="00F76320" w:rsidRPr="00991582" w:rsidRDefault="00F76320" w:rsidP="00F76320">
      <w:pPr>
        <w:pStyle w:val="SingleTxtG"/>
        <w:jc w:val="left"/>
      </w:pPr>
      <w:r w:rsidRPr="00991582">
        <w:t>where:</w:t>
      </w:r>
    </w:p>
    <w:p w:rsidR="00F76320" w:rsidRPr="006037D5" w:rsidRDefault="00F76320" w:rsidP="00F76320">
      <w:pPr>
        <w:pStyle w:val="SingleTxtG"/>
        <w:rPr>
          <w:lang w:val="en-US"/>
        </w:rPr>
      </w:pPr>
      <w:r w:rsidRPr="006037D5">
        <w:t>V</w:t>
      </w:r>
      <w:r w:rsidRPr="006037D5">
        <w:rPr>
          <w:vertAlign w:val="subscript"/>
        </w:rPr>
        <w:t>NO</w:t>
      </w:r>
      <w:r w:rsidRPr="006037D5">
        <w:t xml:space="preserve"> </w:t>
      </w:r>
      <w:r w:rsidRPr="006037D5">
        <w:tab/>
        <w:t>= volume of the evolved nitrogen oxide in cm</w:t>
      </w:r>
      <w:r w:rsidRPr="006037D5">
        <w:rPr>
          <w:vertAlign w:val="superscript"/>
        </w:rPr>
        <w:t>3</w:t>
      </w:r>
      <w:r w:rsidRPr="006037D5">
        <w:t>/g</w:t>
      </w:r>
      <w:r w:rsidRPr="006037D5">
        <w:rPr>
          <w:lang w:val="en-US"/>
        </w:rPr>
        <w:t xml:space="preserve"> nitrocellulose</w:t>
      </w:r>
    </w:p>
    <w:p w:rsidR="00F76320" w:rsidRPr="006037D5" w:rsidRDefault="00F76320" w:rsidP="00F76320">
      <w:pPr>
        <w:pStyle w:val="SingleTxtG"/>
      </w:pPr>
      <w:proofErr w:type="spellStart"/>
      <w:r w:rsidRPr="006037D5">
        <w:t>c</w:t>
      </w:r>
      <w:r w:rsidRPr="006037D5">
        <w:rPr>
          <w:vertAlign w:val="subscript"/>
        </w:rPr>
        <w:t>NaOH</w:t>
      </w:r>
      <w:proofErr w:type="spellEnd"/>
      <w:r w:rsidRPr="006037D5">
        <w:t xml:space="preserve"> </w:t>
      </w:r>
      <w:r w:rsidRPr="006037D5">
        <w:tab/>
        <w:t xml:space="preserve">= concentration of sodium hydroxide solution = 0.01 </w:t>
      </w:r>
      <w:proofErr w:type="spellStart"/>
      <w:r w:rsidRPr="006037D5">
        <w:t>mol</w:t>
      </w:r>
      <w:proofErr w:type="spellEnd"/>
      <w:r w:rsidRPr="006037D5">
        <w:t>/l</w:t>
      </w:r>
    </w:p>
    <w:p w:rsidR="00F76320" w:rsidRPr="006037D5" w:rsidRDefault="00F76320" w:rsidP="00F76320">
      <w:pPr>
        <w:pStyle w:val="SingleTxtG"/>
      </w:pPr>
      <w:proofErr w:type="spellStart"/>
      <w:r w:rsidRPr="006037D5">
        <w:t>C</w:t>
      </w:r>
      <w:r w:rsidRPr="006037D5">
        <w:rPr>
          <w:vertAlign w:val="subscript"/>
        </w:rPr>
        <w:t>NaOH</w:t>
      </w:r>
      <w:proofErr w:type="spellEnd"/>
      <w:r w:rsidRPr="006037D5">
        <w:t xml:space="preserve"> </w:t>
      </w:r>
      <w:r w:rsidRPr="006037D5">
        <w:tab/>
        <w:t>= consumption of sodium hydroxide solution in ml.</w:t>
      </w:r>
    </w:p>
    <w:p w:rsidR="00F76320" w:rsidRPr="006037D5" w:rsidRDefault="00F76320" w:rsidP="00F76320">
      <w:pPr>
        <w:pStyle w:val="SingleTxtG"/>
      </w:pPr>
      <w:proofErr w:type="spellStart"/>
      <w:proofErr w:type="gramStart"/>
      <w:r w:rsidRPr="006037D5">
        <w:t>V</w:t>
      </w:r>
      <w:r w:rsidRPr="006037D5">
        <w:rPr>
          <w:vertAlign w:val="subscript"/>
        </w:rPr>
        <w:t>NO,m</w:t>
      </w:r>
      <w:proofErr w:type="spellEnd"/>
      <w:proofErr w:type="gramEnd"/>
      <w:r w:rsidRPr="006037D5">
        <w:rPr>
          <w:vertAlign w:val="subscript"/>
        </w:rPr>
        <w:t xml:space="preserve"> </w:t>
      </w:r>
      <w:r w:rsidRPr="006037D5">
        <w:tab/>
        <w:t>= molar volume of NO</w:t>
      </w:r>
      <w:r w:rsidRPr="006037D5">
        <w:rPr>
          <w:lang w:val="en-US"/>
        </w:rPr>
        <w:t xml:space="preserve"> gas</w:t>
      </w:r>
      <w:r w:rsidRPr="006037D5">
        <w:t xml:space="preserve"> = 22.</w:t>
      </w:r>
      <w:r w:rsidRPr="006037D5">
        <w:rPr>
          <w:lang w:val="en-US"/>
        </w:rPr>
        <w:t>4</w:t>
      </w:r>
      <w:r w:rsidRPr="006037D5">
        <w:t xml:space="preserve"> l/</w:t>
      </w:r>
      <w:proofErr w:type="spellStart"/>
      <w:r w:rsidRPr="006037D5">
        <w:t>mol</w:t>
      </w:r>
      <w:proofErr w:type="spellEnd"/>
    </w:p>
    <w:p w:rsidR="00F76320" w:rsidRPr="006037D5" w:rsidRDefault="00F76320" w:rsidP="00F76320">
      <w:pPr>
        <w:pStyle w:val="SingleTxtG"/>
      </w:pPr>
      <w:proofErr w:type="spellStart"/>
      <w:r w:rsidRPr="006037D5">
        <w:t>m</w:t>
      </w:r>
      <w:r w:rsidRPr="006037D5">
        <w:rPr>
          <w:vertAlign w:val="subscript"/>
        </w:rPr>
        <w:t>NC</w:t>
      </w:r>
      <w:proofErr w:type="spellEnd"/>
      <w:r w:rsidRPr="006037D5">
        <w:t xml:space="preserve"> </w:t>
      </w:r>
      <w:r w:rsidRPr="006037D5">
        <w:tab/>
        <w:t xml:space="preserve">= mass </w:t>
      </w:r>
      <w:r w:rsidRPr="006037D5">
        <w:rPr>
          <w:lang w:val="en-US"/>
        </w:rPr>
        <w:t xml:space="preserve">of </w:t>
      </w:r>
      <w:r w:rsidRPr="006037D5">
        <w:t>nitrocellulose in g</w:t>
      </w:r>
    </w:p>
    <w:p w:rsidR="00F76320" w:rsidRPr="006037D5" w:rsidRDefault="00F76320" w:rsidP="00F76320">
      <w:pPr>
        <w:pStyle w:val="SingleTxtG"/>
        <w:rPr>
          <w:lang w:val="en-US"/>
        </w:rPr>
      </w:pPr>
      <w:r w:rsidRPr="006037D5">
        <w:rPr>
          <w:lang w:val="en-US"/>
        </w:rPr>
        <w:t xml:space="preserve">If a sodium hydroxide solution with </w:t>
      </w:r>
      <w:proofErr w:type="spellStart"/>
      <w:r w:rsidRPr="006037D5">
        <w:t>c</w:t>
      </w:r>
      <w:r w:rsidRPr="006037D5">
        <w:rPr>
          <w:vertAlign w:val="subscript"/>
        </w:rPr>
        <w:t>NaOH</w:t>
      </w:r>
      <w:proofErr w:type="spellEnd"/>
      <w:r w:rsidRPr="006037D5">
        <w:t xml:space="preserve"> </w:t>
      </w:r>
      <w:r w:rsidRPr="006037D5">
        <w:tab/>
        <w:t xml:space="preserve">= concentration of sodium hydroxide solution = 0.1 </w:t>
      </w:r>
      <w:proofErr w:type="spellStart"/>
      <w:r w:rsidRPr="006037D5">
        <w:t>mol</w:t>
      </w:r>
      <w:proofErr w:type="spellEnd"/>
      <w:r w:rsidRPr="006037D5">
        <w:t>/l</w:t>
      </w:r>
      <w:r w:rsidRPr="006037D5">
        <w:rPr>
          <w:lang w:val="en-US"/>
        </w:rPr>
        <w:t xml:space="preserve"> is used, the formula is:</w:t>
      </w:r>
    </w:p>
    <w:p w:rsidR="00F76320" w:rsidRPr="006037D5" w:rsidRDefault="00DF5DFE" w:rsidP="00F76320">
      <w:pPr>
        <w:pStyle w:val="SingleTxtG"/>
        <w:rPr>
          <w:lang w:val="en-US"/>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NO</m:t>
              </m:r>
            </m:sub>
          </m:sSub>
          <m: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×2.24</m:t>
          </m:r>
        </m:oMath>
      </m:oMathPara>
    </w:p>
    <w:p w:rsidR="00F76320" w:rsidRPr="006037D5" w:rsidRDefault="00F76320" w:rsidP="00F76320">
      <w:pPr>
        <w:pStyle w:val="SingleTxtG"/>
      </w:pPr>
      <w:r w:rsidRPr="006037D5">
        <w:t xml:space="preserve">The formula </w:t>
      </w:r>
      <w:proofErr w:type="gramStart"/>
      <w:r w:rsidRPr="006037D5">
        <w:t>is based on the assumption</w:t>
      </w:r>
      <w:proofErr w:type="gramEnd"/>
      <w:r w:rsidRPr="006037D5">
        <w:t xml:space="preserve"> that nitrogen oxide evolves as NO and that NO is an ideal gas; according on the ideal gas law, 1 </w:t>
      </w:r>
      <w:proofErr w:type="spellStart"/>
      <w:r w:rsidRPr="006037D5">
        <w:t>mol</w:t>
      </w:r>
      <w:proofErr w:type="spellEnd"/>
      <w:r w:rsidRPr="006037D5">
        <w:t xml:space="preserve"> of gas occupies a volume of 22.4 </w:t>
      </w:r>
      <w:r w:rsidRPr="00991582">
        <w:rPr>
          <w:i/>
        </w:rPr>
        <w:t>l</w:t>
      </w:r>
      <w:r w:rsidRPr="006037D5">
        <w:t>.</w:t>
      </w:r>
    </w:p>
    <w:p w:rsidR="00F76320" w:rsidRPr="006037D5" w:rsidRDefault="00F76320" w:rsidP="00F76320">
      <w:pPr>
        <w:pStyle w:val="SingleTxtG"/>
      </w:pPr>
      <w:r w:rsidRPr="006037D5">
        <w:t>The total absence of acidity in the water is verified by a mock test; otherwise the value determined by the mock test is subtracted.</w:t>
      </w:r>
    </w:p>
    <w:p w:rsidR="00F76320" w:rsidRPr="006037D5" w:rsidRDefault="00F76320" w:rsidP="00F76320">
      <w:pPr>
        <w:pStyle w:val="SingleTxtG"/>
      </w:pPr>
      <w:proofErr w:type="gramStart"/>
      <w:r w:rsidRPr="006037D5">
        <w:t>Also</w:t>
      </w:r>
      <w:proofErr w:type="gramEnd"/>
      <w:r w:rsidRPr="006037D5">
        <w:t xml:space="preserve"> aliquot portions of the water containing the NO gas may be used, resulting in different factors in the formula.</w:t>
      </w:r>
    </w:p>
    <w:p w:rsidR="00F76320" w:rsidRPr="006037D5" w:rsidRDefault="00F76320" w:rsidP="00F76320">
      <w:pPr>
        <w:pStyle w:val="H23G"/>
        <w:tabs>
          <w:tab w:val="left" w:pos="1985"/>
        </w:tabs>
      </w:pPr>
      <w:r w:rsidRPr="006037D5">
        <w:tab/>
      </w:r>
      <w:r w:rsidRPr="006037D5">
        <w:tab/>
        <w:t>2.4</w:t>
      </w:r>
      <w:r w:rsidRPr="006037D5">
        <w:tab/>
        <w:t>Test criteria and method of assessing results</w:t>
      </w:r>
    </w:p>
    <w:p w:rsidR="00F76320" w:rsidRPr="006037D5" w:rsidRDefault="00F76320" w:rsidP="00F76320">
      <w:pPr>
        <w:pStyle w:val="SingleTxtG"/>
        <w:tabs>
          <w:tab w:val="left" w:pos="1985"/>
        </w:tabs>
      </w:pPr>
      <w:r w:rsidRPr="006037D5">
        <w:t>2.4.1</w:t>
      </w:r>
      <w:r w:rsidRPr="006037D5">
        <w:tab/>
      </w:r>
      <w:r w:rsidR="00F7477C" w:rsidRPr="004D6A30">
        <w:t>The test result is considered "+" and the substance is classified as unstable if the quantity of NO gas given off is more than 2.5 ml</w:t>
      </w:r>
      <w:r w:rsidR="00F7477C">
        <w:t>/g of NC</w:t>
      </w:r>
      <w:r w:rsidR="00F7477C" w:rsidRPr="004D6A30">
        <w:t>. If the quantity of NO gas given off is less than or equal to 2.5 ml</w:t>
      </w:r>
      <w:r w:rsidR="00F7477C">
        <w:t>/g,</w:t>
      </w:r>
      <w:r w:rsidR="00F7477C" w:rsidRPr="004D6A30">
        <w:t xml:space="preserve"> of NC the result is "-" and the substance is classified as stable.</w:t>
      </w:r>
    </w:p>
    <w:p w:rsidR="00F7477C" w:rsidRPr="00F7477C" w:rsidRDefault="00F7477C" w:rsidP="007405ED">
      <w:pPr>
        <w:pStyle w:val="H23G"/>
        <w:tabs>
          <w:tab w:val="left" w:pos="1985"/>
        </w:tabs>
      </w:pPr>
      <w:r>
        <w:tab/>
      </w:r>
      <w:r>
        <w:tab/>
      </w:r>
      <w:r w:rsidR="007405ED">
        <w:t>2.5</w:t>
      </w:r>
      <w:r w:rsidR="007405ED">
        <w:tab/>
      </w:r>
      <w:r w:rsidRPr="00F7477C">
        <w:t>Examples of results</w:t>
      </w:r>
      <w:r w:rsidRPr="00F7477C">
        <w:br/>
      </w:r>
    </w:p>
    <w:tbl>
      <w:tblPr>
        <w:tblW w:w="0" w:type="auto"/>
        <w:jc w:val="center"/>
        <w:tblCellMar>
          <w:left w:w="0" w:type="dxa"/>
          <w:right w:w="0" w:type="dxa"/>
        </w:tblCellMar>
        <w:tblLook w:val="04A0" w:firstRow="1" w:lastRow="0" w:firstColumn="1" w:lastColumn="0" w:noHBand="0" w:noVBand="1"/>
      </w:tblPr>
      <w:tblGrid>
        <w:gridCol w:w="3587"/>
        <w:gridCol w:w="2792"/>
      </w:tblGrid>
      <w:tr w:rsidR="00F7477C" w:rsidRPr="00285368" w:rsidTr="00CE3F88">
        <w:trPr>
          <w:jc w:val="center"/>
        </w:trPr>
        <w:tc>
          <w:tcPr>
            <w:tcW w:w="3587" w:type="dxa"/>
            <w:tcBorders>
              <w:top w:val="single" w:sz="8" w:space="0" w:color="auto"/>
              <w:left w:val="nil"/>
              <w:bottom w:val="single" w:sz="8" w:space="0" w:color="auto"/>
              <w:right w:val="nil"/>
            </w:tcBorders>
            <w:hideMark/>
          </w:tcPr>
          <w:p w:rsidR="00F7477C" w:rsidRPr="00285368" w:rsidRDefault="00F7477C" w:rsidP="00CE3F88">
            <w:pPr>
              <w:pStyle w:val="p1"/>
              <w:spacing w:before="30" w:after="30" w:line="240" w:lineRule="atLeast"/>
              <w:jc w:val="center"/>
              <w:rPr>
                <w:bCs/>
                <w:sz w:val="20"/>
                <w:szCs w:val="20"/>
                <w:lang w:eastAsia="en-GB"/>
              </w:rPr>
            </w:pPr>
            <w:r w:rsidRPr="00285368">
              <w:rPr>
                <w:bCs/>
                <w:sz w:val="20"/>
                <w:szCs w:val="20"/>
                <w:lang w:eastAsia="en-GB"/>
              </w:rPr>
              <w:t xml:space="preserve">Quantity of NO gas/g </w:t>
            </w:r>
            <w:r>
              <w:rPr>
                <w:bCs/>
                <w:sz w:val="20"/>
                <w:szCs w:val="20"/>
                <w:lang w:eastAsia="en-GB"/>
              </w:rPr>
              <w:t>of NC</w:t>
            </w:r>
          </w:p>
        </w:tc>
        <w:tc>
          <w:tcPr>
            <w:tcW w:w="2792" w:type="dxa"/>
            <w:tcBorders>
              <w:top w:val="single" w:sz="8" w:space="0" w:color="auto"/>
              <w:left w:val="nil"/>
              <w:bottom w:val="single" w:sz="8" w:space="0" w:color="auto"/>
              <w:right w:val="nil"/>
            </w:tcBorders>
            <w:hideMark/>
          </w:tcPr>
          <w:p w:rsidR="00F7477C" w:rsidRPr="00285368" w:rsidRDefault="00F7477C" w:rsidP="00CE3F88">
            <w:pPr>
              <w:pStyle w:val="p1"/>
              <w:spacing w:before="30" w:after="30" w:line="240" w:lineRule="atLeast"/>
              <w:jc w:val="center"/>
              <w:rPr>
                <w:bCs/>
                <w:sz w:val="20"/>
                <w:szCs w:val="20"/>
                <w:lang w:eastAsia="en-GB"/>
              </w:rPr>
            </w:pPr>
            <w:r w:rsidRPr="00285368">
              <w:rPr>
                <w:bCs/>
                <w:sz w:val="20"/>
                <w:szCs w:val="20"/>
                <w:lang w:eastAsia="en-GB"/>
              </w:rPr>
              <w:t>Result</w:t>
            </w:r>
          </w:p>
        </w:tc>
      </w:tr>
      <w:tr w:rsidR="00F7477C" w:rsidRPr="00285368" w:rsidTr="00CE3F88">
        <w:trPr>
          <w:jc w:val="center"/>
        </w:trPr>
        <w:tc>
          <w:tcPr>
            <w:tcW w:w="3587" w:type="dxa"/>
            <w:hideMark/>
          </w:tcPr>
          <w:p w:rsidR="00F7477C" w:rsidRPr="00285368" w:rsidRDefault="00F7477C" w:rsidP="00CE3F88">
            <w:pPr>
              <w:pStyle w:val="p1"/>
              <w:spacing w:line="240" w:lineRule="atLeast"/>
              <w:jc w:val="center"/>
              <w:rPr>
                <w:sz w:val="20"/>
                <w:szCs w:val="20"/>
                <w:lang w:eastAsia="en-GB"/>
              </w:rPr>
            </w:pPr>
            <w:r w:rsidRPr="00285368">
              <w:rPr>
                <w:sz w:val="20"/>
                <w:szCs w:val="20"/>
                <w:lang w:eastAsia="en-GB"/>
              </w:rPr>
              <w:t>2.6 ml</w:t>
            </w:r>
          </w:p>
        </w:tc>
        <w:tc>
          <w:tcPr>
            <w:tcW w:w="2792" w:type="dxa"/>
            <w:hideMark/>
          </w:tcPr>
          <w:p w:rsidR="00F7477C" w:rsidRPr="00285368" w:rsidRDefault="00F7477C" w:rsidP="00CE3F88">
            <w:pPr>
              <w:pStyle w:val="p1"/>
              <w:spacing w:line="240" w:lineRule="atLeast"/>
              <w:jc w:val="center"/>
              <w:rPr>
                <w:sz w:val="20"/>
                <w:szCs w:val="20"/>
                <w:lang w:eastAsia="en-GB"/>
              </w:rPr>
            </w:pPr>
            <w:r w:rsidRPr="00285368">
              <w:rPr>
                <w:sz w:val="20"/>
                <w:szCs w:val="20"/>
                <w:lang w:eastAsia="en-GB"/>
              </w:rPr>
              <w:t>+</w:t>
            </w:r>
          </w:p>
        </w:tc>
      </w:tr>
      <w:tr w:rsidR="00F7477C" w:rsidRPr="00285368" w:rsidTr="00CE3F88">
        <w:trPr>
          <w:jc w:val="center"/>
        </w:trPr>
        <w:tc>
          <w:tcPr>
            <w:tcW w:w="3587" w:type="dxa"/>
            <w:tcBorders>
              <w:top w:val="nil"/>
              <w:left w:val="nil"/>
              <w:bottom w:val="single" w:sz="8" w:space="0" w:color="auto"/>
              <w:right w:val="nil"/>
            </w:tcBorders>
            <w:hideMark/>
          </w:tcPr>
          <w:p w:rsidR="00F7477C" w:rsidRPr="00285368" w:rsidRDefault="00F7477C" w:rsidP="00CE3F88">
            <w:pPr>
              <w:pStyle w:val="p1"/>
              <w:spacing w:line="240" w:lineRule="atLeast"/>
              <w:jc w:val="center"/>
              <w:rPr>
                <w:sz w:val="20"/>
                <w:szCs w:val="20"/>
                <w:lang w:eastAsia="en-GB"/>
              </w:rPr>
            </w:pPr>
            <w:r w:rsidRPr="00285368">
              <w:rPr>
                <w:sz w:val="20"/>
                <w:szCs w:val="20"/>
                <w:lang w:eastAsia="en-GB"/>
              </w:rPr>
              <w:t xml:space="preserve">2.5 ml </w:t>
            </w:r>
          </w:p>
        </w:tc>
        <w:tc>
          <w:tcPr>
            <w:tcW w:w="2792" w:type="dxa"/>
            <w:tcBorders>
              <w:top w:val="nil"/>
              <w:left w:val="nil"/>
              <w:bottom w:val="single" w:sz="8" w:space="0" w:color="auto"/>
              <w:right w:val="nil"/>
            </w:tcBorders>
            <w:hideMark/>
          </w:tcPr>
          <w:p w:rsidR="00F7477C" w:rsidRPr="00285368" w:rsidRDefault="00F7477C" w:rsidP="00CE3F88">
            <w:pPr>
              <w:pStyle w:val="p1"/>
              <w:spacing w:line="240" w:lineRule="atLeast"/>
              <w:jc w:val="center"/>
              <w:rPr>
                <w:sz w:val="20"/>
                <w:szCs w:val="20"/>
                <w:lang w:eastAsia="en-GB"/>
              </w:rPr>
            </w:pPr>
            <w:r w:rsidRPr="00285368">
              <w:rPr>
                <w:sz w:val="20"/>
                <w:szCs w:val="20"/>
                <w:lang w:eastAsia="en-GB"/>
              </w:rPr>
              <w:t>–</w:t>
            </w:r>
          </w:p>
        </w:tc>
      </w:tr>
    </w:tbl>
    <w:p w:rsidR="00F7477C" w:rsidRPr="009979EA" w:rsidRDefault="00F7477C" w:rsidP="00FF5DE8">
      <w:pPr>
        <w:pStyle w:val="SingleTxtG"/>
        <w:widowControl w:val="0"/>
        <w:suppressAutoHyphens w:val="0"/>
        <w:spacing w:after="240" w:line="240" w:lineRule="auto"/>
        <w:ind w:right="729" w:firstLine="567"/>
      </w:pPr>
    </w:p>
    <w:p w:rsidR="00F76320" w:rsidRPr="006037D5" w:rsidRDefault="00F76320" w:rsidP="00F76320">
      <w:pPr>
        <w:pStyle w:val="SingleTxtG"/>
      </w:pPr>
    </w:p>
    <w:p w:rsidR="004D6838" w:rsidRDefault="004D6838" w:rsidP="00F76320">
      <w:pPr>
        <w:pStyle w:val="SingleTxtG"/>
        <w:rPr>
          <w:b/>
        </w:rPr>
      </w:pPr>
    </w:p>
    <w:p w:rsidR="004D6838" w:rsidRDefault="004D6838" w:rsidP="00F76320">
      <w:pPr>
        <w:pStyle w:val="SingleTxtG"/>
        <w:rPr>
          <w:b/>
        </w:rPr>
      </w:pPr>
    </w:p>
    <w:p w:rsidR="004D6838" w:rsidRDefault="004D6838" w:rsidP="00F76320">
      <w:pPr>
        <w:pStyle w:val="SingleTxtG"/>
        <w:rPr>
          <w:b/>
        </w:rPr>
      </w:pPr>
    </w:p>
    <w:p w:rsidR="004D6838" w:rsidRDefault="004D6838" w:rsidP="00F76320">
      <w:pPr>
        <w:pStyle w:val="SingleTxtG"/>
        <w:rPr>
          <w:b/>
        </w:rPr>
      </w:pPr>
    </w:p>
    <w:p w:rsidR="00F76320" w:rsidRPr="00F76320" w:rsidRDefault="004D6838" w:rsidP="00F76320">
      <w:pPr>
        <w:pStyle w:val="SingleTxtG"/>
        <w:rPr>
          <w:lang w:val="en-US"/>
        </w:rPr>
      </w:pPr>
      <w:r w:rsidRPr="006037D5">
        <w:rPr>
          <w:b/>
        </w:rPr>
        <w:t>Figure A10.1: Condensing chamber for Bergmann Junk test example 1</w:t>
      </w:r>
    </w:p>
    <w:p w:rsidR="00F76320" w:rsidRPr="006037D5" w:rsidRDefault="00D75949" w:rsidP="00F76320">
      <w:pPr>
        <w:pStyle w:val="SingleTxtG"/>
        <w:rPr>
          <w:lang w:val="en-US"/>
        </w:rPr>
      </w:pPr>
      <w:r>
        <w:rPr>
          <w:noProof/>
          <w:lang w:val="en-US"/>
        </w:rPr>
        <w:drawing>
          <wp:inline distT="0" distB="0" distL="0" distR="0">
            <wp:extent cx="4610100" cy="593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man Junk Tube (003)_figure best resolution.jpg"/>
                    <pic:cNvPicPr/>
                  </pic:nvPicPr>
                  <pic:blipFill>
                    <a:blip r:embed="rId9">
                      <a:extLst>
                        <a:ext uri="{28A0092B-C50C-407E-A947-70E740481C1C}">
                          <a14:useLocalDpi xmlns:a14="http://schemas.microsoft.com/office/drawing/2010/main" val="0"/>
                        </a:ext>
                      </a:extLst>
                    </a:blip>
                    <a:stretch>
                      <a:fillRect/>
                    </a:stretch>
                  </pic:blipFill>
                  <pic:spPr>
                    <a:xfrm>
                      <a:off x="0" y="0"/>
                      <a:ext cx="4610100" cy="5935980"/>
                    </a:xfrm>
                    <a:prstGeom prst="rect">
                      <a:avLst/>
                    </a:prstGeom>
                  </pic:spPr>
                </pic:pic>
              </a:graphicData>
            </a:graphic>
          </wp:inline>
        </w:drawing>
      </w:r>
    </w:p>
    <w:p w:rsidR="00F76320" w:rsidRPr="006037D5" w:rsidRDefault="00F76320" w:rsidP="00F76320">
      <w:pPr>
        <w:jc w:val="center"/>
        <w:rPr>
          <w:b/>
        </w:rPr>
      </w:pPr>
    </w:p>
    <w:p w:rsidR="00F76320" w:rsidRPr="006037D5" w:rsidRDefault="00F76320" w:rsidP="00F76320">
      <w:pPr>
        <w:pStyle w:val="SingleTxtG"/>
      </w:pPr>
    </w:p>
    <w:p w:rsidR="004D6838" w:rsidRPr="006037D5" w:rsidRDefault="00F76320" w:rsidP="004D6838">
      <w:pPr>
        <w:jc w:val="center"/>
        <w:rPr>
          <w:b/>
        </w:rPr>
      </w:pPr>
      <w:r w:rsidRPr="006037D5">
        <w:br w:type="page"/>
      </w:r>
      <w:r w:rsidR="004D6838" w:rsidRPr="006037D5">
        <w:rPr>
          <w:b/>
        </w:rPr>
        <w:t>Figure A10.2: Condensing chamber for Bergmann Junk test example 2</w:t>
      </w:r>
    </w:p>
    <w:p w:rsidR="00F76320" w:rsidRPr="006037D5" w:rsidRDefault="00F76320" w:rsidP="00F76320">
      <w:pPr>
        <w:suppressAutoHyphens w:val="0"/>
        <w:spacing w:line="240" w:lineRule="auto"/>
      </w:pPr>
    </w:p>
    <w:p w:rsidR="00F76320" w:rsidRPr="006037D5" w:rsidRDefault="00F76320" w:rsidP="00F76320">
      <w:pPr>
        <w:pStyle w:val="SingleTxtG"/>
      </w:pPr>
      <w:r w:rsidRPr="00991582">
        <w:rPr>
          <w:noProof/>
          <w:lang w:val="en-US"/>
        </w:rPr>
        <w:drawing>
          <wp:inline distT="0" distB="0" distL="0" distR="0" wp14:anchorId="1812214B" wp14:editId="0A93F871">
            <wp:extent cx="5339715" cy="785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9715" cy="7850505"/>
                    </a:xfrm>
                    <a:prstGeom prst="rect">
                      <a:avLst/>
                    </a:prstGeom>
                    <a:noFill/>
                    <a:ln>
                      <a:noFill/>
                    </a:ln>
                  </pic:spPr>
                </pic:pic>
              </a:graphicData>
            </a:graphic>
          </wp:inline>
        </w:drawing>
      </w:r>
    </w:p>
    <w:p w:rsidR="00F76320" w:rsidRPr="00991582" w:rsidRDefault="00F76320" w:rsidP="00F76320">
      <w:pPr>
        <w:pStyle w:val="H1G"/>
        <w:tabs>
          <w:tab w:val="left" w:pos="1985"/>
        </w:tabs>
        <w:rPr>
          <w:sz w:val="20"/>
        </w:rPr>
      </w:pPr>
      <w:r w:rsidRPr="00991582">
        <w:rPr>
          <w:sz w:val="20"/>
        </w:rPr>
        <w:tab/>
      </w:r>
      <w:r w:rsidRPr="00991582">
        <w:rPr>
          <w:sz w:val="20"/>
        </w:rPr>
        <w:tab/>
        <w:t>3.</w:t>
      </w:r>
      <w:r w:rsidRPr="00991582">
        <w:rPr>
          <w:sz w:val="20"/>
        </w:rPr>
        <w:tab/>
        <w:t>Methyl violet paper test (</w:t>
      </w:r>
      <w:r w:rsidRPr="00991582">
        <w:rPr>
          <w:sz w:val="20"/>
          <w:lang w:val="en-US"/>
        </w:rPr>
        <w:t>134.5° C heat test)</w:t>
      </w:r>
    </w:p>
    <w:p w:rsidR="00F76320" w:rsidRPr="006037D5" w:rsidRDefault="00F76320" w:rsidP="00F76320">
      <w:pPr>
        <w:pStyle w:val="H23G"/>
        <w:tabs>
          <w:tab w:val="left" w:pos="1134"/>
          <w:tab w:val="left" w:pos="1985"/>
        </w:tabs>
        <w:ind w:left="851" w:hanging="851"/>
      </w:pPr>
      <w:r w:rsidRPr="006037D5">
        <w:tab/>
      </w:r>
      <w:r w:rsidRPr="006037D5">
        <w:tab/>
        <w:t>3.1</w:t>
      </w:r>
      <w:r w:rsidRPr="006037D5">
        <w:tab/>
        <w:t>Introduction</w:t>
      </w:r>
    </w:p>
    <w:p w:rsidR="00F76320" w:rsidRPr="006037D5" w:rsidRDefault="00F76320" w:rsidP="00F76320">
      <w:pPr>
        <w:pStyle w:val="SingleTxtG"/>
        <w:tabs>
          <w:tab w:val="left" w:pos="1985"/>
        </w:tabs>
      </w:pPr>
      <w:r w:rsidRPr="006037D5">
        <w:tab/>
        <w:t xml:space="preserve">The stability of nitrocellulose is tested by examining the colour change of reagent paper over </w:t>
      </w:r>
      <w:proofErr w:type="gramStart"/>
      <w:r w:rsidRPr="006037D5">
        <w:t>a period of time</w:t>
      </w:r>
      <w:proofErr w:type="gramEnd"/>
      <w:r w:rsidRPr="006037D5">
        <w:t>.</w:t>
      </w:r>
    </w:p>
    <w:p w:rsidR="00F76320" w:rsidRPr="006037D5" w:rsidRDefault="00827B78" w:rsidP="00F76320">
      <w:pPr>
        <w:pStyle w:val="H23G"/>
        <w:tabs>
          <w:tab w:val="left" w:pos="1985"/>
        </w:tabs>
      </w:pPr>
      <w:r>
        <w:tab/>
      </w:r>
      <w:r>
        <w:tab/>
        <w:t>3.2</w:t>
      </w:r>
      <w:r w:rsidR="00F76320" w:rsidRPr="006037D5">
        <w:tab/>
        <w:t>Apparatus and materials</w:t>
      </w:r>
    </w:p>
    <w:p w:rsidR="00F76320" w:rsidRPr="00991582" w:rsidRDefault="00F76320" w:rsidP="00F76320">
      <w:pPr>
        <w:pStyle w:val="H4G"/>
        <w:tabs>
          <w:tab w:val="left" w:pos="1985"/>
        </w:tabs>
      </w:pPr>
      <w:r w:rsidRPr="006037D5">
        <w:tab/>
      </w:r>
      <w:r w:rsidRPr="006037D5">
        <w:tab/>
      </w:r>
      <w:r w:rsidRPr="006037D5">
        <w:rPr>
          <w:i w:val="0"/>
        </w:rPr>
        <w:t xml:space="preserve">3.2.1 </w:t>
      </w:r>
      <w:r w:rsidRPr="006037D5">
        <w:rPr>
          <w:i w:val="0"/>
        </w:rPr>
        <w:tab/>
      </w:r>
      <w:r w:rsidRPr="006037D5">
        <w:t>Apparatus</w:t>
      </w:r>
    </w:p>
    <w:p w:rsidR="00F76320" w:rsidRPr="006037D5" w:rsidRDefault="00F76320" w:rsidP="00F76320">
      <w:pPr>
        <w:pStyle w:val="SingleTxtG"/>
        <w:tabs>
          <w:tab w:val="left" w:pos="1985"/>
        </w:tabs>
      </w:pPr>
      <w:r w:rsidRPr="006037D5">
        <w:tab/>
        <w:t>The following equipment shall be used in the apparatus for 134.5 °C heat test (methyl violet paper test):</w:t>
      </w:r>
      <w:r w:rsidRPr="006037D5">
        <w:rPr>
          <w:rStyle w:val="apple-converted-space"/>
        </w:rPr>
        <w:t> </w:t>
      </w:r>
    </w:p>
    <w:p w:rsidR="00F76320" w:rsidRPr="006037D5" w:rsidRDefault="00F76320" w:rsidP="00F76320">
      <w:pPr>
        <w:pStyle w:val="SingleTxtG"/>
        <w:ind w:left="2552" w:hanging="567"/>
      </w:pPr>
      <w:r w:rsidRPr="006037D5">
        <w:t>(a)</w:t>
      </w:r>
      <w:r w:rsidRPr="006037D5">
        <w:tab/>
        <w:t>Analytical balance, precision 0.01 g or better.</w:t>
      </w:r>
      <w:r w:rsidRPr="006037D5">
        <w:rPr>
          <w:rStyle w:val="apple-converted-space"/>
        </w:rPr>
        <w:t> </w:t>
      </w:r>
    </w:p>
    <w:p w:rsidR="00F76320" w:rsidRPr="006037D5" w:rsidRDefault="00F76320" w:rsidP="00F76320">
      <w:pPr>
        <w:pStyle w:val="SingleTxtG"/>
        <w:ind w:left="2552" w:hanging="567"/>
      </w:pPr>
      <w:r w:rsidRPr="006037D5">
        <w:t>(b)</w:t>
      </w:r>
      <w:r w:rsidRPr="006037D5">
        <w:tab/>
        <w:t>Stability bath: Water-ethylene glycol bath, oil bath, or metal block oven capable of maintaining the temperature of the stability tubes at 134.5 ± 0.5 °C. Temperature of bath has to be monitored with a calibrated thermometer or thermocouple (precision 0.1 °C) which is located in a test tube filled with inert material (e.g., sand); the test tube is placed in one of the thermowells. The inner diameter of each thermowell in the apparatus shall be 19 </w:t>
      </w:r>
      <w:r w:rsidRPr="006037D5">
        <w:sym w:font="Symbol" w:char="F0B1"/>
      </w:r>
      <w:r w:rsidRPr="006037D5">
        <w:t> 0.5 mm. Depth of immersion of the stability test tubes shall be such that no more than 6 to 7 mm of the tubes project above the bath.</w:t>
      </w:r>
      <w:r w:rsidRPr="006037D5">
        <w:rPr>
          <w:rStyle w:val="apple-converted-space"/>
        </w:rPr>
        <w:t> </w:t>
      </w:r>
    </w:p>
    <w:p w:rsidR="00F76320" w:rsidRPr="006037D5" w:rsidRDefault="00F76320" w:rsidP="00F76320">
      <w:pPr>
        <w:pStyle w:val="SingleTxtG"/>
        <w:ind w:left="2552" w:hanging="567"/>
      </w:pPr>
      <w:r w:rsidRPr="006037D5">
        <w:t>(c)</w:t>
      </w:r>
      <w:r w:rsidRPr="006037D5">
        <w:tab/>
        <w:t>Stability test tubes made of clear glass, approximately 15 mm inner diameter; 18 mm outer diameter; and 290 mm length.</w:t>
      </w:r>
      <w:r w:rsidRPr="006037D5">
        <w:rPr>
          <w:rStyle w:val="apple-converted-space"/>
        </w:rPr>
        <w:t> </w:t>
      </w:r>
    </w:p>
    <w:p w:rsidR="00F76320" w:rsidRPr="006037D5" w:rsidRDefault="00F76320" w:rsidP="00F76320">
      <w:pPr>
        <w:pStyle w:val="SingleTxtG"/>
        <w:ind w:left="2552" w:hanging="567"/>
      </w:pPr>
      <w:r w:rsidRPr="006037D5">
        <w:t>(d)</w:t>
      </w:r>
      <w:r w:rsidRPr="006037D5">
        <w:tab/>
        <w:t>Powder funnel; metal or conductive plastic funnel with a long tube (to prevent electrostatic charging).</w:t>
      </w:r>
      <w:r w:rsidRPr="006037D5">
        <w:rPr>
          <w:rStyle w:val="apple-converted-space"/>
        </w:rPr>
        <w:t> </w:t>
      </w:r>
    </w:p>
    <w:p w:rsidR="00F76320" w:rsidRPr="006037D5" w:rsidRDefault="00F76320" w:rsidP="00F76320">
      <w:pPr>
        <w:pStyle w:val="SingleTxtG"/>
        <w:tabs>
          <w:tab w:val="left" w:pos="1701"/>
        </w:tabs>
        <w:ind w:left="2552" w:hanging="567"/>
      </w:pPr>
      <w:r w:rsidRPr="006037D5">
        <w:t>(e)</w:t>
      </w:r>
      <w:r w:rsidRPr="006037D5">
        <w:tab/>
        <w:t>Corks, each containing one breather hole 4 mm in diameter (or notch of equivalent area).</w:t>
      </w:r>
      <w:r w:rsidRPr="006037D5">
        <w:rPr>
          <w:rStyle w:val="apple-converted-space"/>
        </w:rPr>
        <w:t> </w:t>
      </w:r>
    </w:p>
    <w:p w:rsidR="00F76320" w:rsidRPr="00991582" w:rsidRDefault="00F76320" w:rsidP="00F76320">
      <w:pPr>
        <w:pStyle w:val="H4G"/>
        <w:tabs>
          <w:tab w:val="left" w:pos="1985"/>
        </w:tabs>
      </w:pPr>
      <w:r w:rsidRPr="006037D5">
        <w:tab/>
      </w:r>
      <w:r w:rsidRPr="006037D5">
        <w:tab/>
      </w:r>
      <w:r w:rsidRPr="006037D5">
        <w:rPr>
          <w:i w:val="0"/>
        </w:rPr>
        <w:t>3.2.2</w:t>
      </w:r>
      <w:r w:rsidRPr="006037D5">
        <w:rPr>
          <w:i w:val="0"/>
        </w:rPr>
        <w:tab/>
      </w:r>
      <w:r w:rsidRPr="006037D5">
        <w:t>Materials</w:t>
      </w:r>
    </w:p>
    <w:p w:rsidR="00F76320" w:rsidRPr="006037D5" w:rsidRDefault="00F76320" w:rsidP="00F76320">
      <w:pPr>
        <w:pStyle w:val="SingleTxtG"/>
        <w:tabs>
          <w:tab w:val="left" w:pos="1985"/>
        </w:tabs>
      </w:pPr>
      <w:r w:rsidRPr="006037D5">
        <w:t>3.2.2.1</w:t>
      </w:r>
      <w:r w:rsidRPr="006037D5">
        <w:tab/>
      </w:r>
      <w:r w:rsidR="00530E02" w:rsidRPr="00285368">
        <w:t>A sample of dry nitrocellulose weighing 2.5</w:t>
      </w:r>
      <w:r w:rsidR="00530E02">
        <w:t>0</w:t>
      </w:r>
      <w:r w:rsidR="00530E02" w:rsidRPr="00285368">
        <w:t xml:space="preserve"> ± 0.01 g. The moisture content of the sample must be below 1% after the drying process and at the time, when it is introduced in the tube. Drying conditions must be chosen, which avoid a decomposition of the NC, e.g. 50°</w:t>
      </w:r>
      <w:r w:rsidR="00530E02">
        <w:t xml:space="preserve"> </w:t>
      </w:r>
      <w:r w:rsidR="00530E02" w:rsidRPr="00285368">
        <w:t>C in a vacuum oven.</w:t>
      </w:r>
    </w:p>
    <w:p w:rsidR="00F76320" w:rsidRPr="006037D5" w:rsidRDefault="00F76320" w:rsidP="00F76320">
      <w:pPr>
        <w:pStyle w:val="SingleTxtG"/>
        <w:tabs>
          <w:tab w:val="left" w:pos="1985"/>
        </w:tabs>
      </w:pPr>
      <w:r w:rsidRPr="006037D5">
        <w:rPr>
          <w:lang w:val="en-US"/>
        </w:rPr>
        <w:t>3</w:t>
      </w:r>
      <w:r w:rsidRPr="006037D5">
        <w:t>.2.2.2</w:t>
      </w:r>
      <w:r w:rsidRPr="006037D5">
        <w:tab/>
        <w:t>Standardized reagent methyl violet test papers approximately 70 ± 1.0 mm long and 20 ± 0.6 mm wide (see 6.16) or methyl violet test papers prepared and tested using the following method: </w:t>
      </w:r>
    </w:p>
    <w:p w:rsidR="00F76320" w:rsidRPr="006037D5" w:rsidRDefault="00F76320" w:rsidP="00F76320">
      <w:pPr>
        <w:pStyle w:val="SingleTxtG"/>
        <w:tabs>
          <w:tab w:val="left" w:pos="1985"/>
        </w:tabs>
      </w:pPr>
      <w:r w:rsidRPr="006037D5">
        <w:t xml:space="preserve">3.2.2.2.1 </w:t>
      </w:r>
      <w:r w:rsidRPr="006037D5">
        <w:tab/>
        <w:t xml:space="preserve">Preparation of the indicator solution </w:t>
      </w:r>
    </w:p>
    <w:p w:rsidR="00F76320" w:rsidRDefault="00F76320" w:rsidP="00F76320">
      <w:pPr>
        <w:pStyle w:val="SingleTxtG"/>
        <w:tabs>
          <w:tab w:val="left" w:pos="1985"/>
        </w:tabs>
        <w:ind w:firstLine="851"/>
      </w:pPr>
      <w:r w:rsidRPr="006037D5">
        <w:t xml:space="preserve">To prepare 100 ml of indicator solution (note: if different amount of solution is required, it can be prepared while maintaining these proportions): 0.250 g of basic </w:t>
      </w:r>
      <w:proofErr w:type="spellStart"/>
      <w:r w:rsidRPr="006037D5">
        <w:t>rosaniline</w:t>
      </w:r>
      <w:proofErr w:type="spellEnd"/>
      <w:r w:rsidRPr="006037D5">
        <w:t xml:space="preserve"> (equivalent to CAS number 632-99-5) is weighed into a porcelain dish, and about 10 ml of reagent grade acetic acid is added. The dish is heated on a water bath until all excess of acid is removed. In a 100 ml graduate cylinder, 0.168 g of crystal violet (equivalent to CAS number 548-62-9) is dissolved in 30 ml of high purity water and 5.0 g (4 ml) of reagent grade glycerine is added. The content of the porcelain dish is added to the cylinder using ethanol (minimum 95% v/v) and adjusted to produce 100 ml of solution. The solution is mixed thoroughly. </w:t>
      </w:r>
    </w:p>
    <w:p w:rsidR="00065930" w:rsidRPr="006037D5" w:rsidRDefault="00065930" w:rsidP="00F76320">
      <w:pPr>
        <w:pStyle w:val="SingleTxtG"/>
        <w:tabs>
          <w:tab w:val="left" w:pos="1985"/>
        </w:tabs>
        <w:ind w:firstLine="851"/>
      </w:pPr>
    </w:p>
    <w:p w:rsidR="00F76320" w:rsidRPr="006037D5" w:rsidRDefault="00F76320" w:rsidP="00F76320">
      <w:pPr>
        <w:pStyle w:val="SingleTxtG"/>
        <w:tabs>
          <w:tab w:val="left" w:pos="1985"/>
        </w:tabs>
      </w:pPr>
      <w:r w:rsidRPr="006037D5">
        <w:t xml:space="preserve">3.2.2.2.2 </w:t>
      </w:r>
      <w:r w:rsidRPr="006037D5">
        <w:tab/>
        <w:t>Preparation of the methyl violet paper</w:t>
      </w:r>
    </w:p>
    <w:p w:rsidR="00F76320" w:rsidRPr="006037D5" w:rsidRDefault="00F76320" w:rsidP="00F76320">
      <w:pPr>
        <w:pStyle w:val="SingleTxtG"/>
        <w:tabs>
          <w:tab w:val="left" w:pos="1985"/>
        </w:tabs>
      </w:pPr>
      <w:r w:rsidRPr="006037D5">
        <w:tab/>
        <w:t xml:space="preserve">Sheets of paper are prepared by cutting filter papers (equivalent to Whatman 597, typically 580 mm </w:t>
      </w:r>
      <w:r w:rsidRPr="006037D5">
        <w:sym w:font="Symbol" w:char="F0B4"/>
      </w:r>
      <w:r w:rsidRPr="006037D5">
        <w:t xml:space="preserve"> 580 mm with approximately 8.5 mg/cm</w:t>
      </w:r>
      <w:r w:rsidRPr="00991582">
        <w:rPr>
          <w:vertAlign w:val="superscript"/>
        </w:rPr>
        <w:t>2</w:t>
      </w:r>
      <w:r w:rsidRPr="006037D5">
        <w:t xml:space="preserve">) into square parts that will fit into a low edge dish large enough to fit the cut sheet (typically cut in 4 square parts about 290 mm </w:t>
      </w:r>
      <w:r w:rsidRPr="006037D5">
        <w:sym w:font="Symbol" w:char="F0B4"/>
      </w:r>
      <w:r w:rsidRPr="006037D5">
        <w:t xml:space="preserve"> 290 mm). In a fume-hood, the methyl violet solution is poured into the low edge dish. Separately, each cut sheet of paper is dipped completely into the solution for about 30 seconds. The strip is removed from the solution and the wet sheet of paper rotated vertically until the solution stops dripping (excess alcohol will evaporate in about 1 minute). The strip is hung up overnight to dry in a room free from deleterious fumes. When dry, the strips are cut in the size of 70 ± 1.0 mm long and 20 ± 0.6 mm wide. Once certified, they are kept in tightly closed amber glass bottles or opaque plastic bottles with a maximum of 200 papers per bottle. The bottle shall be kept closed, stored at room temperature, and out of direct light </w:t>
      </w:r>
      <w:proofErr w:type="gramStart"/>
      <w:r w:rsidRPr="006037D5">
        <w:t>at all times</w:t>
      </w:r>
      <w:proofErr w:type="gramEnd"/>
      <w:r w:rsidRPr="006037D5">
        <w:t xml:space="preserve"> except to briefly extract indicator papers. </w:t>
      </w:r>
    </w:p>
    <w:p w:rsidR="00F76320" w:rsidRPr="006037D5" w:rsidRDefault="00F76320" w:rsidP="00F76320">
      <w:pPr>
        <w:pStyle w:val="SingleTxtG"/>
        <w:tabs>
          <w:tab w:val="left" w:pos="1985"/>
        </w:tabs>
      </w:pPr>
      <w:r w:rsidRPr="006037D5">
        <w:t xml:space="preserve">3.2.2.2.3 </w:t>
      </w:r>
      <w:r w:rsidRPr="006037D5">
        <w:tab/>
        <w:t xml:space="preserve">Certification of the methyl violet paper </w:t>
      </w:r>
    </w:p>
    <w:p w:rsidR="00F76320" w:rsidRPr="006037D5" w:rsidRDefault="00F76320" w:rsidP="00F76320">
      <w:pPr>
        <w:pStyle w:val="SingleTxtG"/>
        <w:tabs>
          <w:tab w:val="left" w:pos="1985"/>
        </w:tabs>
      </w:pPr>
      <w:r w:rsidRPr="006037D5">
        <w:tab/>
        <w:t xml:space="preserve">A minimum of one paper from each </w:t>
      </w:r>
      <w:proofErr w:type="gramStart"/>
      <w:r w:rsidRPr="006037D5">
        <w:t>200 max</w:t>
      </w:r>
      <w:proofErr w:type="gramEnd"/>
      <w:r w:rsidRPr="006037D5">
        <w:t xml:space="preserve"> bottle is tested for the content in water and shall be 7.5 to 15% water content by oven drying. If required, the paper may be rehydrated by keeping the paper in a controlled humidity chamber controlled at 60 to 80% relative humidity until the correct water content is obtained. </w:t>
      </w:r>
    </w:p>
    <w:p w:rsidR="00F76320" w:rsidRPr="006037D5" w:rsidRDefault="00F76320" w:rsidP="00F76320">
      <w:pPr>
        <w:pStyle w:val="SingleTxtG"/>
        <w:tabs>
          <w:tab w:val="left" w:pos="1985"/>
        </w:tabs>
      </w:pPr>
      <w:r w:rsidRPr="006037D5">
        <w:tab/>
        <w:t xml:space="preserve">To confirm that the reactivity of the methyl violet paper is acceptable, a minimum of 1 paper from each </w:t>
      </w:r>
      <w:proofErr w:type="gramStart"/>
      <w:r w:rsidRPr="006037D5">
        <w:t>200 max</w:t>
      </w:r>
      <w:proofErr w:type="gramEnd"/>
      <w:r w:rsidRPr="006037D5">
        <w:t xml:space="preserve"> bottle shall be tested using nitrogen dioxide gas of known concentration in air between 1500 and 2500 ppm (v/v). The gas may be obtained already diluted and certified or obtained by dilution using pure nitrogen dioxide. The gas concentration shall be known with an accuracy of ± 2.5%. </w:t>
      </w:r>
    </w:p>
    <w:p w:rsidR="00F76320" w:rsidRPr="006037D5" w:rsidRDefault="00F76320" w:rsidP="00F76320">
      <w:pPr>
        <w:pStyle w:val="SingleTxtG"/>
        <w:tabs>
          <w:tab w:val="left" w:pos="1985"/>
        </w:tabs>
      </w:pPr>
      <w:r w:rsidRPr="006037D5">
        <w:tab/>
        <w:t xml:space="preserve">Based on the concentration of the nitrogen dioxide gas, the required flowrate for an end-point </w:t>
      </w:r>
      <w:proofErr w:type="spellStart"/>
      <w:r w:rsidRPr="006037D5">
        <w:t>centered</w:t>
      </w:r>
      <w:proofErr w:type="spellEnd"/>
      <w:r w:rsidRPr="006037D5">
        <w:t xml:space="preserve"> at 55 min is given by: </w:t>
      </w:r>
    </w:p>
    <w:p w:rsidR="00F76320" w:rsidRPr="006037D5" w:rsidRDefault="00F76320" w:rsidP="00F76320">
      <w:pPr>
        <w:pStyle w:val="SingleTxtG"/>
        <w:tabs>
          <w:tab w:val="left" w:pos="1985"/>
        </w:tabs>
        <w:jc w:val="center"/>
      </w:pPr>
      <w:r w:rsidRPr="006037D5">
        <w:t>Flowrate (ml/min) = 83636 / Gas concentration in ppm (v/v) of nitrogen dioxide gas.</w:t>
      </w:r>
    </w:p>
    <w:p w:rsidR="00F76320" w:rsidRPr="006037D5" w:rsidRDefault="00F76320" w:rsidP="00F76320">
      <w:pPr>
        <w:pStyle w:val="SingleTxtG"/>
        <w:tabs>
          <w:tab w:val="left" w:pos="1985"/>
        </w:tabs>
      </w:pPr>
      <w:r w:rsidRPr="006037D5">
        <w:tab/>
        <w:t xml:space="preserve">The flowrate shall be maintained within ± 1.5 ml/min of the calculated value during the certification of the paper. The paper is tested using the standard gas and a cylindrical flow cell of about 30 ml containing one paper (the flow cell diameter is </w:t>
      </w:r>
      <w:proofErr w:type="gramStart"/>
      <w:r w:rsidRPr="006037D5">
        <w:t>similar to</w:t>
      </w:r>
      <w:proofErr w:type="gramEnd"/>
      <w:r w:rsidRPr="006037D5">
        <w:t xml:space="preserve"> the methyl violet paper width). The end-point is obtained when the paper is completely salmon pink after 55 ± 7 min. </w:t>
      </w:r>
    </w:p>
    <w:p w:rsidR="00F76320" w:rsidRPr="006037D5" w:rsidRDefault="00F76320" w:rsidP="00F76320">
      <w:pPr>
        <w:pStyle w:val="SingleTxtG"/>
        <w:tabs>
          <w:tab w:val="left" w:pos="1985"/>
        </w:tabs>
      </w:pPr>
      <w:r w:rsidRPr="006037D5">
        <w:tab/>
        <w:t>Only the batches that meet those 2 criteria (water content and reaction time) will be considered certified methyl violet paper. The paper shall be stored at room temperature and in the shade. The maximum shelf-life of the indicator papers in a sealed bottle is 5 years. Once the bottle is open, the shelf-life of the bottle's contents is reduced to 1 year. After 1 year, the water content of the paper shall be verified and adjusted, if necessary. The bottle containing the verified indicator papers shall be given another 1 year of shelf-life. Under no circumstances shall the indicator paper shelf-life be extended beyond 5 years after manufacture. </w:t>
      </w:r>
    </w:p>
    <w:p w:rsidR="00F76320" w:rsidRPr="006037D5" w:rsidRDefault="00F76320" w:rsidP="00F76320">
      <w:pPr>
        <w:pStyle w:val="H23G"/>
        <w:tabs>
          <w:tab w:val="left" w:pos="1985"/>
        </w:tabs>
      </w:pPr>
      <w:r w:rsidRPr="006037D5">
        <w:tab/>
      </w:r>
      <w:r w:rsidRPr="006037D5">
        <w:tab/>
        <w:t>3.3</w:t>
      </w:r>
      <w:r w:rsidRPr="006037D5">
        <w:tab/>
        <w:t>Procedure</w:t>
      </w:r>
    </w:p>
    <w:p w:rsidR="00F76320" w:rsidRPr="00991582" w:rsidRDefault="00F76320" w:rsidP="00F76320">
      <w:pPr>
        <w:pStyle w:val="SingleTxtG"/>
        <w:tabs>
          <w:tab w:val="left" w:pos="1985"/>
        </w:tabs>
        <w:rPr>
          <w:rStyle w:val="apple-converted-space"/>
        </w:rPr>
      </w:pPr>
      <w:r w:rsidRPr="006037D5">
        <w:t>3.3.1</w:t>
      </w:r>
      <w:r w:rsidRPr="006037D5">
        <w:tab/>
        <w:t>Sample and interior of test tubes shall not be touched by bare hands. The test is to be performed in duplicate; with further repetition of test if the two results of the duplicate measurement differ by more than 5 min.</w:t>
      </w:r>
      <w:r w:rsidRPr="006037D5">
        <w:rPr>
          <w:rStyle w:val="apple-converted-space"/>
        </w:rPr>
        <w:t> </w:t>
      </w:r>
    </w:p>
    <w:p w:rsidR="00F76320" w:rsidRPr="006037D5" w:rsidRDefault="00F76320" w:rsidP="00F76320">
      <w:pPr>
        <w:pStyle w:val="SingleTxtG"/>
        <w:tabs>
          <w:tab w:val="left" w:pos="1985"/>
        </w:tabs>
        <w:rPr>
          <w:rStyle w:val="apple-converted-space"/>
        </w:rPr>
      </w:pPr>
      <w:r w:rsidRPr="006037D5">
        <w:t>3.3.2</w:t>
      </w:r>
      <w:r w:rsidRPr="006037D5">
        <w:tab/>
        <w:t xml:space="preserve">Two portions of 2.5 ± 0.01 g each of dry nitrocellulose sample are transferred into the stability test tubes, preferably by a powder funnel. Each tube is tapped gently </w:t>
      </w:r>
      <w:proofErr w:type="gramStart"/>
      <w:r w:rsidRPr="006037D5">
        <w:t>in order to</w:t>
      </w:r>
      <w:proofErr w:type="gramEnd"/>
      <w:r w:rsidRPr="006037D5">
        <w:t xml:space="preserve"> settle the material, and any material adhering to the sides of the tubes is brushed down. If the nitrocellulose occupies a greater length than 5 cm, it </w:t>
      </w:r>
      <w:proofErr w:type="gramStart"/>
      <w:r w:rsidRPr="006037D5">
        <w:t>has to</w:t>
      </w:r>
      <w:proofErr w:type="gramEnd"/>
      <w:r w:rsidRPr="006037D5">
        <w:t xml:space="preserve"> be compressed to that length by means of a flat headed rod. Into each tube a piece of the test paper is placed vertically so that the lower end of the paper is 25 mm above the specimen. Then a cork is placed in each tube. The two tubes are placed in the bath and maintained at a temperature of 134.5 ± 0.5 °C.</w:t>
      </w:r>
      <w:r w:rsidRPr="006037D5">
        <w:rPr>
          <w:rStyle w:val="apple-converted-space"/>
        </w:rPr>
        <w:t> </w:t>
      </w:r>
    </w:p>
    <w:p w:rsidR="00F76320" w:rsidRPr="006037D5" w:rsidRDefault="00F76320" w:rsidP="00F76320">
      <w:pPr>
        <w:pStyle w:val="H23G"/>
        <w:tabs>
          <w:tab w:val="left" w:pos="1985"/>
        </w:tabs>
      </w:pPr>
      <w:r w:rsidRPr="006037D5">
        <w:tab/>
      </w:r>
      <w:r w:rsidRPr="006037D5">
        <w:tab/>
        <w:t>3.4</w:t>
      </w:r>
      <w:r w:rsidRPr="006037D5">
        <w:tab/>
        <w:t>Test criteria and method of assessing results</w:t>
      </w:r>
    </w:p>
    <w:p w:rsidR="00F76320" w:rsidRPr="006037D5" w:rsidRDefault="00F76320" w:rsidP="00F76320">
      <w:pPr>
        <w:pStyle w:val="SingleTxtG"/>
        <w:tabs>
          <w:tab w:val="left" w:pos="1985"/>
        </w:tabs>
      </w:pPr>
      <w:r w:rsidRPr="006037D5">
        <w:t>3.4.1</w:t>
      </w:r>
      <w:r w:rsidRPr="006037D5">
        <w:tab/>
        <w:t>In order to determine the test time, the test papers are examined after the first 20 min in the bath, and thereafter at 5 min intervals. For each examination of test papers, the tubes are lifted half way out of the bath to monitor test paper colour change, and</w:t>
      </w:r>
      <w:r w:rsidRPr="006037D5">
        <w:rPr>
          <w:rStyle w:val="apple-converted-space"/>
        </w:rPr>
        <w:t> </w:t>
      </w:r>
      <w:r w:rsidRPr="006037D5">
        <w:t xml:space="preserve">quickly replaced. </w:t>
      </w:r>
    </w:p>
    <w:p w:rsidR="00F76320" w:rsidRPr="006037D5" w:rsidRDefault="00F76320" w:rsidP="00F76320">
      <w:pPr>
        <w:pStyle w:val="SingleTxtG"/>
        <w:tabs>
          <w:tab w:val="left" w:pos="1985"/>
        </w:tabs>
      </w:pPr>
      <w:r w:rsidRPr="006037D5">
        <w:t>3.4.2</w:t>
      </w:r>
      <w:r w:rsidRPr="006037D5">
        <w:tab/>
        <w:t xml:space="preserve">When the test paper in any tube has changed colour completely to salmon pink, the test is considered complete. </w:t>
      </w:r>
    </w:p>
    <w:p w:rsidR="00F76320" w:rsidRPr="006037D5" w:rsidRDefault="00F76320" w:rsidP="00F76320">
      <w:pPr>
        <w:pStyle w:val="SingleTxtG"/>
        <w:tabs>
          <w:tab w:val="left" w:pos="1985"/>
        </w:tabs>
        <w:rPr>
          <w:rStyle w:val="apple-converted-space"/>
        </w:rPr>
      </w:pPr>
      <w:r w:rsidRPr="006037D5">
        <w:t>3.4.3</w:t>
      </w:r>
      <w:r w:rsidRPr="006037D5">
        <w:tab/>
        <w:t xml:space="preserve">The test time is then recorded (for example, if the violet paper is not completely changed in 25 min, but is completely changed in 30 min, the time of the test is recorded as 30 min). The test is discontinued when the salmon pink </w:t>
      </w:r>
      <w:proofErr w:type="gramStart"/>
      <w:r w:rsidRPr="006037D5">
        <w:t>end point</w:t>
      </w:r>
      <w:proofErr w:type="gramEnd"/>
      <w:r w:rsidRPr="006037D5">
        <w:t xml:space="preserve"> is attained in any of the papers.</w:t>
      </w:r>
      <w:r w:rsidRPr="006037D5">
        <w:rPr>
          <w:rStyle w:val="apple-converted-space"/>
        </w:rPr>
        <w:t> </w:t>
      </w:r>
    </w:p>
    <w:p w:rsidR="00F76320" w:rsidRPr="006037D5" w:rsidRDefault="00F76320" w:rsidP="00F76320">
      <w:pPr>
        <w:pStyle w:val="SingleTxtG"/>
        <w:tabs>
          <w:tab w:val="left" w:pos="1985"/>
        </w:tabs>
      </w:pPr>
      <w:r w:rsidRPr="006037D5">
        <w:t xml:space="preserve">3.4.4 </w:t>
      </w:r>
      <w:r w:rsidRPr="006037D5">
        <w:tab/>
        <w:t>The test result is considered "+" and the substance is classified as unstable if the test paper completely changes colour in less than 30 min.  If the colour change exceeds 30 min the result is "-" and the substance is classified as stable.</w:t>
      </w:r>
    </w:p>
    <w:p w:rsidR="00F76320" w:rsidRPr="006037D5" w:rsidRDefault="00F76320" w:rsidP="00F76320">
      <w:pPr>
        <w:pStyle w:val="H23G"/>
      </w:pPr>
      <w:r w:rsidRPr="006037D5">
        <w:tab/>
      </w:r>
      <w:r w:rsidRPr="006037D5">
        <w:tab/>
        <w:t xml:space="preserve">3.5 </w:t>
      </w:r>
      <w:r w:rsidRPr="006037D5">
        <w:tab/>
        <w:t>Examples of results</w:t>
      </w:r>
    </w:p>
    <w:tbl>
      <w:tblPr>
        <w:tblStyle w:val="TableGrid"/>
        <w:tblW w:w="0" w:type="auto"/>
        <w:jc w:val="center"/>
        <w:tblLook w:val="04A0" w:firstRow="1" w:lastRow="0" w:firstColumn="1" w:lastColumn="0" w:noHBand="0" w:noVBand="1"/>
      </w:tblPr>
      <w:tblGrid>
        <w:gridCol w:w="3587"/>
        <w:gridCol w:w="2792"/>
      </w:tblGrid>
      <w:tr w:rsidR="00F76320" w:rsidRPr="006037D5" w:rsidTr="00CE3F88">
        <w:trPr>
          <w:jc w:val="center"/>
        </w:trPr>
        <w:tc>
          <w:tcPr>
            <w:tcW w:w="3587" w:type="dxa"/>
            <w:tcBorders>
              <w:top w:val="single" w:sz="4" w:space="0" w:color="auto"/>
              <w:left w:val="nil"/>
              <w:bottom w:val="single" w:sz="4" w:space="0" w:color="auto"/>
              <w:right w:val="nil"/>
            </w:tcBorders>
          </w:tcPr>
          <w:p w:rsidR="00F76320" w:rsidRPr="00991582" w:rsidRDefault="00F76320" w:rsidP="00CE3F88">
            <w:pPr>
              <w:pStyle w:val="p1"/>
              <w:spacing w:before="30" w:after="30"/>
              <w:jc w:val="center"/>
              <w:rPr>
                <w:b/>
                <w:sz w:val="20"/>
                <w:szCs w:val="20"/>
              </w:rPr>
            </w:pPr>
            <w:r w:rsidRPr="00991582">
              <w:rPr>
                <w:b/>
                <w:sz w:val="20"/>
                <w:szCs w:val="20"/>
              </w:rPr>
              <w:t>Time</w:t>
            </w:r>
          </w:p>
        </w:tc>
        <w:tc>
          <w:tcPr>
            <w:tcW w:w="2792" w:type="dxa"/>
            <w:tcBorders>
              <w:top w:val="single" w:sz="4" w:space="0" w:color="auto"/>
              <w:left w:val="nil"/>
              <w:bottom w:val="single" w:sz="4" w:space="0" w:color="auto"/>
              <w:right w:val="nil"/>
            </w:tcBorders>
          </w:tcPr>
          <w:p w:rsidR="00F76320" w:rsidRPr="00991582" w:rsidRDefault="00F76320" w:rsidP="00CE3F88">
            <w:pPr>
              <w:pStyle w:val="p1"/>
              <w:spacing w:before="30" w:after="30"/>
              <w:jc w:val="center"/>
              <w:rPr>
                <w:b/>
                <w:sz w:val="20"/>
                <w:szCs w:val="20"/>
              </w:rPr>
            </w:pPr>
            <w:r w:rsidRPr="00991582">
              <w:rPr>
                <w:b/>
                <w:sz w:val="20"/>
                <w:szCs w:val="20"/>
              </w:rPr>
              <w:t>Result</w:t>
            </w:r>
          </w:p>
        </w:tc>
      </w:tr>
      <w:tr w:rsidR="00F76320" w:rsidRPr="006037D5" w:rsidTr="00CE3F88">
        <w:trPr>
          <w:jc w:val="center"/>
        </w:trPr>
        <w:tc>
          <w:tcPr>
            <w:tcW w:w="3587" w:type="dxa"/>
            <w:tcBorders>
              <w:top w:val="single" w:sz="4" w:space="0" w:color="auto"/>
              <w:left w:val="nil"/>
              <w:bottom w:val="nil"/>
              <w:right w:val="nil"/>
            </w:tcBorders>
          </w:tcPr>
          <w:p w:rsidR="00F76320" w:rsidRPr="006037D5" w:rsidRDefault="00F76320" w:rsidP="00CE3F88">
            <w:pPr>
              <w:pStyle w:val="p1"/>
              <w:jc w:val="center"/>
              <w:rPr>
                <w:sz w:val="20"/>
                <w:szCs w:val="20"/>
              </w:rPr>
            </w:pPr>
            <w:r w:rsidRPr="006037D5">
              <w:rPr>
                <w:sz w:val="20"/>
                <w:szCs w:val="20"/>
              </w:rPr>
              <w:t>25 min</w:t>
            </w:r>
          </w:p>
        </w:tc>
        <w:tc>
          <w:tcPr>
            <w:tcW w:w="2792" w:type="dxa"/>
            <w:tcBorders>
              <w:top w:val="single" w:sz="4" w:space="0" w:color="auto"/>
              <w:left w:val="nil"/>
              <w:bottom w:val="nil"/>
              <w:right w:val="nil"/>
            </w:tcBorders>
          </w:tcPr>
          <w:p w:rsidR="00F76320" w:rsidRPr="006037D5" w:rsidRDefault="00F76320" w:rsidP="00CE3F88">
            <w:pPr>
              <w:pStyle w:val="p1"/>
              <w:jc w:val="center"/>
              <w:rPr>
                <w:sz w:val="20"/>
                <w:szCs w:val="20"/>
              </w:rPr>
            </w:pPr>
            <w:r w:rsidRPr="006037D5">
              <w:rPr>
                <w:sz w:val="20"/>
                <w:szCs w:val="20"/>
              </w:rPr>
              <w:t>+</w:t>
            </w:r>
          </w:p>
        </w:tc>
      </w:tr>
      <w:tr w:rsidR="00F76320" w:rsidRPr="006037D5" w:rsidTr="00CE3F88">
        <w:trPr>
          <w:jc w:val="center"/>
        </w:trPr>
        <w:tc>
          <w:tcPr>
            <w:tcW w:w="3587" w:type="dxa"/>
            <w:tcBorders>
              <w:top w:val="nil"/>
              <w:left w:val="nil"/>
              <w:bottom w:val="single" w:sz="4" w:space="0" w:color="auto"/>
              <w:right w:val="nil"/>
            </w:tcBorders>
          </w:tcPr>
          <w:p w:rsidR="00F76320" w:rsidRPr="006037D5" w:rsidRDefault="00F76320" w:rsidP="00CE3F88">
            <w:pPr>
              <w:pStyle w:val="p1"/>
              <w:jc w:val="center"/>
              <w:rPr>
                <w:sz w:val="20"/>
                <w:szCs w:val="20"/>
              </w:rPr>
            </w:pPr>
            <w:r w:rsidRPr="006037D5">
              <w:rPr>
                <w:sz w:val="20"/>
                <w:szCs w:val="20"/>
              </w:rPr>
              <w:t>35 min</w:t>
            </w:r>
          </w:p>
        </w:tc>
        <w:tc>
          <w:tcPr>
            <w:tcW w:w="2792" w:type="dxa"/>
            <w:tcBorders>
              <w:top w:val="nil"/>
              <w:left w:val="nil"/>
              <w:bottom w:val="single" w:sz="4" w:space="0" w:color="auto"/>
              <w:right w:val="nil"/>
            </w:tcBorders>
          </w:tcPr>
          <w:p w:rsidR="00F76320" w:rsidRPr="006037D5" w:rsidRDefault="00F76320" w:rsidP="00CE3F88">
            <w:pPr>
              <w:pStyle w:val="p1"/>
              <w:jc w:val="center"/>
              <w:rPr>
                <w:sz w:val="20"/>
                <w:szCs w:val="20"/>
              </w:rPr>
            </w:pPr>
            <w:r w:rsidRPr="006037D5">
              <w:rPr>
                <w:sz w:val="20"/>
                <w:szCs w:val="20"/>
              </w:rPr>
              <w:t>–</w:t>
            </w:r>
          </w:p>
        </w:tc>
      </w:tr>
    </w:tbl>
    <w:p w:rsidR="00F76320" w:rsidRDefault="00F76320" w:rsidP="00F76320">
      <w:pPr>
        <w:rPr>
          <w:u w:val="single"/>
        </w:rPr>
      </w:pPr>
    </w:p>
    <w:p w:rsidR="004D62BF" w:rsidRDefault="004D62BF" w:rsidP="004D62BF">
      <w:pPr>
        <w:pStyle w:val="SingleTxtG"/>
        <w:rPr>
          <w:i/>
          <w:iCs/>
        </w:rPr>
      </w:pPr>
      <w:r w:rsidRPr="009A1E17">
        <w:rPr>
          <w:i/>
          <w:iCs/>
          <w:lang w:val="en-US"/>
        </w:rPr>
        <w:t xml:space="preserve">(Reference document: </w:t>
      </w:r>
      <w:r w:rsidR="009A1E17" w:rsidRPr="004D62BF">
        <w:rPr>
          <w:i/>
          <w:iCs/>
        </w:rPr>
        <w:t>ST/SG/AC.10/C.3/2018/9</w:t>
      </w:r>
      <w:r w:rsidR="009A1E17">
        <w:rPr>
          <w:i/>
          <w:iCs/>
        </w:rPr>
        <w:t xml:space="preserve"> and </w:t>
      </w:r>
      <w:r w:rsidRPr="009A1E17">
        <w:rPr>
          <w:i/>
          <w:iCs/>
          <w:lang w:val="en-US"/>
        </w:rPr>
        <w:t>informal document INF.67, annex 3, amendment</w:t>
      </w:r>
      <w:r w:rsidR="00F7477C" w:rsidRPr="009A1E17">
        <w:rPr>
          <w:i/>
          <w:iCs/>
          <w:lang w:val="en-US"/>
        </w:rPr>
        <w:t>s</w:t>
      </w:r>
      <w:r w:rsidRPr="009A1E17">
        <w:rPr>
          <w:i/>
          <w:iCs/>
          <w:lang w:val="en-US"/>
        </w:rPr>
        <w:t xml:space="preserve"> 1</w:t>
      </w:r>
      <w:r w:rsidR="000A1F5F" w:rsidRPr="009A1E17">
        <w:rPr>
          <w:i/>
          <w:iCs/>
          <w:lang w:val="en-US"/>
        </w:rPr>
        <w:t>,</w:t>
      </w:r>
      <w:r w:rsidR="009A1E17">
        <w:rPr>
          <w:i/>
          <w:iCs/>
          <w:lang w:val="en-US"/>
        </w:rPr>
        <w:t xml:space="preserve"> </w:t>
      </w:r>
      <w:r w:rsidR="000A1F5F" w:rsidRPr="009A1E17">
        <w:rPr>
          <w:i/>
          <w:iCs/>
          <w:lang w:val="en-US"/>
        </w:rPr>
        <w:t>2,</w:t>
      </w:r>
      <w:r w:rsidR="009A1E17">
        <w:rPr>
          <w:i/>
          <w:iCs/>
          <w:lang w:val="en-US"/>
        </w:rPr>
        <w:t xml:space="preserve"> </w:t>
      </w:r>
      <w:r w:rsidR="000A1F5F" w:rsidRPr="009A1E17">
        <w:rPr>
          <w:i/>
          <w:iCs/>
          <w:lang w:val="en-US"/>
        </w:rPr>
        <w:t>3</w:t>
      </w:r>
      <w:r w:rsidR="00F7477C" w:rsidRPr="009A1E17">
        <w:rPr>
          <w:i/>
          <w:iCs/>
          <w:lang w:val="en-US"/>
        </w:rPr>
        <w:t xml:space="preserve"> and </w:t>
      </w:r>
      <w:r w:rsidR="000A1F5F" w:rsidRPr="009A1E17">
        <w:rPr>
          <w:i/>
          <w:iCs/>
          <w:lang w:val="en-US"/>
        </w:rPr>
        <w:t>4</w:t>
      </w:r>
      <w:r w:rsidRPr="009A1E17">
        <w:rPr>
          <w:i/>
          <w:iCs/>
          <w:lang w:val="en-US"/>
        </w:rPr>
        <w:t>)</w:t>
      </w:r>
    </w:p>
    <w:p w:rsidR="008454AF" w:rsidRDefault="00D77E07" w:rsidP="00D77E07">
      <w:pPr>
        <w:pStyle w:val="H23G"/>
        <w:rPr>
          <w:lang w:val="en-US"/>
        </w:rPr>
      </w:pPr>
      <w:r>
        <w:rPr>
          <w:lang w:val="en-US"/>
        </w:rPr>
        <w:tab/>
      </w:r>
      <w:r>
        <w:rPr>
          <w:lang w:val="en-US"/>
        </w:rPr>
        <w:tab/>
      </w:r>
      <w:r w:rsidRPr="00D77E07">
        <w:rPr>
          <w:lang w:val="en-US"/>
        </w:rPr>
        <w:t>Document ST/SG/AC.10/C.3/2018/1 ado</w:t>
      </w:r>
      <w:r>
        <w:rPr>
          <w:lang w:val="en-US"/>
        </w:rPr>
        <w:t>pted with the following modifica</w:t>
      </w:r>
      <w:r w:rsidRPr="00D77E07">
        <w:rPr>
          <w:lang w:val="en-US"/>
        </w:rPr>
        <w:t>tions</w:t>
      </w:r>
      <w:r>
        <w:rPr>
          <w:lang w:val="en-US"/>
        </w:rPr>
        <w:t>:</w:t>
      </w:r>
      <w:r w:rsidRPr="00D77E07">
        <w:rPr>
          <w:lang w:val="en-US"/>
        </w:rPr>
        <w:t xml:space="preserve"> </w:t>
      </w:r>
    </w:p>
    <w:p w:rsidR="00D77E07" w:rsidRPr="00D77E07" w:rsidRDefault="00D77E07" w:rsidP="00D77E07">
      <w:pPr>
        <w:pStyle w:val="H23G"/>
      </w:pPr>
      <w:r w:rsidRPr="00D77E07">
        <w:tab/>
      </w:r>
      <w:r w:rsidRPr="00D77E07">
        <w:tab/>
        <w:t>Section 1</w:t>
      </w:r>
    </w:p>
    <w:p w:rsidR="00D77E07" w:rsidRPr="000321F1" w:rsidRDefault="00D77E07" w:rsidP="000321F1">
      <w:pPr>
        <w:pStyle w:val="SingleTxtG"/>
      </w:pPr>
      <w:bookmarkStart w:id="5" w:name="_Hlk520459636"/>
      <w:r w:rsidRPr="000321F1">
        <w:t>1.1.1</w:t>
      </w:r>
      <w:r w:rsidRPr="000321F1">
        <w:tab/>
        <w:t xml:space="preserve">At the end, replace “competent authorities and manufacturers and suppliers” with “classifiers”. </w:t>
      </w:r>
    </w:p>
    <w:bookmarkEnd w:id="5"/>
    <w:p w:rsidR="00D77E07" w:rsidRPr="000321F1" w:rsidRDefault="00D77E07" w:rsidP="000321F1">
      <w:pPr>
        <w:pStyle w:val="SingleTxtG"/>
      </w:pPr>
      <w:r w:rsidRPr="000321F1">
        <w:t xml:space="preserve">Add a new last sentence to read: “Although the term “classifier(s)” is used generically throughout the manual to indicate the entity providing the classification, in some sectors this may be limited specifically to a competent authority or designated testing authority, whereas in others it may allow for self-classification by manufacturers or suppliers.  The sector for classification should be </w:t>
      </w:r>
      <w:proofErr w:type="gramStart"/>
      <w:r w:rsidRPr="000321F1">
        <w:t>taken into account</w:t>
      </w:r>
      <w:proofErr w:type="gramEnd"/>
      <w:r w:rsidRPr="000321F1">
        <w:t xml:space="preserve"> for each occurrence of this term to correctly identify the entity responsible for classification.”</w:t>
      </w:r>
    </w:p>
    <w:p w:rsidR="00D77E07" w:rsidRPr="0089475D" w:rsidRDefault="00D77E07" w:rsidP="000321F1">
      <w:pPr>
        <w:pStyle w:val="SingleTxtG"/>
        <w:rPr>
          <w:i/>
          <w:iCs/>
          <w:lang w:val="fr-CH"/>
        </w:rPr>
      </w:pPr>
      <w:r w:rsidRPr="0089475D">
        <w:rPr>
          <w:i/>
          <w:iCs/>
          <w:lang w:val="fr-CH"/>
        </w:rPr>
        <w:t xml:space="preserve">(Reference </w:t>
      </w:r>
      <w:proofErr w:type="gramStart"/>
      <w:r w:rsidRPr="0089475D">
        <w:rPr>
          <w:i/>
          <w:iCs/>
          <w:lang w:val="fr-CH"/>
        </w:rPr>
        <w:t>document:</w:t>
      </w:r>
      <w:proofErr w:type="gramEnd"/>
      <w:r w:rsidRPr="0089475D">
        <w:rPr>
          <w:i/>
          <w:iCs/>
          <w:lang w:val="fr-CH"/>
        </w:rPr>
        <w:t xml:space="preserve"> </w:t>
      </w:r>
      <w:proofErr w:type="spellStart"/>
      <w:r w:rsidRPr="0089475D">
        <w:rPr>
          <w:i/>
          <w:iCs/>
          <w:lang w:val="fr-CH"/>
        </w:rPr>
        <w:t>informal</w:t>
      </w:r>
      <w:proofErr w:type="spellEnd"/>
      <w:r w:rsidRPr="0089475D">
        <w:rPr>
          <w:i/>
          <w:iCs/>
          <w:lang w:val="fr-CH"/>
        </w:rPr>
        <w:t xml:space="preserve"> document INF.6</w:t>
      </w:r>
      <w:r w:rsidR="00EF1DD1">
        <w:rPr>
          <w:i/>
          <w:iCs/>
          <w:lang w:val="fr-CH"/>
        </w:rPr>
        <w:t>7</w:t>
      </w:r>
      <w:r w:rsidRPr="0089475D">
        <w:rPr>
          <w:i/>
          <w:iCs/>
          <w:lang w:val="fr-CH"/>
        </w:rPr>
        <w:t xml:space="preserve">, </w:t>
      </w:r>
      <w:proofErr w:type="spellStart"/>
      <w:r w:rsidRPr="0089475D">
        <w:rPr>
          <w:i/>
          <w:iCs/>
          <w:lang w:val="fr-CH"/>
        </w:rPr>
        <w:t>annex</w:t>
      </w:r>
      <w:proofErr w:type="spellEnd"/>
      <w:r w:rsidRPr="0089475D">
        <w:rPr>
          <w:i/>
          <w:iCs/>
          <w:lang w:val="fr-CH"/>
        </w:rPr>
        <w:t xml:space="preserve"> 3, </w:t>
      </w:r>
      <w:proofErr w:type="spellStart"/>
      <w:r w:rsidRPr="0089475D">
        <w:rPr>
          <w:i/>
          <w:iCs/>
          <w:lang w:val="fr-CH"/>
        </w:rPr>
        <w:t>amendment</w:t>
      </w:r>
      <w:proofErr w:type="spellEnd"/>
      <w:r w:rsidRPr="0089475D">
        <w:rPr>
          <w:i/>
          <w:iCs/>
          <w:lang w:val="fr-CH"/>
        </w:rPr>
        <w:t xml:space="preserve"> 8)</w:t>
      </w:r>
    </w:p>
    <w:p w:rsidR="00D77E07" w:rsidRPr="000321F1" w:rsidRDefault="00D77E07" w:rsidP="000321F1">
      <w:pPr>
        <w:pStyle w:val="SingleTxtG"/>
      </w:pPr>
      <w:r w:rsidRPr="000321F1">
        <w:t>1.1.9</w:t>
      </w:r>
      <w:r w:rsidRPr="000321F1">
        <w:tab/>
        <w:t>In the first line, replace “manual” by “Manual”.</w:t>
      </w:r>
    </w:p>
    <w:p w:rsidR="00D77E07" w:rsidRPr="0089475D" w:rsidRDefault="00D77E07" w:rsidP="000321F1">
      <w:pPr>
        <w:pStyle w:val="SingleTxtG"/>
        <w:rPr>
          <w:i/>
          <w:iCs/>
          <w:lang w:val="fr-CH"/>
        </w:rPr>
      </w:pPr>
      <w:r w:rsidRPr="0089475D">
        <w:rPr>
          <w:i/>
          <w:iCs/>
          <w:lang w:val="fr-CH"/>
        </w:rPr>
        <w:t xml:space="preserve">(Reference </w:t>
      </w:r>
      <w:proofErr w:type="gramStart"/>
      <w:r w:rsidRPr="0089475D">
        <w:rPr>
          <w:i/>
          <w:iCs/>
          <w:lang w:val="fr-CH"/>
        </w:rPr>
        <w:t>document:</w:t>
      </w:r>
      <w:proofErr w:type="gramEnd"/>
      <w:r w:rsidRPr="0089475D">
        <w:rPr>
          <w:i/>
          <w:iCs/>
          <w:lang w:val="fr-CH"/>
        </w:rPr>
        <w:t xml:space="preserve"> </w:t>
      </w:r>
      <w:proofErr w:type="spellStart"/>
      <w:r w:rsidRPr="0089475D">
        <w:rPr>
          <w:i/>
          <w:iCs/>
          <w:lang w:val="fr-CH"/>
        </w:rPr>
        <w:t>informal</w:t>
      </w:r>
      <w:proofErr w:type="spellEnd"/>
      <w:r w:rsidRPr="0089475D">
        <w:rPr>
          <w:i/>
          <w:iCs/>
          <w:lang w:val="fr-CH"/>
        </w:rPr>
        <w:t xml:space="preserve"> document INF.6</w:t>
      </w:r>
      <w:r w:rsidR="00EF1DD1">
        <w:rPr>
          <w:i/>
          <w:iCs/>
          <w:lang w:val="fr-CH"/>
        </w:rPr>
        <w:t>7</w:t>
      </w:r>
      <w:r w:rsidRPr="0089475D">
        <w:rPr>
          <w:i/>
          <w:iCs/>
          <w:lang w:val="fr-CH"/>
        </w:rPr>
        <w:t xml:space="preserve">, </w:t>
      </w:r>
      <w:proofErr w:type="spellStart"/>
      <w:r w:rsidRPr="0089475D">
        <w:rPr>
          <w:i/>
          <w:iCs/>
          <w:lang w:val="fr-CH"/>
        </w:rPr>
        <w:t>annex</w:t>
      </w:r>
      <w:proofErr w:type="spellEnd"/>
      <w:r w:rsidRPr="0089475D">
        <w:rPr>
          <w:i/>
          <w:iCs/>
          <w:lang w:val="fr-CH"/>
        </w:rPr>
        <w:t xml:space="preserve"> 3, </w:t>
      </w:r>
      <w:proofErr w:type="spellStart"/>
      <w:r w:rsidRPr="0089475D">
        <w:rPr>
          <w:i/>
          <w:iCs/>
          <w:lang w:val="fr-CH"/>
        </w:rPr>
        <w:t>amendment</w:t>
      </w:r>
      <w:proofErr w:type="spellEnd"/>
      <w:r w:rsidRPr="0089475D">
        <w:rPr>
          <w:i/>
          <w:iCs/>
          <w:lang w:val="fr-CH"/>
        </w:rPr>
        <w:t xml:space="preserve"> 9)</w:t>
      </w:r>
    </w:p>
    <w:p w:rsidR="00D77E07" w:rsidRPr="000321F1" w:rsidRDefault="00D77E07" w:rsidP="000321F1">
      <w:pPr>
        <w:pStyle w:val="SingleTxtG"/>
      </w:pPr>
      <w:r w:rsidRPr="000321F1">
        <w:t>1.2.</w:t>
      </w:r>
      <w:r w:rsidR="007405ED">
        <w:t>1.4.3</w:t>
      </w:r>
      <w:r w:rsidR="007405ED">
        <w:tab/>
        <w:t>Amend to read as follows </w:t>
      </w:r>
    </w:p>
    <w:p w:rsidR="00D77E07" w:rsidRPr="000321F1" w:rsidRDefault="00D77E07" w:rsidP="000321F1">
      <w:pPr>
        <w:pStyle w:val="SingleTxtG"/>
      </w:pPr>
      <w:r w:rsidRPr="000321F1">
        <w:t>“</w:t>
      </w:r>
      <w:r w:rsidR="000321F1">
        <w:t xml:space="preserve">At the </w:t>
      </w:r>
      <w:proofErr w:type="spellStart"/>
      <w:r w:rsidR="000321F1">
        <w:t>begining</w:t>
      </w:r>
      <w:proofErr w:type="spellEnd"/>
      <w:r w:rsidRPr="000321F1">
        <w:t xml:space="preserve">: replace “except for” by “Type A to “and replace the rest of the sentence by “should not be tested in the self-heating test N.4, as the test result will give a false positive result (i.e. temperature increase due to thermal decomposition rather than oxidative self-heating).”  </w:t>
      </w:r>
    </w:p>
    <w:p w:rsidR="00D77E07" w:rsidRPr="00D77E07" w:rsidRDefault="00D77E07" w:rsidP="000321F1">
      <w:pPr>
        <w:pStyle w:val="SingleTxtG"/>
      </w:pPr>
      <w:r w:rsidRPr="00D77E07">
        <w:t>In the second sentence: insert at the beginning “Self-reactive substances of type G and” and change the capital “O” to lower case in “Organic”.</w:t>
      </w:r>
    </w:p>
    <w:p w:rsidR="00D77E07" w:rsidRPr="00D77E07" w:rsidRDefault="00D77E07" w:rsidP="000321F1">
      <w:pPr>
        <w:pStyle w:val="SingleTxtG"/>
        <w:rPr>
          <w:i/>
          <w:iCs/>
          <w:lang w:val="fr-CH"/>
        </w:rPr>
      </w:pPr>
      <w:r w:rsidRPr="00D77E07">
        <w:rPr>
          <w:i/>
          <w:iCs/>
          <w:lang w:val="fr-CH"/>
        </w:rPr>
        <w:t xml:space="preserve">(Reference </w:t>
      </w:r>
      <w:proofErr w:type="gramStart"/>
      <w:r w:rsidRPr="00D77E07">
        <w:rPr>
          <w:i/>
          <w:iCs/>
          <w:lang w:val="fr-CH"/>
        </w:rPr>
        <w:t>document:</w:t>
      </w:r>
      <w:proofErr w:type="gramEnd"/>
      <w:r w:rsidRPr="00D77E07">
        <w:rPr>
          <w:i/>
          <w:iCs/>
          <w:lang w:val="fr-CH"/>
        </w:rPr>
        <w:t xml:space="preserve"> </w:t>
      </w:r>
      <w:proofErr w:type="spellStart"/>
      <w:r w:rsidRPr="00D77E07">
        <w:rPr>
          <w:i/>
          <w:iCs/>
          <w:lang w:val="fr-CH"/>
        </w:rPr>
        <w:t>informal</w:t>
      </w:r>
      <w:proofErr w:type="spellEnd"/>
      <w:r w:rsidRPr="00D77E07">
        <w:rPr>
          <w:i/>
          <w:iCs/>
          <w:lang w:val="fr-CH"/>
        </w:rPr>
        <w:t xml:space="preserve"> document INF.6</w:t>
      </w:r>
      <w:r w:rsidR="00EF1DD1">
        <w:rPr>
          <w:i/>
          <w:iCs/>
          <w:lang w:val="fr-CH"/>
        </w:rPr>
        <w:t>7</w:t>
      </w:r>
      <w:r w:rsidRPr="00D77E07">
        <w:rPr>
          <w:i/>
          <w:iCs/>
          <w:lang w:val="fr-CH"/>
        </w:rPr>
        <w:t xml:space="preserve">, </w:t>
      </w:r>
      <w:proofErr w:type="spellStart"/>
      <w:r w:rsidRPr="00D77E07">
        <w:rPr>
          <w:i/>
          <w:iCs/>
          <w:lang w:val="fr-CH"/>
        </w:rPr>
        <w:t>annex</w:t>
      </w:r>
      <w:proofErr w:type="spellEnd"/>
      <w:r w:rsidRPr="00D77E07">
        <w:rPr>
          <w:i/>
          <w:iCs/>
          <w:lang w:val="fr-CH"/>
        </w:rPr>
        <w:t xml:space="preserve"> 3, </w:t>
      </w:r>
      <w:proofErr w:type="spellStart"/>
      <w:r w:rsidRPr="00D77E07">
        <w:rPr>
          <w:i/>
          <w:iCs/>
          <w:lang w:val="fr-CH"/>
        </w:rPr>
        <w:t>amendment</w:t>
      </w:r>
      <w:proofErr w:type="spellEnd"/>
      <w:r w:rsidRPr="00D77E07">
        <w:rPr>
          <w:i/>
          <w:iCs/>
          <w:lang w:val="fr-CH"/>
        </w:rPr>
        <w:t xml:space="preserve"> 10)</w:t>
      </w:r>
    </w:p>
    <w:p w:rsidR="00D77E07" w:rsidRPr="00D77E07" w:rsidRDefault="000321F1" w:rsidP="000321F1">
      <w:pPr>
        <w:pStyle w:val="H23G"/>
        <w:rPr>
          <w:lang w:val="en-US"/>
        </w:rPr>
      </w:pPr>
      <w:r w:rsidRPr="0089475D">
        <w:rPr>
          <w:lang w:val="fr-CH"/>
        </w:rPr>
        <w:tab/>
      </w:r>
      <w:r w:rsidRPr="0089475D">
        <w:rPr>
          <w:lang w:val="fr-CH"/>
        </w:rPr>
        <w:tab/>
      </w:r>
      <w:r w:rsidR="00D77E07" w:rsidRPr="00D77E07">
        <w:rPr>
          <w:lang w:val="en-US"/>
        </w:rPr>
        <w:t>Section 10</w:t>
      </w:r>
    </w:p>
    <w:p w:rsidR="00D77E07" w:rsidRPr="00D77E07" w:rsidRDefault="00D77E07" w:rsidP="000321F1">
      <w:pPr>
        <w:pStyle w:val="SingleTxtG"/>
        <w:rPr>
          <w:lang w:val="en-US"/>
        </w:rPr>
      </w:pPr>
      <w:r w:rsidRPr="00D77E07">
        <w:rPr>
          <w:lang w:val="en-US"/>
        </w:rPr>
        <w:t>10.1.2</w:t>
      </w:r>
      <w:r w:rsidRPr="00D77E07">
        <w:rPr>
          <w:lang w:val="en-US"/>
        </w:rPr>
        <w:tab/>
      </w:r>
      <w:r w:rsidRPr="00D77E07">
        <w:rPr>
          <w:lang w:val="en-US"/>
        </w:rPr>
        <w:tab/>
        <w:t>In the sixth sentence, replace “competent authorities” by “classifiers”.</w:t>
      </w:r>
    </w:p>
    <w:p w:rsidR="00D77E07" w:rsidRPr="00D77E07" w:rsidRDefault="00D77E07" w:rsidP="000321F1">
      <w:pPr>
        <w:pStyle w:val="SingleTxtG"/>
        <w:rPr>
          <w:i/>
          <w:iCs/>
          <w:lang w:val="fr-CH"/>
        </w:rPr>
      </w:pPr>
      <w:r w:rsidRPr="00D77E07">
        <w:rPr>
          <w:i/>
          <w:iCs/>
          <w:lang w:val="fr-CH"/>
        </w:rPr>
        <w:t xml:space="preserve">(Reference </w:t>
      </w:r>
      <w:proofErr w:type="gramStart"/>
      <w:r w:rsidRPr="00D77E07">
        <w:rPr>
          <w:i/>
          <w:iCs/>
          <w:lang w:val="fr-CH"/>
        </w:rPr>
        <w:t>document:</w:t>
      </w:r>
      <w:proofErr w:type="gramEnd"/>
      <w:r w:rsidRPr="00D77E07">
        <w:rPr>
          <w:i/>
          <w:iCs/>
          <w:lang w:val="fr-CH"/>
        </w:rPr>
        <w:t xml:space="preserve"> </w:t>
      </w:r>
      <w:proofErr w:type="spellStart"/>
      <w:r w:rsidRPr="00D77E07">
        <w:rPr>
          <w:i/>
          <w:iCs/>
          <w:lang w:val="fr-CH"/>
        </w:rPr>
        <w:t>informal</w:t>
      </w:r>
      <w:proofErr w:type="spellEnd"/>
      <w:r w:rsidRPr="00D77E07">
        <w:rPr>
          <w:i/>
          <w:iCs/>
          <w:lang w:val="fr-CH"/>
        </w:rPr>
        <w:t xml:space="preserve"> document INF.6, </w:t>
      </w:r>
      <w:proofErr w:type="spellStart"/>
      <w:r w:rsidRPr="00D77E07">
        <w:rPr>
          <w:i/>
          <w:iCs/>
          <w:lang w:val="fr-CH"/>
        </w:rPr>
        <w:t>annex</w:t>
      </w:r>
      <w:proofErr w:type="spellEnd"/>
      <w:r w:rsidRPr="00D77E07">
        <w:rPr>
          <w:i/>
          <w:iCs/>
          <w:lang w:val="fr-CH"/>
        </w:rPr>
        <w:t xml:space="preserve"> 3, </w:t>
      </w:r>
      <w:proofErr w:type="spellStart"/>
      <w:r w:rsidRPr="00D77E07">
        <w:rPr>
          <w:i/>
          <w:iCs/>
          <w:lang w:val="fr-CH"/>
        </w:rPr>
        <w:t>amendment</w:t>
      </w:r>
      <w:proofErr w:type="spellEnd"/>
      <w:r w:rsidRPr="00D77E07">
        <w:rPr>
          <w:i/>
          <w:iCs/>
          <w:lang w:val="fr-CH"/>
        </w:rPr>
        <w:t xml:space="preserve"> 11)</w:t>
      </w:r>
    </w:p>
    <w:p w:rsidR="00D77E07" w:rsidRPr="00D77E07" w:rsidRDefault="00D77E07" w:rsidP="000321F1">
      <w:pPr>
        <w:pStyle w:val="SingleTxtG"/>
      </w:pPr>
      <w:r w:rsidRPr="00D77E07">
        <w:t>10.2.2</w:t>
      </w:r>
      <w:r w:rsidRPr="00D77E07">
        <w:tab/>
      </w:r>
      <w:r w:rsidRPr="00D77E07">
        <w:tab/>
        <w:t>Amend to read as follows:</w:t>
      </w:r>
    </w:p>
    <w:p w:rsidR="00D77E07" w:rsidRDefault="00D77E07" w:rsidP="000321F1">
      <w:pPr>
        <w:pStyle w:val="SingleTxtG"/>
      </w:pPr>
      <w:r w:rsidRPr="00E13319">
        <w:t>“</w:t>
      </w:r>
      <w:r>
        <w:t>10.2.2</w:t>
      </w:r>
      <w:r>
        <w:tab/>
      </w:r>
      <w:r w:rsidRPr="00E13319">
        <w:t xml:space="preserve">The </w:t>
      </w:r>
      <w:r>
        <w:t>classifier</w:t>
      </w:r>
      <w:r w:rsidRPr="00E13319">
        <w:t xml:space="preserve"> of a new product should document adequate information concerning the names and characteristics of all explosive substances in the product and all relevant tests which have been done. This information should be furnished to the </w:t>
      </w:r>
      <w:r>
        <w:t>competent authorities</w:t>
      </w:r>
      <w:r w:rsidRPr="00E13319">
        <w:t>, if required.</w:t>
      </w:r>
      <w:r>
        <w:t>”.</w:t>
      </w:r>
    </w:p>
    <w:p w:rsidR="00D77E07" w:rsidRPr="00A65619" w:rsidRDefault="00D77E07" w:rsidP="000321F1">
      <w:pPr>
        <w:pStyle w:val="SingleTxtG"/>
        <w:rPr>
          <w:i/>
          <w:iCs/>
          <w:lang w:val="en-US"/>
        </w:rPr>
      </w:pPr>
      <w:r w:rsidRPr="00A65619">
        <w:rPr>
          <w:i/>
          <w:iCs/>
          <w:lang w:val="en-US"/>
        </w:rPr>
        <w:t xml:space="preserve"> (Reference document: </w:t>
      </w:r>
      <w:bookmarkStart w:id="6" w:name="_Hlk520460013"/>
      <w:bookmarkStart w:id="7" w:name="_Hlk520459207"/>
      <w:r w:rsidR="009A1E17" w:rsidRPr="00A65619">
        <w:rPr>
          <w:i/>
          <w:iCs/>
          <w:lang w:val="en-US"/>
        </w:rPr>
        <w:t>UN/SCETDG/53/INF.7 – UNSCEGHS/35/INF.6</w:t>
      </w:r>
      <w:bookmarkEnd w:id="6"/>
      <w:r w:rsidR="009A1E17" w:rsidRPr="00A65619">
        <w:rPr>
          <w:i/>
          <w:iCs/>
          <w:lang w:val="en-US"/>
        </w:rPr>
        <w:t xml:space="preserve"> </w:t>
      </w:r>
      <w:bookmarkEnd w:id="7"/>
      <w:r w:rsidR="009A1E17" w:rsidRPr="00A65619">
        <w:rPr>
          <w:i/>
          <w:iCs/>
          <w:lang w:val="en-US"/>
        </w:rPr>
        <w:t xml:space="preserve">and </w:t>
      </w:r>
      <w:r w:rsidRPr="00A65619">
        <w:rPr>
          <w:i/>
          <w:iCs/>
          <w:lang w:val="en-US"/>
        </w:rPr>
        <w:t>informal document INF.6</w:t>
      </w:r>
      <w:r w:rsidR="009A1E17" w:rsidRPr="00A65619">
        <w:rPr>
          <w:i/>
          <w:iCs/>
          <w:lang w:val="en-US"/>
        </w:rPr>
        <w:t>7</w:t>
      </w:r>
      <w:r w:rsidRPr="00A65619">
        <w:rPr>
          <w:i/>
          <w:iCs/>
          <w:lang w:val="en-US"/>
        </w:rPr>
        <w:t xml:space="preserve">, annex 3, amendment </w:t>
      </w:r>
      <w:r w:rsidR="009A1E17" w:rsidRPr="00A65619">
        <w:rPr>
          <w:i/>
          <w:iCs/>
          <w:lang w:val="en-US"/>
        </w:rPr>
        <w:t>6</w:t>
      </w:r>
      <w:r w:rsidR="000321F1" w:rsidRPr="00A65619">
        <w:rPr>
          <w:i/>
          <w:iCs/>
          <w:lang w:val="en-US"/>
        </w:rPr>
        <w:t>)</w:t>
      </w:r>
    </w:p>
    <w:p w:rsidR="00965CD6" w:rsidRPr="000321F1" w:rsidRDefault="008454AF" w:rsidP="000321F1">
      <w:pPr>
        <w:pStyle w:val="H23G"/>
        <w:rPr>
          <w:lang w:val="en-US"/>
        </w:rPr>
      </w:pPr>
      <w:r w:rsidRPr="00A65619">
        <w:rPr>
          <w:lang w:val="en-US"/>
        </w:rPr>
        <w:tab/>
      </w:r>
      <w:r w:rsidR="000321F1" w:rsidRPr="00A65619">
        <w:rPr>
          <w:lang w:val="en-US"/>
        </w:rPr>
        <w:tab/>
      </w:r>
      <w:r w:rsidR="000321F1" w:rsidRPr="000321F1">
        <w:rPr>
          <w:lang w:val="en-US"/>
        </w:rPr>
        <w:t>I</w:t>
      </w:r>
      <w:r w:rsidR="000321F1">
        <w:rPr>
          <w:lang w:val="en-US"/>
        </w:rPr>
        <w:t xml:space="preserve">nformal document INF.67, annex 3, amendments </w:t>
      </w:r>
      <w:r w:rsidR="00A65619">
        <w:rPr>
          <w:lang w:val="en-US"/>
        </w:rPr>
        <w:t>5 and 6</w:t>
      </w:r>
      <w:r w:rsidR="00384947">
        <w:rPr>
          <w:lang w:val="en-US"/>
        </w:rPr>
        <w:t xml:space="preserve"> </w:t>
      </w:r>
      <w:r w:rsidR="00985F55">
        <w:rPr>
          <w:lang w:val="en-US"/>
        </w:rPr>
        <w:t xml:space="preserve">adopted between square brackets </w:t>
      </w:r>
      <w:r w:rsidR="00384947">
        <w:rPr>
          <w:lang w:val="en-US"/>
        </w:rPr>
        <w:t>as amended</w:t>
      </w:r>
      <w:r w:rsidR="000321F1">
        <w:rPr>
          <w:lang w:val="en-US"/>
        </w:rPr>
        <w:t xml:space="preserve"> </w:t>
      </w:r>
    </w:p>
    <w:p w:rsidR="00965CD6" w:rsidRPr="00985F55" w:rsidRDefault="00985F55" w:rsidP="00985F55">
      <w:pPr>
        <w:pStyle w:val="SingleTxtG"/>
        <w:rPr>
          <w:i/>
          <w:iCs/>
          <w:lang w:val="en-US"/>
        </w:rPr>
      </w:pPr>
      <w:r w:rsidRPr="00985F55">
        <w:rPr>
          <w:rStyle w:val="SingleTxtGZchnZchn"/>
          <w:i/>
          <w:iCs/>
        </w:rPr>
        <w:tab/>
      </w:r>
      <w:r w:rsidRPr="00985F55">
        <w:rPr>
          <w:rStyle w:val="SingleTxtGZchnZchn"/>
          <w:b/>
          <w:bCs/>
          <w:i/>
          <w:iCs/>
          <w:u w:val="single"/>
        </w:rPr>
        <w:t>Note by the secretariat:</w:t>
      </w:r>
      <w:r w:rsidRPr="00985F55">
        <w:rPr>
          <w:rStyle w:val="SingleTxtGZchnZchn"/>
          <w:i/>
          <w:iCs/>
        </w:rPr>
        <w:t xml:space="preserve"> Since these texts were adopted </w:t>
      </w:r>
      <w:proofErr w:type="gramStart"/>
      <w:r w:rsidRPr="00985F55">
        <w:rPr>
          <w:rStyle w:val="SingleTxtGZchnZchn"/>
          <w:i/>
          <w:iCs/>
        </w:rPr>
        <w:t>on the basis of</w:t>
      </w:r>
      <w:proofErr w:type="gramEnd"/>
      <w:r w:rsidRPr="00985F55">
        <w:rPr>
          <w:rStyle w:val="SingleTxtGZchnZchn"/>
          <w:i/>
          <w:iCs/>
        </w:rPr>
        <w:t xml:space="preserve"> informal documents available in English only, they are not included here. They will be reproduced in a working document for confirmation by the sub-committee at its fifty-fourth session. </w:t>
      </w:r>
      <w:r w:rsidR="00965CD6" w:rsidRPr="00985F55">
        <w:rPr>
          <w:i/>
          <w:iCs/>
          <w:lang w:val="en-US"/>
        </w:rPr>
        <w:br w:type="page"/>
      </w:r>
    </w:p>
    <w:p w:rsidR="00065930" w:rsidRDefault="00965CD6" w:rsidP="00065930">
      <w:pPr>
        <w:pStyle w:val="HChG"/>
      </w:pPr>
      <w:r w:rsidRPr="000E4463">
        <w:t xml:space="preserve">Annex </w:t>
      </w:r>
      <w:r>
        <w:t>II</w:t>
      </w:r>
      <w:r w:rsidRPr="000E4463">
        <w:t>I</w:t>
      </w:r>
      <w:r w:rsidRPr="000E4463">
        <w:tab/>
      </w:r>
    </w:p>
    <w:p w:rsidR="00965CD6" w:rsidRPr="000E4463" w:rsidRDefault="00065930" w:rsidP="00E42E4B">
      <w:pPr>
        <w:pStyle w:val="HChG"/>
      </w:pPr>
      <w:r>
        <w:tab/>
      </w:r>
      <w:r>
        <w:tab/>
      </w:r>
      <w:r w:rsidR="00965CD6" w:rsidRPr="000E4463">
        <w:t xml:space="preserve">Corrections to the twentieth revised edition of the </w:t>
      </w:r>
      <w:r w:rsidR="004C12CE">
        <w:t xml:space="preserve">   </w:t>
      </w:r>
      <w:r w:rsidR="00965CD6" w:rsidRPr="000E4463">
        <w:t>Recommendations on the Transport of Dangerous Goods, Model Regulations (ST/SG/AC.10/1/Rev.20)</w:t>
      </w:r>
    </w:p>
    <w:p w:rsidR="00965CD6" w:rsidRDefault="00065930" w:rsidP="00E42E4B">
      <w:pPr>
        <w:pStyle w:val="H1G"/>
      </w:pPr>
      <w:r>
        <w:tab/>
      </w:r>
      <w:r>
        <w:tab/>
      </w:r>
      <w:r w:rsidR="00965CD6">
        <w:t>Chapter 1.2, 1.2.1 definitions</w:t>
      </w:r>
    </w:p>
    <w:p w:rsidR="005C50AB" w:rsidRDefault="00965CD6" w:rsidP="005C50AB">
      <w:pPr>
        <w:pStyle w:val="SingleTxtG"/>
      </w:pPr>
      <w:r>
        <w:tab/>
      </w:r>
      <w:r w:rsidR="005C50AB">
        <w:t>Not applicable to the English text.</w:t>
      </w:r>
    </w:p>
    <w:p w:rsidR="00965CD6" w:rsidRPr="00E900B5" w:rsidRDefault="00965CD6" w:rsidP="00965CD6">
      <w:pPr>
        <w:pStyle w:val="SingleTxtG"/>
        <w:rPr>
          <w:i/>
          <w:iCs/>
        </w:rPr>
      </w:pPr>
      <w:r w:rsidRPr="00E900B5">
        <w:rPr>
          <w:i/>
          <w:iCs/>
        </w:rPr>
        <w:t>(Reference document: ST/SG/AC.10/C.3/2018/55)</w:t>
      </w:r>
      <w:r w:rsidRPr="00E900B5">
        <w:rPr>
          <w:i/>
          <w:iCs/>
        </w:rPr>
        <w:tab/>
      </w:r>
    </w:p>
    <w:p w:rsidR="00965CD6" w:rsidRDefault="00965CD6" w:rsidP="00E42E4B">
      <w:pPr>
        <w:pStyle w:val="H1G"/>
      </w:pPr>
      <w:r>
        <w:tab/>
      </w:r>
      <w:r>
        <w:tab/>
        <w:t>Chapter 2.0, 2.0.0.1</w:t>
      </w:r>
    </w:p>
    <w:p w:rsidR="005C50AB" w:rsidRDefault="00965CD6" w:rsidP="005C50AB">
      <w:pPr>
        <w:pStyle w:val="SingleTxtG"/>
      </w:pPr>
      <w:r>
        <w:tab/>
      </w:r>
      <w:r w:rsidR="005C50AB">
        <w:t>Not applicable to the English text.</w:t>
      </w:r>
    </w:p>
    <w:p w:rsidR="00965CD6" w:rsidRPr="003B54C5" w:rsidRDefault="00965CD6" w:rsidP="00965CD6">
      <w:pPr>
        <w:pStyle w:val="SingleTxtG"/>
        <w:rPr>
          <w:i/>
          <w:iCs/>
        </w:rPr>
      </w:pPr>
      <w:r>
        <w:tab/>
      </w:r>
      <w:r w:rsidRPr="003B54C5">
        <w:rPr>
          <w:i/>
          <w:iCs/>
        </w:rPr>
        <w:t>(Reference document: ST/SG/AC.10/C.3/2018/55)</w:t>
      </w:r>
    </w:p>
    <w:p w:rsidR="00965CD6" w:rsidRDefault="00965CD6" w:rsidP="00E42E4B">
      <w:pPr>
        <w:pStyle w:val="H1G"/>
      </w:pPr>
      <w:r>
        <w:tab/>
      </w:r>
      <w:r>
        <w:tab/>
      </w:r>
      <w:r>
        <w:tab/>
      </w:r>
      <w:r w:rsidRPr="00755589">
        <w:t>Chapter</w:t>
      </w:r>
      <w:r>
        <w:t xml:space="preserve"> 2.3, 2.3.1.3</w:t>
      </w:r>
    </w:p>
    <w:p w:rsidR="00965CD6" w:rsidRDefault="00965CD6" w:rsidP="00965CD6">
      <w:pPr>
        <w:pStyle w:val="SingleTxtG"/>
      </w:pPr>
      <w:r>
        <w:t>Not applicable to the English text.</w:t>
      </w:r>
    </w:p>
    <w:p w:rsidR="00965CD6" w:rsidRDefault="00965CD6" w:rsidP="00965CD6">
      <w:pPr>
        <w:pStyle w:val="SingleTxtG"/>
        <w:rPr>
          <w:i/>
          <w:iCs/>
          <w:lang w:val="en-US"/>
        </w:rPr>
      </w:pPr>
      <w:r w:rsidRPr="001539C6">
        <w:rPr>
          <w:i/>
          <w:iCs/>
        </w:rPr>
        <w:t>(</w:t>
      </w:r>
      <w:r w:rsidRPr="00325855">
        <w:rPr>
          <w:i/>
          <w:iCs/>
          <w:lang w:val="en-US"/>
        </w:rPr>
        <w:t>Reference document: ST/SG/AC.10/</w:t>
      </w:r>
      <w:r>
        <w:rPr>
          <w:i/>
          <w:iCs/>
          <w:lang w:val="en-US"/>
        </w:rPr>
        <w:t xml:space="preserve">C.3/2018/38, </w:t>
      </w:r>
      <w:r w:rsidR="005C50AB">
        <w:rPr>
          <w:i/>
          <w:iCs/>
        </w:rPr>
        <w:t>paragraph</w:t>
      </w:r>
      <w:r>
        <w:rPr>
          <w:i/>
          <w:iCs/>
        </w:rPr>
        <w:t xml:space="preserve"> 3</w:t>
      </w:r>
      <w:r>
        <w:rPr>
          <w:i/>
          <w:iCs/>
          <w:lang w:val="en-US"/>
        </w:rPr>
        <w:t>)</w:t>
      </w:r>
    </w:p>
    <w:p w:rsidR="00965CD6" w:rsidRDefault="00965CD6" w:rsidP="00E42E4B">
      <w:pPr>
        <w:pStyle w:val="H1G"/>
      </w:pPr>
      <w:r>
        <w:tab/>
      </w:r>
      <w:r>
        <w:tab/>
      </w:r>
      <w:r w:rsidRPr="00755589">
        <w:t>Chapter</w:t>
      </w:r>
      <w:r>
        <w:t xml:space="preserve"> 2.6, Note under 2.6.2.2.4.1</w:t>
      </w:r>
    </w:p>
    <w:p w:rsidR="00965CD6" w:rsidRDefault="00965CD6" w:rsidP="00965CD6">
      <w:pPr>
        <w:pStyle w:val="SingleTxtG"/>
      </w:pPr>
      <w:r w:rsidRPr="0023087B">
        <w:rPr>
          <w:i/>
          <w:iCs/>
        </w:rPr>
        <w:t>For</w:t>
      </w:r>
      <w:r>
        <w:t xml:space="preserve"> 2.8.2.3 </w:t>
      </w:r>
      <w:r w:rsidRPr="0023087B">
        <w:rPr>
          <w:i/>
          <w:iCs/>
        </w:rPr>
        <w:t>read</w:t>
      </w:r>
      <w:r>
        <w:t xml:space="preserve"> 2.8.2.4</w:t>
      </w:r>
    </w:p>
    <w:p w:rsidR="00965CD6" w:rsidRDefault="00965CD6" w:rsidP="00965CD6">
      <w:pPr>
        <w:pStyle w:val="SingleTxtG"/>
        <w:rPr>
          <w:i/>
          <w:iCs/>
          <w:lang w:val="en-US"/>
        </w:rPr>
      </w:pPr>
      <w:r w:rsidRPr="001539C6">
        <w:rPr>
          <w:i/>
          <w:iCs/>
        </w:rPr>
        <w:t>(</w:t>
      </w:r>
      <w:r w:rsidRPr="00325855">
        <w:rPr>
          <w:i/>
          <w:iCs/>
          <w:lang w:val="en-US"/>
        </w:rPr>
        <w:t>Reference document: ST/SG/AC.10/</w:t>
      </w:r>
      <w:r>
        <w:rPr>
          <w:i/>
          <w:iCs/>
          <w:lang w:val="en-US"/>
        </w:rPr>
        <w:t xml:space="preserve">C.3/2018/38, </w:t>
      </w:r>
      <w:r w:rsidR="005C50AB">
        <w:rPr>
          <w:i/>
          <w:iCs/>
        </w:rPr>
        <w:t>paragraph</w:t>
      </w:r>
      <w:r>
        <w:rPr>
          <w:i/>
          <w:iCs/>
        </w:rPr>
        <w:t xml:space="preserve"> 5</w:t>
      </w:r>
      <w:r>
        <w:rPr>
          <w:i/>
          <w:iCs/>
          <w:lang w:val="en-US"/>
        </w:rPr>
        <w:t>)</w:t>
      </w:r>
    </w:p>
    <w:p w:rsidR="009F01C4" w:rsidRDefault="00965CD6" w:rsidP="00E42E4B">
      <w:pPr>
        <w:pStyle w:val="H1G"/>
      </w:pPr>
      <w:r>
        <w:tab/>
      </w:r>
      <w:r>
        <w:tab/>
      </w:r>
      <w:r w:rsidR="009F01C4">
        <w:t>Chapter 3.2</w:t>
      </w:r>
    </w:p>
    <w:p w:rsidR="009F01C4" w:rsidRPr="00DC6A2B" w:rsidRDefault="009F01C4" w:rsidP="009F01C4">
      <w:pPr>
        <w:pStyle w:val="SingleTxtG"/>
        <w:rPr>
          <w:lang w:val="en-US"/>
        </w:rPr>
      </w:pPr>
      <w:r w:rsidRPr="009F01C4">
        <w:rPr>
          <w:i/>
          <w:iCs/>
          <w:lang w:val="en-US"/>
        </w:rPr>
        <w:t>For</w:t>
      </w:r>
      <w:r w:rsidRPr="00DC6A2B">
        <w:rPr>
          <w:lang w:val="en-US"/>
        </w:rPr>
        <w:t xml:space="preserve"> UN Nos. 3101 to 3120, </w:t>
      </w:r>
      <w:r w:rsidRPr="009F01C4">
        <w:rPr>
          <w:i/>
          <w:iCs/>
          <w:lang w:val="en-US"/>
        </w:rPr>
        <w:t>delete</w:t>
      </w:r>
      <w:r w:rsidRPr="00DC6A2B">
        <w:rPr>
          <w:lang w:val="en-US"/>
        </w:rPr>
        <w:t xml:space="preserve"> “323” in column (6).</w:t>
      </w:r>
    </w:p>
    <w:p w:rsidR="009F01C4" w:rsidRDefault="009F01C4" w:rsidP="009F01C4">
      <w:pPr>
        <w:pStyle w:val="SingleTxtG"/>
      </w:pPr>
      <w:r w:rsidRPr="007F764E">
        <w:rPr>
          <w:i/>
          <w:iCs/>
        </w:rPr>
        <w:t xml:space="preserve">(Reference document: </w:t>
      </w:r>
      <w:r w:rsidRPr="003B3A0D">
        <w:rPr>
          <w:bCs/>
          <w:i/>
          <w:iCs/>
          <w:lang w:val="en-US"/>
        </w:rPr>
        <w:t>ST/SG/AC.10/C.3/2018/</w:t>
      </w:r>
      <w:r>
        <w:rPr>
          <w:bCs/>
          <w:i/>
          <w:iCs/>
          <w:lang w:val="en-US"/>
        </w:rPr>
        <w:t>15, consequential amendment)</w:t>
      </w:r>
    </w:p>
    <w:p w:rsidR="00965CD6" w:rsidRDefault="009F01C4" w:rsidP="00E42E4B">
      <w:pPr>
        <w:pStyle w:val="H1G"/>
      </w:pPr>
      <w:r>
        <w:tab/>
      </w:r>
      <w:r>
        <w:tab/>
      </w:r>
      <w:r w:rsidR="00965CD6">
        <w:tab/>
        <w:t>Chapter 3.3, special provision 251, second paragraph</w:t>
      </w:r>
    </w:p>
    <w:p w:rsidR="005C50AB" w:rsidRDefault="005C50AB" w:rsidP="005C50AB">
      <w:pPr>
        <w:pStyle w:val="SingleTxtG"/>
      </w:pPr>
      <w:r>
        <w:t>Not applicable to the English text.</w:t>
      </w:r>
    </w:p>
    <w:p w:rsidR="00965CD6" w:rsidRDefault="00965CD6" w:rsidP="005C50AB">
      <w:pPr>
        <w:pStyle w:val="SingleTxtG"/>
        <w:rPr>
          <w:i/>
          <w:iCs/>
        </w:rPr>
      </w:pPr>
      <w:r w:rsidRPr="00E900B5">
        <w:rPr>
          <w:i/>
          <w:iCs/>
        </w:rPr>
        <w:t>(Reference document: ST/SG/AC.10/C.3/2018/55)</w:t>
      </w:r>
    </w:p>
    <w:p w:rsidR="003206F0" w:rsidRDefault="003206F0" w:rsidP="00E42E4B">
      <w:pPr>
        <w:pStyle w:val="H1G"/>
      </w:pPr>
      <w:r>
        <w:tab/>
      </w:r>
      <w:r>
        <w:tab/>
        <w:t>Chapter 3.3, special provision 323</w:t>
      </w:r>
    </w:p>
    <w:p w:rsidR="003206F0" w:rsidRPr="003206F0" w:rsidRDefault="003206F0" w:rsidP="003206F0">
      <w:pPr>
        <w:pStyle w:val="SingleTxtG"/>
      </w:pPr>
      <w:r w:rsidRPr="003206F0">
        <w:rPr>
          <w:i/>
          <w:iCs/>
        </w:rPr>
        <w:t>Delete</w:t>
      </w:r>
      <w:r w:rsidRPr="003206F0">
        <w:t xml:space="preserve"> and add Deleted.</w:t>
      </w:r>
    </w:p>
    <w:p w:rsidR="003206F0" w:rsidRDefault="003206F0" w:rsidP="003206F0">
      <w:pPr>
        <w:pStyle w:val="SingleTxtG"/>
        <w:rPr>
          <w:b/>
          <w:bCs/>
          <w:i/>
          <w:iCs/>
          <w:lang w:val="en-US"/>
        </w:rPr>
      </w:pPr>
      <w:r w:rsidRPr="003206F0">
        <w:rPr>
          <w:bCs/>
          <w:i/>
          <w:iCs/>
        </w:rPr>
        <w:t>(</w:t>
      </w:r>
      <w:r w:rsidRPr="003206F0">
        <w:rPr>
          <w:bCs/>
          <w:i/>
          <w:iCs/>
          <w:lang w:val="en-US"/>
        </w:rPr>
        <w:t>Reference document: ST/SG/AC.10/C.3/2018/15)</w:t>
      </w:r>
      <w:r w:rsidR="00A4443A">
        <w:rPr>
          <w:bCs/>
          <w:i/>
          <w:iCs/>
          <w:lang w:val="en-US"/>
        </w:rPr>
        <w:t xml:space="preserve">    </w:t>
      </w:r>
    </w:p>
    <w:p w:rsidR="00965CD6" w:rsidRDefault="00965CD6" w:rsidP="00E42E4B">
      <w:pPr>
        <w:pStyle w:val="H1G"/>
      </w:pPr>
      <w:r>
        <w:tab/>
      </w:r>
      <w:r>
        <w:tab/>
        <w:t>Chapter 3.3, special provision 341</w:t>
      </w:r>
    </w:p>
    <w:p w:rsidR="005C50AB" w:rsidRDefault="005C50AB" w:rsidP="005C50AB">
      <w:pPr>
        <w:pStyle w:val="SingleTxtG"/>
      </w:pPr>
      <w:r>
        <w:t>Not applicable to the English text.</w:t>
      </w:r>
    </w:p>
    <w:p w:rsidR="00965CD6" w:rsidRDefault="00965CD6" w:rsidP="005C50AB">
      <w:pPr>
        <w:ind w:left="567" w:firstLine="567"/>
        <w:rPr>
          <w:i/>
          <w:iCs/>
        </w:rPr>
      </w:pPr>
      <w:r w:rsidRPr="00E900B5">
        <w:rPr>
          <w:i/>
          <w:iCs/>
        </w:rPr>
        <w:t>(Reference document: ST/SG/AC.10/C.3/2018/55)</w:t>
      </w:r>
    </w:p>
    <w:p w:rsidR="00965CD6" w:rsidRDefault="00965CD6" w:rsidP="00E42E4B">
      <w:pPr>
        <w:pStyle w:val="H1G"/>
      </w:pPr>
      <w:r>
        <w:tab/>
      </w:r>
      <w:r>
        <w:tab/>
        <w:t>Chapter 3.3, special provision 388, fourth paragraph</w:t>
      </w:r>
    </w:p>
    <w:p w:rsidR="005C50AB" w:rsidRDefault="00965CD6" w:rsidP="005C50AB">
      <w:pPr>
        <w:pStyle w:val="SingleTxtG"/>
      </w:pPr>
      <w:r>
        <w:tab/>
      </w:r>
      <w:r w:rsidR="005C50AB">
        <w:t>Not applicable to the English text.</w:t>
      </w:r>
    </w:p>
    <w:p w:rsidR="00965CD6" w:rsidRPr="00A71661" w:rsidRDefault="00965CD6" w:rsidP="00965CD6">
      <w:pPr>
        <w:ind w:left="567" w:firstLine="567"/>
      </w:pPr>
      <w:r w:rsidRPr="00E900B5">
        <w:rPr>
          <w:i/>
          <w:iCs/>
        </w:rPr>
        <w:t>(Reference document: ST/SG/AC.10/C.3/2018/55)</w:t>
      </w:r>
    </w:p>
    <w:p w:rsidR="00965CD6" w:rsidRDefault="00965CD6" w:rsidP="00E42E4B">
      <w:pPr>
        <w:pStyle w:val="H1G"/>
      </w:pPr>
      <w:r>
        <w:tab/>
      </w:r>
      <w:r>
        <w:tab/>
        <w:t>Chapter 4.1, packing instruction P006</w:t>
      </w:r>
    </w:p>
    <w:p w:rsidR="005C50AB" w:rsidRDefault="00965CD6" w:rsidP="005C50AB">
      <w:pPr>
        <w:pStyle w:val="SingleTxtG"/>
      </w:pPr>
      <w:r>
        <w:tab/>
      </w:r>
      <w:r w:rsidR="005C50AB">
        <w:t>Not applicable to the English text.</w:t>
      </w:r>
    </w:p>
    <w:p w:rsidR="00965CD6" w:rsidRDefault="00965CD6" w:rsidP="00965CD6">
      <w:pPr>
        <w:ind w:left="567" w:firstLine="567"/>
        <w:rPr>
          <w:i/>
          <w:iCs/>
        </w:rPr>
      </w:pPr>
      <w:r w:rsidRPr="00E900B5">
        <w:rPr>
          <w:i/>
          <w:iCs/>
        </w:rPr>
        <w:t>(Reference document: ST/SG/AC.10/C.3/2018/55)</w:t>
      </w:r>
    </w:p>
    <w:p w:rsidR="00965CD6" w:rsidRDefault="00965CD6" w:rsidP="00E42E4B">
      <w:pPr>
        <w:pStyle w:val="H1G"/>
      </w:pPr>
      <w:r>
        <w:tab/>
      </w:r>
      <w:r>
        <w:tab/>
        <w:t>Chapter 4.1, packing instruction LP03</w:t>
      </w:r>
    </w:p>
    <w:p w:rsidR="005C50AB" w:rsidRDefault="00965CD6" w:rsidP="005C50AB">
      <w:pPr>
        <w:pStyle w:val="SingleTxtG"/>
      </w:pPr>
      <w:r>
        <w:tab/>
      </w:r>
      <w:r w:rsidR="005C50AB">
        <w:t>Not applicable to the English text.</w:t>
      </w:r>
    </w:p>
    <w:p w:rsidR="000D518C" w:rsidRPr="000D518C" w:rsidRDefault="000D518C" w:rsidP="000D518C">
      <w:pPr>
        <w:ind w:left="567" w:firstLine="567"/>
        <w:rPr>
          <w:i/>
          <w:iCs/>
        </w:rPr>
      </w:pPr>
      <w:r w:rsidRPr="00E900B5">
        <w:rPr>
          <w:i/>
          <w:iCs/>
        </w:rPr>
        <w:t>(Reference document: ST/SG/AC.10/C.3/2018/55)</w:t>
      </w:r>
    </w:p>
    <w:p w:rsidR="00F01D39" w:rsidRDefault="00F01D39" w:rsidP="00E42E4B">
      <w:pPr>
        <w:pStyle w:val="H1G"/>
      </w:pPr>
      <w:r>
        <w:tab/>
      </w:r>
      <w:r>
        <w:tab/>
        <w:t>Chapter 4.1, packing instruction LP905, introductory sentence</w:t>
      </w:r>
    </w:p>
    <w:p w:rsidR="00F01D39" w:rsidRPr="00EF53CD" w:rsidRDefault="00F01D39" w:rsidP="00F01D39">
      <w:pPr>
        <w:pStyle w:val="SingleTxtG"/>
      </w:pPr>
      <w:r w:rsidRPr="00F01D39">
        <w:rPr>
          <w:i/>
          <w:iCs/>
        </w:rPr>
        <w:t>For</w:t>
      </w:r>
      <w:r w:rsidRPr="00EF53CD">
        <w:t xml:space="preserve"> “cells and batteries” </w:t>
      </w:r>
      <w:r w:rsidRPr="00F01D39">
        <w:rPr>
          <w:i/>
          <w:iCs/>
        </w:rPr>
        <w:t>read</w:t>
      </w:r>
      <w:r w:rsidRPr="00EF53CD">
        <w:t xml:space="preserve"> “cells or batteries</w:t>
      </w:r>
      <w:r>
        <w:t>”</w:t>
      </w:r>
      <w:r w:rsidRPr="00EF53CD">
        <w:t xml:space="preserve"> (twice). </w:t>
      </w:r>
    </w:p>
    <w:p w:rsidR="00F01D39" w:rsidRPr="000D518C" w:rsidRDefault="00F01D39" w:rsidP="000D518C">
      <w:pPr>
        <w:pStyle w:val="SingleTxtG"/>
        <w:rPr>
          <w:i/>
          <w:iCs/>
        </w:rPr>
      </w:pPr>
      <w:r w:rsidRPr="00EF53CD">
        <w:rPr>
          <w:i/>
          <w:iCs/>
        </w:rPr>
        <w:t>(Reference document: ST/SG/AC.10/C.3/2018/15)</w:t>
      </w:r>
    </w:p>
    <w:p w:rsidR="00965CD6" w:rsidRPr="00C21D63" w:rsidRDefault="00965CD6" w:rsidP="00E42E4B">
      <w:pPr>
        <w:pStyle w:val="H1G"/>
        <w:rPr>
          <w:lang w:val="en-US"/>
        </w:rPr>
      </w:pPr>
      <w:r>
        <w:tab/>
      </w:r>
      <w:r>
        <w:tab/>
      </w:r>
      <w:r w:rsidRPr="00C21D63">
        <w:rPr>
          <w:lang w:val="en-US"/>
        </w:rPr>
        <w:t>Chapter 5.3, 5.3.2.2, second paragraph, second sentence</w:t>
      </w:r>
    </w:p>
    <w:p w:rsidR="00965CD6" w:rsidRDefault="00965CD6" w:rsidP="00965CD6">
      <w:pPr>
        <w:pStyle w:val="SingleTxtG"/>
      </w:pPr>
      <w:r>
        <w:t>Not applicable to the English text.</w:t>
      </w:r>
    </w:p>
    <w:p w:rsidR="008454AF" w:rsidRPr="00965CD6" w:rsidRDefault="00965CD6" w:rsidP="00965CD6">
      <w:pPr>
        <w:pStyle w:val="SingleTxtG"/>
        <w:rPr>
          <w:i/>
          <w:iCs/>
          <w:lang w:val="en-US"/>
        </w:rPr>
      </w:pPr>
      <w:r w:rsidRPr="001539C6">
        <w:rPr>
          <w:i/>
          <w:iCs/>
        </w:rPr>
        <w:t>(</w:t>
      </w:r>
      <w:r w:rsidRPr="00325855">
        <w:rPr>
          <w:i/>
          <w:iCs/>
          <w:lang w:val="en-US"/>
        </w:rPr>
        <w:t>Reference document: ST/SG/AC.10/</w:t>
      </w:r>
      <w:r>
        <w:rPr>
          <w:i/>
          <w:iCs/>
          <w:lang w:val="en-US"/>
        </w:rPr>
        <w:t>C.3/2018/10)</w:t>
      </w:r>
    </w:p>
    <w:p w:rsidR="00EC578D" w:rsidRPr="00965CD6" w:rsidRDefault="00DA194A" w:rsidP="00DA194A">
      <w:pPr>
        <w:spacing w:before="240"/>
        <w:ind w:left="1134" w:right="1134"/>
        <w:jc w:val="center"/>
        <w:rPr>
          <w:u w:val="single"/>
          <w:lang w:val="en-US"/>
        </w:rPr>
      </w:pPr>
      <w:r w:rsidRPr="00965CD6">
        <w:rPr>
          <w:u w:val="single"/>
          <w:lang w:val="en-US"/>
        </w:rPr>
        <w:tab/>
      </w:r>
      <w:r w:rsidRPr="00965CD6">
        <w:rPr>
          <w:u w:val="single"/>
          <w:lang w:val="en-US"/>
        </w:rPr>
        <w:tab/>
      </w:r>
      <w:r w:rsidRPr="00965CD6">
        <w:rPr>
          <w:u w:val="single"/>
          <w:lang w:val="en-US"/>
        </w:rPr>
        <w:tab/>
      </w:r>
    </w:p>
    <w:sectPr w:rsidR="00EC578D" w:rsidRPr="00965CD6" w:rsidSect="00EC578D">
      <w:headerReference w:type="even" r:id="rId11"/>
      <w:headerReference w:type="default" r:id="rId12"/>
      <w:footerReference w:type="even" r:id="rId13"/>
      <w:footerReference w:type="defaul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C84" w:rsidRDefault="00153C84"/>
  </w:endnote>
  <w:endnote w:type="continuationSeparator" w:id="0">
    <w:p w:rsidR="00153C84" w:rsidRDefault="00153C84"/>
  </w:endnote>
  <w:endnote w:type="continuationNotice" w:id="1">
    <w:p w:rsidR="00153C84" w:rsidRDefault="0015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84" w:rsidRPr="00EC578D" w:rsidRDefault="00153C84" w:rsidP="00EC578D">
    <w:pPr>
      <w:pStyle w:val="Footer"/>
      <w:tabs>
        <w:tab w:val="right" w:pos="9638"/>
      </w:tabs>
      <w:rPr>
        <w:sz w:val="18"/>
      </w:rPr>
    </w:pPr>
    <w:r w:rsidRPr="00EC578D">
      <w:rPr>
        <w:b/>
        <w:sz w:val="18"/>
      </w:rPr>
      <w:fldChar w:fldCharType="begin"/>
    </w:r>
    <w:r w:rsidRPr="00EC578D">
      <w:rPr>
        <w:b/>
        <w:sz w:val="18"/>
      </w:rPr>
      <w:instrText xml:space="preserve"> PAGE  \* MERGEFORMAT </w:instrText>
    </w:r>
    <w:r w:rsidRPr="00EC578D">
      <w:rPr>
        <w:b/>
        <w:sz w:val="18"/>
      </w:rPr>
      <w:fldChar w:fldCharType="separate"/>
    </w:r>
    <w:r>
      <w:rPr>
        <w:b/>
        <w:noProof/>
        <w:sz w:val="18"/>
      </w:rPr>
      <w:t>20</w:t>
    </w:r>
    <w:r w:rsidRPr="00EC578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84" w:rsidRPr="00EC578D" w:rsidRDefault="00153C84" w:rsidP="00EC578D">
    <w:pPr>
      <w:pStyle w:val="Footer"/>
      <w:tabs>
        <w:tab w:val="right" w:pos="9638"/>
      </w:tabs>
      <w:rPr>
        <w:b/>
        <w:sz w:val="18"/>
      </w:rPr>
    </w:pPr>
    <w:r>
      <w:tab/>
    </w:r>
    <w:r w:rsidRPr="00EC578D">
      <w:rPr>
        <w:b/>
        <w:sz w:val="18"/>
      </w:rPr>
      <w:fldChar w:fldCharType="begin"/>
    </w:r>
    <w:r w:rsidRPr="00EC578D">
      <w:rPr>
        <w:b/>
        <w:sz w:val="18"/>
      </w:rPr>
      <w:instrText xml:space="preserve"> PAGE  \* MERGEFORMAT </w:instrText>
    </w:r>
    <w:r w:rsidRPr="00EC578D">
      <w:rPr>
        <w:b/>
        <w:sz w:val="18"/>
      </w:rPr>
      <w:fldChar w:fldCharType="separate"/>
    </w:r>
    <w:r>
      <w:rPr>
        <w:b/>
        <w:noProof/>
        <w:sz w:val="18"/>
      </w:rPr>
      <w:t>3</w:t>
    </w:r>
    <w:r w:rsidRPr="00EC578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C84" w:rsidRPr="000B175B" w:rsidRDefault="00153C84" w:rsidP="000B175B">
      <w:pPr>
        <w:tabs>
          <w:tab w:val="right" w:pos="2155"/>
        </w:tabs>
        <w:spacing w:after="80"/>
        <w:ind w:left="680"/>
        <w:rPr>
          <w:u w:val="single"/>
        </w:rPr>
      </w:pPr>
      <w:r>
        <w:rPr>
          <w:u w:val="single"/>
        </w:rPr>
        <w:tab/>
      </w:r>
    </w:p>
  </w:footnote>
  <w:footnote w:type="continuationSeparator" w:id="0">
    <w:p w:rsidR="00153C84" w:rsidRPr="00FC68B7" w:rsidRDefault="00153C84" w:rsidP="00FC68B7">
      <w:pPr>
        <w:tabs>
          <w:tab w:val="left" w:pos="2155"/>
        </w:tabs>
        <w:spacing w:after="80"/>
        <w:ind w:left="680"/>
        <w:rPr>
          <w:u w:val="single"/>
        </w:rPr>
      </w:pPr>
      <w:r>
        <w:rPr>
          <w:u w:val="single"/>
        </w:rPr>
        <w:tab/>
      </w:r>
    </w:p>
  </w:footnote>
  <w:footnote w:type="continuationNotice" w:id="1">
    <w:p w:rsidR="00153C84" w:rsidRDefault="00153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84" w:rsidRPr="00EC578D" w:rsidRDefault="00153C84">
    <w:pPr>
      <w:pStyle w:val="Header"/>
    </w:pPr>
    <w:r>
      <w:t>ST/SG/AC.10/C.3/106/Add.1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84" w:rsidRPr="00EC578D" w:rsidRDefault="00153C84" w:rsidP="00EC578D">
    <w:pPr>
      <w:pStyle w:val="Header"/>
      <w:jc w:val="right"/>
    </w:pPr>
    <w:r>
      <w:t>ST/SG/AC.10/C.3/106/Add.1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17"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8"/>
  </w:num>
  <w:num w:numId="15">
    <w:abstractNumId w:val="19"/>
  </w:num>
  <w:num w:numId="16">
    <w:abstractNumId w:val="16"/>
  </w:num>
  <w:num w:numId="17">
    <w:abstractNumId w:val="20"/>
  </w:num>
  <w:num w:numId="18">
    <w:abstractNumId w:val="17"/>
  </w:num>
  <w:num w:numId="19">
    <w:abstractNumId w:val="10"/>
  </w:num>
  <w:num w:numId="20">
    <w:abstractNumId w:val="13"/>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8D"/>
    <w:rsid w:val="00007C69"/>
    <w:rsid w:val="000147F1"/>
    <w:rsid w:val="00017529"/>
    <w:rsid w:val="00021F5B"/>
    <w:rsid w:val="000321F1"/>
    <w:rsid w:val="00050F6B"/>
    <w:rsid w:val="00051154"/>
    <w:rsid w:val="000519DB"/>
    <w:rsid w:val="00065930"/>
    <w:rsid w:val="00066D38"/>
    <w:rsid w:val="0007124E"/>
    <w:rsid w:val="00072C8C"/>
    <w:rsid w:val="00091419"/>
    <w:rsid w:val="000931C0"/>
    <w:rsid w:val="000938A5"/>
    <w:rsid w:val="000A03A2"/>
    <w:rsid w:val="000A1F5F"/>
    <w:rsid w:val="000A5267"/>
    <w:rsid w:val="000B175B"/>
    <w:rsid w:val="000B3A0F"/>
    <w:rsid w:val="000B7ED1"/>
    <w:rsid w:val="000C24D5"/>
    <w:rsid w:val="000C511A"/>
    <w:rsid w:val="000D518C"/>
    <w:rsid w:val="000E0415"/>
    <w:rsid w:val="000E4463"/>
    <w:rsid w:val="000F5B14"/>
    <w:rsid w:val="000F7498"/>
    <w:rsid w:val="001033C7"/>
    <w:rsid w:val="00117787"/>
    <w:rsid w:val="00131D42"/>
    <w:rsid w:val="00136A04"/>
    <w:rsid w:val="00144A79"/>
    <w:rsid w:val="001457BF"/>
    <w:rsid w:val="00146136"/>
    <w:rsid w:val="00153C84"/>
    <w:rsid w:val="001542A7"/>
    <w:rsid w:val="001633FB"/>
    <w:rsid w:val="001706D3"/>
    <w:rsid w:val="00171905"/>
    <w:rsid w:val="00171B9A"/>
    <w:rsid w:val="0017629A"/>
    <w:rsid w:val="001A2148"/>
    <w:rsid w:val="001A2BE0"/>
    <w:rsid w:val="001B36C9"/>
    <w:rsid w:val="001B4B04"/>
    <w:rsid w:val="001C3068"/>
    <w:rsid w:val="001C4F79"/>
    <w:rsid w:val="001C6663"/>
    <w:rsid w:val="001C6FF1"/>
    <w:rsid w:val="001C7895"/>
    <w:rsid w:val="001D26DF"/>
    <w:rsid w:val="001D2FDC"/>
    <w:rsid w:val="001E426F"/>
    <w:rsid w:val="00200F34"/>
    <w:rsid w:val="00203CA8"/>
    <w:rsid w:val="00206990"/>
    <w:rsid w:val="002103AE"/>
    <w:rsid w:val="00211E0B"/>
    <w:rsid w:val="00214BCD"/>
    <w:rsid w:val="002309A7"/>
    <w:rsid w:val="00237785"/>
    <w:rsid w:val="00241466"/>
    <w:rsid w:val="00241AE6"/>
    <w:rsid w:val="00250E34"/>
    <w:rsid w:val="002602AA"/>
    <w:rsid w:val="00265E4B"/>
    <w:rsid w:val="002725CA"/>
    <w:rsid w:val="002768E9"/>
    <w:rsid w:val="00280EB7"/>
    <w:rsid w:val="00286CCA"/>
    <w:rsid w:val="002B1CDA"/>
    <w:rsid w:val="002B542A"/>
    <w:rsid w:val="002C2762"/>
    <w:rsid w:val="002D6222"/>
    <w:rsid w:val="002D779F"/>
    <w:rsid w:val="002F2C93"/>
    <w:rsid w:val="002F7420"/>
    <w:rsid w:val="003107FA"/>
    <w:rsid w:val="00311509"/>
    <w:rsid w:val="003206F0"/>
    <w:rsid w:val="003229D8"/>
    <w:rsid w:val="003306ED"/>
    <w:rsid w:val="00332AAF"/>
    <w:rsid w:val="00341490"/>
    <w:rsid w:val="0035091E"/>
    <w:rsid w:val="00353F1B"/>
    <w:rsid w:val="00365E79"/>
    <w:rsid w:val="00384947"/>
    <w:rsid w:val="00390CE4"/>
    <w:rsid w:val="0039277A"/>
    <w:rsid w:val="003972E0"/>
    <w:rsid w:val="003A656F"/>
    <w:rsid w:val="003A7C84"/>
    <w:rsid w:val="003B54C5"/>
    <w:rsid w:val="003C04D6"/>
    <w:rsid w:val="003C2CC4"/>
    <w:rsid w:val="003C31EB"/>
    <w:rsid w:val="003C36CD"/>
    <w:rsid w:val="003D4B23"/>
    <w:rsid w:val="0040076D"/>
    <w:rsid w:val="004048A1"/>
    <w:rsid w:val="00412FDF"/>
    <w:rsid w:val="00413368"/>
    <w:rsid w:val="00421872"/>
    <w:rsid w:val="004308D3"/>
    <w:rsid w:val="004325CB"/>
    <w:rsid w:val="00437F3F"/>
    <w:rsid w:val="0044304E"/>
    <w:rsid w:val="004453A5"/>
    <w:rsid w:val="00446DE4"/>
    <w:rsid w:val="00454036"/>
    <w:rsid w:val="004827D7"/>
    <w:rsid w:val="0049608E"/>
    <w:rsid w:val="0049616A"/>
    <w:rsid w:val="004A5B9A"/>
    <w:rsid w:val="004B2C9D"/>
    <w:rsid w:val="004B3B94"/>
    <w:rsid w:val="004C12CE"/>
    <w:rsid w:val="004D62BF"/>
    <w:rsid w:val="004D6838"/>
    <w:rsid w:val="004D7748"/>
    <w:rsid w:val="004E0B1A"/>
    <w:rsid w:val="004F64CF"/>
    <w:rsid w:val="00500DA7"/>
    <w:rsid w:val="00517A3F"/>
    <w:rsid w:val="00524E25"/>
    <w:rsid w:val="00527910"/>
    <w:rsid w:val="00530E02"/>
    <w:rsid w:val="0053337B"/>
    <w:rsid w:val="0053515E"/>
    <w:rsid w:val="005420F2"/>
    <w:rsid w:val="005446DE"/>
    <w:rsid w:val="00544A6E"/>
    <w:rsid w:val="00544FC4"/>
    <w:rsid w:val="00546AF0"/>
    <w:rsid w:val="0054752D"/>
    <w:rsid w:val="005573FF"/>
    <w:rsid w:val="005666D5"/>
    <w:rsid w:val="00571DE1"/>
    <w:rsid w:val="0057307B"/>
    <w:rsid w:val="00590144"/>
    <w:rsid w:val="005B3DB3"/>
    <w:rsid w:val="005C50AB"/>
    <w:rsid w:val="005D1A26"/>
    <w:rsid w:val="005E08F8"/>
    <w:rsid w:val="005E41E1"/>
    <w:rsid w:val="006072CA"/>
    <w:rsid w:val="00611FC4"/>
    <w:rsid w:val="006176FB"/>
    <w:rsid w:val="0063419C"/>
    <w:rsid w:val="00640B26"/>
    <w:rsid w:val="006500BA"/>
    <w:rsid w:val="00656F35"/>
    <w:rsid w:val="0068336D"/>
    <w:rsid w:val="006922C2"/>
    <w:rsid w:val="00697006"/>
    <w:rsid w:val="006A7392"/>
    <w:rsid w:val="006A7F00"/>
    <w:rsid w:val="006C050E"/>
    <w:rsid w:val="006C0D34"/>
    <w:rsid w:val="006C2279"/>
    <w:rsid w:val="006C3E57"/>
    <w:rsid w:val="006C7E11"/>
    <w:rsid w:val="006D39C0"/>
    <w:rsid w:val="006E13CD"/>
    <w:rsid w:val="006E564B"/>
    <w:rsid w:val="006E7474"/>
    <w:rsid w:val="006F467B"/>
    <w:rsid w:val="007030B4"/>
    <w:rsid w:val="00707E5F"/>
    <w:rsid w:val="0072118E"/>
    <w:rsid w:val="00721BDC"/>
    <w:rsid w:val="0072366A"/>
    <w:rsid w:val="0072632A"/>
    <w:rsid w:val="00731748"/>
    <w:rsid w:val="00736A0E"/>
    <w:rsid w:val="007405ED"/>
    <w:rsid w:val="00744D84"/>
    <w:rsid w:val="00762BAC"/>
    <w:rsid w:val="007728F1"/>
    <w:rsid w:val="00780B64"/>
    <w:rsid w:val="00782CB1"/>
    <w:rsid w:val="007844A4"/>
    <w:rsid w:val="0078547C"/>
    <w:rsid w:val="00790791"/>
    <w:rsid w:val="007915A0"/>
    <w:rsid w:val="0079411B"/>
    <w:rsid w:val="007B4A41"/>
    <w:rsid w:val="007B5B1C"/>
    <w:rsid w:val="007B5BF0"/>
    <w:rsid w:val="007B6BA5"/>
    <w:rsid w:val="007C1FC6"/>
    <w:rsid w:val="007C3390"/>
    <w:rsid w:val="007C4F4B"/>
    <w:rsid w:val="007C6585"/>
    <w:rsid w:val="007E10D0"/>
    <w:rsid w:val="007E4724"/>
    <w:rsid w:val="007F6611"/>
    <w:rsid w:val="008021C6"/>
    <w:rsid w:val="008175E9"/>
    <w:rsid w:val="008242D7"/>
    <w:rsid w:val="00824753"/>
    <w:rsid w:val="00826875"/>
    <w:rsid w:val="00827B78"/>
    <w:rsid w:val="008418AE"/>
    <w:rsid w:val="0084494A"/>
    <w:rsid w:val="008454AF"/>
    <w:rsid w:val="008554B8"/>
    <w:rsid w:val="00871FD5"/>
    <w:rsid w:val="00880A50"/>
    <w:rsid w:val="0088538B"/>
    <w:rsid w:val="00887013"/>
    <w:rsid w:val="0089475D"/>
    <w:rsid w:val="008979B1"/>
    <w:rsid w:val="008A5196"/>
    <w:rsid w:val="008A6B25"/>
    <w:rsid w:val="008A6C4F"/>
    <w:rsid w:val="008B0531"/>
    <w:rsid w:val="008B12BE"/>
    <w:rsid w:val="008B774F"/>
    <w:rsid w:val="008C1742"/>
    <w:rsid w:val="008C6606"/>
    <w:rsid w:val="008C7ECB"/>
    <w:rsid w:val="008E0E46"/>
    <w:rsid w:val="008F5624"/>
    <w:rsid w:val="0090434D"/>
    <w:rsid w:val="00911985"/>
    <w:rsid w:val="009135B3"/>
    <w:rsid w:val="00916643"/>
    <w:rsid w:val="00934B4E"/>
    <w:rsid w:val="00945A5D"/>
    <w:rsid w:val="00945A72"/>
    <w:rsid w:val="00945D97"/>
    <w:rsid w:val="009472EA"/>
    <w:rsid w:val="00961D84"/>
    <w:rsid w:val="00963CBA"/>
    <w:rsid w:val="00965CD6"/>
    <w:rsid w:val="00970880"/>
    <w:rsid w:val="009752F1"/>
    <w:rsid w:val="009774B3"/>
    <w:rsid w:val="00983E10"/>
    <w:rsid w:val="00985F55"/>
    <w:rsid w:val="009908F9"/>
    <w:rsid w:val="0099124E"/>
    <w:rsid w:val="00991261"/>
    <w:rsid w:val="009A1E17"/>
    <w:rsid w:val="009B4A1C"/>
    <w:rsid w:val="009B54A4"/>
    <w:rsid w:val="009C3671"/>
    <w:rsid w:val="009D5764"/>
    <w:rsid w:val="009E4922"/>
    <w:rsid w:val="009E6745"/>
    <w:rsid w:val="009F01C4"/>
    <w:rsid w:val="009F0F06"/>
    <w:rsid w:val="009F132A"/>
    <w:rsid w:val="00A1427D"/>
    <w:rsid w:val="00A15E9C"/>
    <w:rsid w:val="00A26ECE"/>
    <w:rsid w:val="00A33BE3"/>
    <w:rsid w:val="00A33BEB"/>
    <w:rsid w:val="00A37209"/>
    <w:rsid w:val="00A428CB"/>
    <w:rsid w:val="00A4443A"/>
    <w:rsid w:val="00A4511A"/>
    <w:rsid w:val="00A62578"/>
    <w:rsid w:val="00A62BD6"/>
    <w:rsid w:val="00A63F29"/>
    <w:rsid w:val="00A65619"/>
    <w:rsid w:val="00A71661"/>
    <w:rsid w:val="00A72F22"/>
    <w:rsid w:val="00A748A6"/>
    <w:rsid w:val="00A74BCC"/>
    <w:rsid w:val="00A75EC9"/>
    <w:rsid w:val="00A879A4"/>
    <w:rsid w:val="00A936C0"/>
    <w:rsid w:val="00AB13DA"/>
    <w:rsid w:val="00AB3FD2"/>
    <w:rsid w:val="00AC0E41"/>
    <w:rsid w:val="00AD2C36"/>
    <w:rsid w:val="00AF0244"/>
    <w:rsid w:val="00B1226F"/>
    <w:rsid w:val="00B24BCA"/>
    <w:rsid w:val="00B30179"/>
    <w:rsid w:val="00B3317B"/>
    <w:rsid w:val="00B372D4"/>
    <w:rsid w:val="00B408AC"/>
    <w:rsid w:val="00B449D9"/>
    <w:rsid w:val="00B605F8"/>
    <w:rsid w:val="00B6735D"/>
    <w:rsid w:val="00B705E3"/>
    <w:rsid w:val="00B81E12"/>
    <w:rsid w:val="00B93068"/>
    <w:rsid w:val="00BA3E9A"/>
    <w:rsid w:val="00BA70EE"/>
    <w:rsid w:val="00BB77E2"/>
    <w:rsid w:val="00BC74E9"/>
    <w:rsid w:val="00BE618E"/>
    <w:rsid w:val="00C03CAA"/>
    <w:rsid w:val="00C062C3"/>
    <w:rsid w:val="00C0784F"/>
    <w:rsid w:val="00C21D63"/>
    <w:rsid w:val="00C338CD"/>
    <w:rsid w:val="00C351AD"/>
    <w:rsid w:val="00C42815"/>
    <w:rsid w:val="00C44277"/>
    <w:rsid w:val="00C463DD"/>
    <w:rsid w:val="00C51426"/>
    <w:rsid w:val="00C62F76"/>
    <w:rsid w:val="00C6594C"/>
    <w:rsid w:val="00C70889"/>
    <w:rsid w:val="00C745C3"/>
    <w:rsid w:val="00C80BE1"/>
    <w:rsid w:val="00C873AA"/>
    <w:rsid w:val="00CC4F54"/>
    <w:rsid w:val="00CD3217"/>
    <w:rsid w:val="00CD3225"/>
    <w:rsid w:val="00CE1791"/>
    <w:rsid w:val="00CE37B8"/>
    <w:rsid w:val="00CE3F88"/>
    <w:rsid w:val="00CE4A8F"/>
    <w:rsid w:val="00CE6779"/>
    <w:rsid w:val="00CE7480"/>
    <w:rsid w:val="00CF419C"/>
    <w:rsid w:val="00CF61E5"/>
    <w:rsid w:val="00CF652B"/>
    <w:rsid w:val="00CF7123"/>
    <w:rsid w:val="00D1103A"/>
    <w:rsid w:val="00D2031B"/>
    <w:rsid w:val="00D25FE2"/>
    <w:rsid w:val="00D40954"/>
    <w:rsid w:val="00D43252"/>
    <w:rsid w:val="00D46F6D"/>
    <w:rsid w:val="00D57666"/>
    <w:rsid w:val="00D57AF6"/>
    <w:rsid w:val="00D65F3E"/>
    <w:rsid w:val="00D753D8"/>
    <w:rsid w:val="00D75949"/>
    <w:rsid w:val="00D77E07"/>
    <w:rsid w:val="00D923BF"/>
    <w:rsid w:val="00D96CC5"/>
    <w:rsid w:val="00D978C6"/>
    <w:rsid w:val="00DA0E2E"/>
    <w:rsid w:val="00DA194A"/>
    <w:rsid w:val="00DA59F0"/>
    <w:rsid w:val="00DA67AD"/>
    <w:rsid w:val="00DB67CD"/>
    <w:rsid w:val="00DB6B49"/>
    <w:rsid w:val="00DE2307"/>
    <w:rsid w:val="00DE34A5"/>
    <w:rsid w:val="00DF2AFE"/>
    <w:rsid w:val="00DF31CC"/>
    <w:rsid w:val="00DF42A3"/>
    <w:rsid w:val="00DF5DFE"/>
    <w:rsid w:val="00DF746C"/>
    <w:rsid w:val="00E04DFB"/>
    <w:rsid w:val="00E071FA"/>
    <w:rsid w:val="00E130AB"/>
    <w:rsid w:val="00E42E4B"/>
    <w:rsid w:val="00E465FF"/>
    <w:rsid w:val="00E474A3"/>
    <w:rsid w:val="00E50B5A"/>
    <w:rsid w:val="00E5644E"/>
    <w:rsid w:val="00E60D9A"/>
    <w:rsid w:val="00E61AC5"/>
    <w:rsid w:val="00E7260F"/>
    <w:rsid w:val="00E816ED"/>
    <w:rsid w:val="00E82395"/>
    <w:rsid w:val="00E847D0"/>
    <w:rsid w:val="00E8535A"/>
    <w:rsid w:val="00E900B5"/>
    <w:rsid w:val="00E96630"/>
    <w:rsid w:val="00EA772F"/>
    <w:rsid w:val="00EB4961"/>
    <w:rsid w:val="00EB6832"/>
    <w:rsid w:val="00EC0FD3"/>
    <w:rsid w:val="00EC578D"/>
    <w:rsid w:val="00ED7A2A"/>
    <w:rsid w:val="00EF1D7F"/>
    <w:rsid w:val="00EF1DD1"/>
    <w:rsid w:val="00F007C5"/>
    <w:rsid w:val="00F017AB"/>
    <w:rsid w:val="00F01D39"/>
    <w:rsid w:val="00F13750"/>
    <w:rsid w:val="00F160E7"/>
    <w:rsid w:val="00F404A2"/>
    <w:rsid w:val="00F40E75"/>
    <w:rsid w:val="00F4225F"/>
    <w:rsid w:val="00F43243"/>
    <w:rsid w:val="00F442FC"/>
    <w:rsid w:val="00F54674"/>
    <w:rsid w:val="00F5565E"/>
    <w:rsid w:val="00F57392"/>
    <w:rsid w:val="00F66015"/>
    <w:rsid w:val="00F7477C"/>
    <w:rsid w:val="00F76320"/>
    <w:rsid w:val="00F86F3A"/>
    <w:rsid w:val="00F9579C"/>
    <w:rsid w:val="00FA18CA"/>
    <w:rsid w:val="00FA31ED"/>
    <w:rsid w:val="00FC5F9B"/>
    <w:rsid w:val="00FC68B7"/>
    <w:rsid w:val="00FD3C51"/>
    <w:rsid w:val="00FD6B2B"/>
    <w:rsid w:val="00FE4DAE"/>
    <w:rsid w:val="00FF03BB"/>
    <w:rsid w:val="00FF3B71"/>
    <w:rsid w:val="00FF5D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5FA1F24"/>
  <w15:docId w15:val="{6F2B8FB5-8112-41A4-9A9A-2FD64304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uiPriority w:val="99"/>
    <w:rsid w:val="00EC578D"/>
    <w:rPr>
      <w:sz w:val="18"/>
      <w:lang w:eastAsia="en-US"/>
    </w:rPr>
  </w:style>
  <w:style w:type="character" w:customStyle="1" w:styleId="SingleTxtGChar">
    <w:name w:val="_ Single Txt_G Char"/>
    <w:link w:val="SingleTxtG"/>
    <w:qFormat/>
    <w:rsid w:val="007030B4"/>
    <w:rPr>
      <w:lang w:eastAsia="en-US"/>
    </w:rPr>
  </w:style>
  <w:style w:type="paragraph" w:styleId="ListParagraph">
    <w:name w:val="List Paragraph"/>
    <w:basedOn w:val="Normal"/>
    <w:uiPriority w:val="34"/>
    <w:qFormat/>
    <w:rsid w:val="00FA31ED"/>
    <w:pPr>
      <w:ind w:left="720"/>
      <w:contextualSpacing/>
    </w:pPr>
  </w:style>
  <w:style w:type="character" w:customStyle="1" w:styleId="HChGChar">
    <w:name w:val="_ H _Ch_G Char"/>
    <w:link w:val="HChG"/>
    <w:rsid w:val="001542A7"/>
    <w:rPr>
      <w:b/>
      <w:sz w:val="28"/>
      <w:lang w:eastAsia="en-US"/>
    </w:rPr>
  </w:style>
  <w:style w:type="character" w:customStyle="1" w:styleId="H1GChar">
    <w:name w:val="_ H_1_G Char"/>
    <w:link w:val="H1G"/>
    <w:locked/>
    <w:rsid w:val="001542A7"/>
    <w:rPr>
      <w:b/>
      <w:sz w:val="24"/>
      <w:lang w:eastAsia="en-US"/>
    </w:rPr>
  </w:style>
  <w:style w:type="character" w:customStyle="1" w:styleId="H23GChar">
    <w:name w:val="_ H_2/3_G Char"/>
    <w:link w:val="H23G"/>
    <w:locked/>
    <w:rsid w:val="00B372D4"/>
    <w:rPr>
      <w:b/>
      <w:lang w:eastAsia="en-US"/>
    </w:rPr>
  </w:style>
  <w:style w:type="character" w:customStyle="1" w:styleId="SingleTxtGZchnZchn">
    <w:name w:val="_ Single Txt_G Zchn Zchn"/>
    <w:locked/>
    <w:rsid w:val="00A33BE3"/>
    <w:rPr>
      <w:lang w:eastAsia="en-US"/>
    </w:rPr>
  </w:style>
  <w:style w:type="paragraph" w:styleId="NoSpacing">
    <w:name w:val="No Spacing"/>
    <w:uiPriority w:val="1"/>
    <w:qFormat/>
    <w:rsid w:val="00203CA8"/>
    <w:rPr>
      <w:rFonts w:eastAsia="Calibri"/>
      <w:color w:val="000000"/>
      <w:sz w:val="24"/>
      <w:szCs w:val="24"/>
      <w:lang w:val="en-US" w:eastAsia="en-US"/>
    </w:rPr>
  </w:style>
  <w:style w:type="paragraph" w:customStyle="1" w:styleId="TableParagraph">
    <w:name w:val="Table Paragraph"/>
    <w:basedOn w:val="Normal"/>
    <w:uiPriority w:val="1"/>
    <w:qFormat/>
    <w:rsid w:val="007E10D0"/>
    <w:pPr>
      <w:widowControl w:val="0"/>
      <w:suppressAutoHyphens w:val="0"/>
      <w:autoSpaceDE w:val="0"/>
      <w:autoSpaceDN w:val="0"/>
      <w:spacing w:line="240" w:lineRule="auto"/>
      <w:jc w:val="center"/>
    </w:pPr>
    <w:rPr>
      <w:sz w:val="22"/>
      <w:szCs w:val="22"/>
      <w:lang w:val="en-US"/>
    </w:rPr>
  </w:style>
  <w:style w:type="paragraph" w:customStyle="1" w:styleId="p1">
    <w:name w:val="p1"/>
    <w:basedOn w:val="Normal"/>
    <w:rsid w:val="00F76320"/>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F7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0084">
      <w:bodyDiv w:val="1"/>
      <w:marLeft w:val="0"/>
      <w:marRight w:val="0"/>
      <w:marTop w:val="0"/>
      <w:marBottom w:val="0"/>
      <w:divBdr>
        <w:top w:val="none" w:sz="0" w:space="0" w:color="auto"/>
        <w:left w:val="none" w:sz="0" w:space="0" w:color="auto"/>
        <w:bottom w:val="none" w:sz="0" w:space="0" w:color="auto"/>
        <w:right w:val="none" w:sz="0" w:space="0" w:color="auto"/>
      </w:divBdr>
    </w:div>
    <w:div w:id="312371418">
      <w:bodyDiv w:val="1"/>
      <w:marLeft w:val="0"/>
      <w:marRight w:val="0"/>
      <w:marTop w:val="0"/>
      <w:marBottom w:val="0"/>
      <w:divBdr>
        <w:top w:val="none" w:sz="0" w:space="0" w:color="auto"/>
        <w:left w:val="none" w:sz="0" w:space="0" w:color="auto"/>
        <w:bottom w:val="none" w:sz="0" w:space="0" w:color="auto"/>
        <w:right w:val="none" w:sz="0" w:space="0" w:color="auto"/>
      </w:divBdr>
    </w:div>
    <w:div w:id="1028726439">
      <w:bodyDiv w:val="1"/>
      <w:marLeft w:val="0"/>
      <w:marRight w:val="0"/>
      <w:marTop w:val="0"/>
      <w:marBottom w:val="0"/>
      <w:divBdr>
        <w:top w:val="none" w:sz="0" w:space="0" w:color="auto"/>
        <w:left w:val="none" w:sz="0" w:space="0" w:color="auto"/>
        <w:bottom w:val="none" w:sz="0" w:space="0" w:color="auto"/>
        <w:right w:val="none" w:sz="0" w:space="0" w:color="auto"/>
      </w:divBdr>
    </w:div>
    <w:div w:id="18399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B8F6-ABBF-4B30-867C-014CCF57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1076</TotalTime>
  <Pages>26</Pages>
  <Words>7351</Words>
  <Characters>41902</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TDG annotated</dc:creator>
  <cp:lastModifiedBy>Laurence Berthet</cp:lastModifiedBy>
  <cp:revision>92</cp:revision>
  <cp:lastPrinted>2018-07-27T15:20:00Z</cp:lastPrinted>
  <dcterms:created xsi:type="dcterms:W3CDTF">2018-07-11T13:24:00Z</dcterms:created>
  <dcterms:modified xsi:type="dcterms:W3CDTF">2018-07-27T15:21:00Z</dcterms:modified>
</cp:coreProperties>
</file>