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0490" w:type="dxa"/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4819"/>
      </w:tblGrid>
      <w:tr w:rsidR="00845275" w:rsidRPr="004462F8" w:rsidTr="00845275">
        <w:tblPrEx>
          <w:tblCellMar>
            <w:top w:w="0" w:type="dxa"/>
            <w:bottom w:w="0" w:type="dxa"/>
          </w:tblCellMar>
        </w:tblPrEx>
        <w:tc>
          <w:tcPr>
            <w:tcW w:w="4679" w:type="dxa"/>
            <w:vAlign w:val="center"/>
          </w:tcPr>
          <w:p w:rsidR="00845275" w:rsidRPr="004462F8" w:rsidRDefault="00845275" w:rsidP="00845275">
            <w:pPr>
              <w:keepNext/>
              <w:widowControl w:val="0"/>
              <w:suppressAutoHyphens w:val="0"/>
              <w:spacing w:line="840" w:lineRule="exact"/>
              <w:jc w:val="righ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</w:pPr>
            <w:r w:rsidRPr="004462F8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val="fr-CH" w:eastAsia="en-US"/>
              </w:rPr>
              <w:t>Office des Nations Unies à Genève</w:t>
            </w:r>
          </w:p>
        </w:tc>
        <w:tc>
          <w:tcPr>
            <w:tcW w:w="992" w:type="dxa"/>
            <w:vAlign w:val="center"/>
          </w:tcPr>
          <w:p w:rsidR="00845275" w:rsidRPr="004462F8" w:rsidRDefault="00845275" w:rsidP="00845275">
            <w:pPr>
              <w:widowControl w:val="0"/>
              <w:suppressAutoHyphens w:val="0"/>
              <w:spacing w:line="760" w:lineRule="exact"/>
              <w:jc w:val="center"/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eastAsia="en-US"/>
              </w:rPr>
            </w:pPr>
            <w:r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 w:val="44"/>
                <w:lang w:val="en-US" w:eastAsia="en-US"/>
              </w:rPr>
              <w:drawing>
                <wp:inline distT="0" distB="0" distL="0" distR="0" wp14:anchorId="57C60D04" wp14:editId="63EE2FE3">
                  <wp:extent cx="466725" cy="400050"/>
                  <wp:effectExtent l="0" t="0" r="9525" b="0"/>
                  <wp:docPr id="2" name="Picture 2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845275" w:rsidRPr="004462F8" w:rsidRDefault="00845275" w:rsidP="00845275">
            <w:pPr>
              <w:keepNext/>
              <w:widowControl w:val="0"/>
              <w:suppressAutoHyphens w:val="0"/>
              <w:spacing w:line="840" w:lineRule="exact"/>
              <w:outlineLvl w:val="0"/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</w:pPr>
            <w:r w:rsidRPr="004462F8">
              <w:rPr>
                <w:rFonts w:eastAsia="Times New Roman"/>
                <w:noProof/>
                <w:spacing w:val="-10"/>
                <w:w w:val="95"/>
                <w:kern w:val="44"/>
                <w:sz w:val="34"/>
                <w:lang w:eastAsia="en-US"/>
              </w:rPr>
              <w:t xml:space="preserve">United Nations Office at </w:t>
            </w:r>
            <w:smartTag w:uri="urn:schemas-microsoft-com:office:smarttags" w:element="place">
              <w:smartTag w:uri="urn:schemas-microsoft-com:office:smarttags" w:element="City">
                <w:r w:rsidRPr="004462F8">
                  <w:rPr>
                    <w:rFonts w:eastAsia="Times New Roman"/>
                    <w:noProof/>
                    <w:spacing w:val="-10"/>
                    <w:w w:val="95"/>
                    <w:kern w:val="44"/>
                    <w:sz w:val="34"/>
                    <w:lang w:eastAsia="en-US"/>
                  </w:rPr>
                  <w:t>Geneva</w:t>
                </w:r>
              </w:smartTag>
            </w:smartTag>
          </w:p>
        </w:tc>
      </w:tr>
    </w:tbl>
    <w:p w:rsidR="004462F8" w:rsidRPr="004462F8" w:rsidRDefault="004462F8" w:rsidP="00845275">
      <w:pPr>
        <w:tabs>
          <w:tab w:val="left" w:pos="709"/>
        </w:tabs>
        <w:suppressAutoHyphens w:val="0"/>
        <w:spacing w:line="240" w:lineRule="auto"/>
        <w:ind w:left="-284" w:right="680"/>
        <w:rPr>
          <w:rFonts w:eastAsia="Times New Roman"/>
          <w:spacing w:val="-2"/>
          <w:w w:val="99"/>
          <w:kern w:val="22"/>
          <w:sz w:val="24"/>
          <w:lang w:eastAsia="en-US"/>
        </w:rPr>
      </w:pPr>
    </w:p>
    <w:p w:rsidR="004462F8" w:rsidRDefault="004462F8" w:rsidP="004462F8">
      <w:pPr>
        <w:tabs>
          <w:tab w:val="left" w:pos="709"/>
        </w:tabs>
        <w:suppressAutoHyphens w:val="0"/>
        <w:spacing w:line="240" w:lineRule="auto"/>
        <w:ind w:right="680"/>
        <w:jc w:val="center"/>
        <w:rPr>
          <w:rFonts w:eastAsia="Times New Roman"/>
          <w:b/>
          <w:bCs/>
          <w:spacing w:val="-2"/>
          <w:w w:val="99"/>
          <w:kern w:val="22"/>
          <w:sz w:val="24"/>
          <w:szCs w:val="24"/>
          <w:u w:val="single"/>
          <w:lang w:val="en-US" w:eastAsia="en-US"/>
        </w:rPr>
      </w:pPr>
      <w:r w:rsidRPr="004462F8">
        <w:rPr>
          <w:rFonts w:eastAsia="Times New Roman"/>
          <w:b/>
          <w:bCs/>
          <w:spacing w:val="-2"/>
          <w:w w:val="99"/>
          <w:kern w:val="22"/>
          <w:sz w:val="24"/>
          <w:szCs w:val="24"/>
          <w:u w:val="single"/>
          <w:lang w:val="en-US" w:eastAsia="en-US"/>
        </w:rPr>
        <w:t>TERMS OF REFERENCE</w:t>
      </w:r>
    </w:p>
    <w:p w:rsidR="00845275" w:rsidRPr="004462F8" w:rsidRDefault="00845275" w:rsidP="004462F8">
      <w:pPr>
        <w:tabs>
          <w:tab w:val="left" w:pos="709"/>
        </w:tabs>
        <w:suppressAutoHyphens w:val="0"/>
        <w:spacing w:line="240" w:lineRule="auto"/>
        <w:ind w:right="680"/>
        <w:jc w:val="center"/>
        <w:rPr>
          <w:rFonts w:eastAsia="Times New Roman"/>
          <w:b/>
          <w:bCs/>
          <w:spacing w:val="-2"/>
          <w:w w:val="99"/>
          <w:kern w:val="22"/>
          <w:sz w:val="24"/>
          <w:szCs w:val="24"/>
          <w:lang w:val="en-US" w:eastAsia="en-US"/>
        </w:rPr>
      </w:pPr>
      <w:bookmarkStart w:id="0" w:name="_GoBack"/>
      <w:bookmarkEnd w:id="0"/>
    </w:p>
    <w:p w:rsidR="004462F8" w:rsidRPr="004462F8" w:rsidRDefault="004462F8" w:rsidP="004462F8">
      <w:pPr>
        <w:numPr>
          <w:ilvl w:val="0"/>
          <w:numId w:val="19"/>
        </w:num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Objectives and Targets </w:t>
      </w:r>
    </w:p>
    <w:p w:rsidR="004462F8" w:rsidRPr="004462F8" w:rsidRDefault="004462F8" w:rsidP="004462F8">
      <w:pPr>
        <w:suppressAutoHyphens w:val="0"/>
        <w:spacing w:line="240" w:lineRule="auto"/>
        <w:ind w:left="1134"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Within the context of UNECE’s Project “Removing Regulatory and Procedural Barriers to Trade in Kyrgyzstan”, the consultant will prepare a report on the implications of the regional agreements for the country’s trade and regional integration efforts with potential partners. The report will be used as a background document for supporting the secretariat’s analysis of Kyrgyzstan’s trade sector, and will be integrated into its study of regulatory and procedural barriers to trade in Kyrgyzstan. </w:t>
      </w: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The findings will also be presented at a high-level forum that will be held in May 2015 as part of the annual session of UNECE </w:t>
      </w:r>
      <w:proofErr w:type="spellStart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Sectoral</w:t>
      </w:r>
      <w:proofErr w:type="spellEnd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committee responsible for trade and economic integration issues, before eventual publication at the end of 2015.</w:t>
      </w: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The consultant will be required to conduct face-to-face interviews with relevant government agencies in a potential trade partner, to be identified in consultation with the Government</w:t>
      </w:r>
      <w:proofErr w:type="gramStart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,  using</w:t>
      </w:r>
      <w:proofErr w:type="gramEnd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a set of questionnaires developed by the UNECE, prepare a report summarizing the results of the interviews and propose concrete measures for improving trade facilitation conditions in the country. </w:t>
      </w: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462F8" w:rsidRPr="004462F8" w:rsidRDefault="004462F8" w:rsidP="004462F8">
      <w:pPr>
        <w:suppressAutoHyphens w:val="0"/>
        <w:spacing w:line="240" w:lineRule="auto"/>
        <w:ind w:left="72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Working under the supervision of the Chief of Section, Trade Policy and Governmental Cooperation of the UNECE Trade and Sustainable Land Management Division and designated staff, the consultant will: </w:t>
      </w:r>
    </w:p>
    <w:p w:rsidR="004462F8" w:rsidRPr="004462F8" w:rsidRDefault="004462F8" w:rsidP="004462F8">
      <w:pPr>
        <w:numPr>
          <w:ilvl w:val="1"/>
          <w:numId w:val="20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Conduct interviews with relevant government agencies. </w:t>
      </w:r>
    </w:p>
    <w:p w:rsidR="004462F8" w:rsidRPr="004462F8" w:rsidRDefault="004462F8" w:rsidP="004462F8">
      <w:pPr>
        <w:numPr>
          <w:ilvl w:val="1"/>
          <w:numId w:val="20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Prepare written transcripts of the interviews</w:t>
      </w:r>
    </w:p>
    <w:p w:rsidR="004462F8" w:rsidRPr="004462F8" w:rsidRDefault="004462F8" w:rsidP="004462F8">
      <w:pPr>
        <w:numPr>
          <w:ilvl w:val="1"/>
          <w:numId w:val="20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Prepare a draft report in English summarizing the findings of the interviews using the outline provided by the UNECE.</w:t>
      </w:r>
    </w:p>
    <w:p w:rsidR="004462F8" w:rsidRPr="004462F8" w:rsidRDefault="004462F8" w:rsidP="004462F8">
      <w:pPr>
        <w:numPr>
          <w:ilvl w:val="1"/>
          <w:numId w:val="20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The consultant will send the draft report to UNECE for comments by email, following the </w:t>
      </w:r>
      <w:proofErr w:type="gramStart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schedule  outlined</w:t>
      </w:r>
      <w:proofErr w:type="gramEnd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in the table below. </w:t>
      </w:r>
    </w:p>
    <w:p w:rsidR="004462F8" w:rsidRPr="004462F8" w:rsidRDefault="004462F8" w:rsidP="004462F8">
      <w:pPr>
        <w:numPr>
          <w:ilvl w:val="1"/>
          <w:numId w:val="20"/>
        </w:numPr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The consultant will incorporate UNECE feedback and revise the report where necessary. Corrections should be introduced in the report in track change mode.</w:t>
      </w:r>
    </w:p>
    <w:p w:rsidR="004462F8" w:rsidRPr="004462F8" w:rsidRDefault="004462F8" w:rsidP="004462F8">
      <w:pPr>
        <w:suppressAutoHyphens w:val="0"/>
        <w:spacing w:line="240" w:lineRule="auto"/>
        <w:ind w:left="1440"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</w:p>
    <w:p w:rsidR="004462F8" w:rsidRPr="004462F8" w:rsidRDefault="004462F8" w:rsidP="004462F8">
      <w:pPr>
        <w:numPr>
          <w:ilvl w:val="0"/>
          <w:numId w:val="19"/>
        </w:numPr>
        <w:suppressAutoHyphens w:val="0"/>
        <w:spacing w:line="240" w:lineRule="auto"/>
        <w:ind w:right="680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Tangible and measurable outputs of the work assignment</w:t>
      </w:r>
    </w:p>
    <w:p w:rsidR="004462F8" w:rsidRPr="004462F8" w:rsidRDefault="004462F8" w:rsidP="004462F8">
      <w:pPr>
        <w:numPr>
          <w:ilvl w:val="0"/>
          <w:numId w:val="21"/>
        </w:numPr>
        <w:tabs>
          <w:tab w:val="left" w:pos="709"/>
        </w:tabs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bookmarkStart w:id="1" w:name="OLE_LINK1"/>
      <w:bookmarkStart w:id="2" w:name="OLE_LINK2"/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A draft report titled the implications of the regional agreements for Kyrgyzstan’s   trade and regional integration efforts.</w:t>
      </w:r>
    </w:p>
    <w:p w:rsidR="004462F8" w:rsidRPr="004462F8" w:rsidRDefault="004462F8" w:rsidP="004462F8">
      <w:pPr>
        <w:numPr>
          <w:ilvl w:val="0"/>
          <w:numId w:val="21"/>
        </w:numPr>
        <w:tabs>
          <w:tab w:val="left" w:pos="709"/>
        </w:tabs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A list of all interviewed public sector representatives, with their contact details</w:t>
      </w:r>
    </w:p>
    <w:p w:rsidR="004462F8" w:rsidRPr="004462F8" w:rsidRDefault="004462F8" w:rsidP="004462F8">
      <w:pPr>
        <w:numPr>
          <w:ilvl w:val="0"/>
          <w:numId w:val="21"/>
        </w:numPr>
        <w:tabs>
          <w:tab w:val="left" w:pos="709"/>
        </w:tabs>
        <w:suppressAutoHyphens w:val="0"/>
        <w:spacing w:line="240" w:lineRule="auto"/>
        <w:ind w:right="680"/>
        <w:jc w:val="both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Written transcripts of the interviews in English (even though their contribution can be confidential and their names will not be published).</w:t>
      </w:r>
    </w:p>
    <w:bookmarkEnd w:id="1"/>
    <w:bookmarkEnd w:id="2"/>
    <w:p w:rsidR="00845275" w:rsidRDefault="004462F8" w:rsidP="004462F8">
      <w:pPr>
        <w:suppressAutoHyphens w:val="0"/>
        <w:spacing w:line="360" w:lineRule="auto"/>
        <w:ind w:left="148" w:right="680" w:firstLine="561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</w:r>
    </w:p>
    <w:p w:rsidR="004462F8" w:rsidRPr="004462F8" w:rsidRDefault="004462F8" w:rsidP="004462F8">
      <w:pPr>
        <w:suppressAutoHyphens w:val="0"/>
        <w:spacing w:line="360" w:lineRule="auto"/>
        <w:ind w:left="148" w:right="680" w:firstLine="561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>Report required:</w:t>
      </w:r>
    </w:p>
    <w:p w:rsidR="004462F8" w:rsidRPr="004462F8" w:rsidRDefault="004462F8" w:rsidP="00845275">
      <w:pPr>
        <w:suppressAutoHyphens w:val="0"/>
        <w:spacing w:line="360" w:lineRule="auto"/>
        <w:ind w:left="1701" w:right="680" w:hanging="579"/>
        <w:rPr>
          <w:rFonts w:eastAsia="Times New Roman"/>
          <w:spacing w:val="-2"/>
          <w:w w:val="99"/>
          <w:kern w:val="22"/>
          <w:sz w:val="24"/>
          <w:lang w:val="en-US" w:eastAsia="en-US"/>
        </w:rPr>
      </w:pP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instrText xml:space="preserve"> FORMCHECKBOX </w:instrText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fldChar w:fldCharType="end"/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 xml:space="preserve"> YES</w:t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>No. of pages: 30-40</w:t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 xml:space="preserve"> Language: English</w:t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</w:r>
      <w:r w:rsidRPr="004462F8">
        <w:rPr>
          <w:rFonts w:eastAsia="Times New Roman"/>
          <w:spacing w:val="-2"/>
          <w:w w:val="99"/>
          <w:kern w:val="22"/>
          <w:sz w:val="24"/>
          <w:lang w:val="en-US" w:eastAsia="en-US"/>
        </w:rPr>
        <w:tab/>
        <w:t>Format: electronic</w:t>
      </w:r>
    </w:p>
    <w:p w:rsidR="001C6663" w:rsidRPr="004462F8" w:rsidRDefault="001C6663" w:rsidP="0070702F">
      <w:pPr>
        <w:rPr>
          <w:lang w:val="en-US"/>
        </w:rPr>
      </w:pPr>
    </w:p>
    <w:sectPr w:rsidR="001C6663" w:rsidRPr="004462F8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F8" w:rsidRDefault="004462F8"/>
  </w:endnote>
  <w:endnote w:type="continuationSeparator" w:id="0">
    <w:p w:rsidR="004462F8" w:rsidRDefault="004462F8"/>
  </w:endnote>
  <w:endnote w:type="continuationNotice" w:id="1">
    <w:p w:rsidR="004462F8" w:rsidRDefault="0044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F8" w:rsidRPr="000B175B" w:rsidRDefault="004462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62F8" w:rsidRPr="00FC68B7" w:rsidRDefault="004462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62F8" w:rsidRDefault="00446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E3C49"/>
    <w:multiLevelType w:val="hybridMultilevel"/>
    <w:tmpl w:val="64D4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A4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E05C4B"/>
    <w:multiLevelType w:val="hybridMultilevel"/>
    <w:tmpl w:val="EF841AE2"/>
    <w:lvl w:ilvl="0" w:tplc="B58085A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F5862"/>
    <w:multiLevelType w:val="hybridMultilevel"/>
    <w:tmpl w:val="FA2AB18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8"/>
    <w:rsid w:val="00002A7D"/>
    <w:rsid w:val="000038A8"/>
    <w:rsid w:val="00004CB4"/>
    <w:rsid w:val="00006790"/>
    <w:rsid w:val="00027624"/>
    <w:rsid w:val="00050F6B"/>
    <w:rsid w:val="00060675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B175B"/>
    <w:rsid w:val="000B3A0F"/>
    <w:rsid w:val="000B41FA"/>
    <w:rsid w:val="000E0415"/>
    <w:rsid w:val="000E7EB0"/>
    <w:rsid w:val="000F7715"/>
    <w:rsid w:val="00103E99"/>
    <w:rsid w:val="00156B99"/>
    <w:rsid w:val="00166124"/>
    <w:rsid w:val="00167F20"/>
    <w:rsid w:val="00184DDA"/>
    <w:rsid w:val="001900CD"/>
    <w:rsid w:val="0019444B"/>
    <w:rsid w:val="001A0452"/>
    <w:rsid w:val="001A3481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2043F0"/>
    <w:rsid w:val="002060B9"/>
    <w:rsid w:val="00211E0B"/>
    <w:rsid w:val="00232575"/>
    <w:rsid w:val="00247258"/>
    <w:rsid w:val="00257CAC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A46BB"/>
    <w:rsid w:val="003A4EC7"/>
    <w:rsid w:val="003A7295"/>
    <w:rsid w:val="003B1F60"/>
    <w:rsid w:val="003C2CC4"/>
    <w:rsid w:val="003C7026"/>
    <w:rsid w:val="003D4B23"/>
    <w:rsid w:val="003D58A1"/>
    <w:rsid w:val="003E278A"/>
    <w:rsid w:val="004032CF"/>
    <w:rsid w:val="00413520"/>
    <w:rsid w:val="00414F7A"/>
    <w:rsid w:val="00431D4D"/>
    <w:rsid w:val="004325CB"/>
    <w:rsid w:val="00440A07"/>
    <w:rsid w:val="004462F8"/>
    <w:rsid w:val="00462880"/>
    <w:rsid w:val="0047298C"/>
    <w:rsid w:val="00476F24"/>
    <w:rsid w:val="004909E7"/>
    <w:rsid w:val="004B45B0"/>
    <w:rsid w:val="004C55B0"/>
    <w:rsid w:val="004E4179"/>
    <w:rsid w:val="004F6BA0"/>
    <w:rsid w:val="00503BEA"/>
    <w:rsid w:val="00533616"/>
    <w:rsid w:val="00535ABA"/>
    <w:rsid w:val="005371A0"/>
    <w:rsid w:val="0053768B"/>
    <w:rsid w:val="005420F2"/>
    <w:rsid w:val="0054285C"/>
    <w:rsid w:val="00547A88"/>
    <w:rsid w:val="00564BF4"/>
    <w:rsid w:val="00584173"/>
    <w:rsid w:val="00595520"/>
    <w:rsid w:val="005A44B9"/>
    <w:rsid w:val="005B1BA0"/>
    <w:rsid w:val="005B3DB3"/>
    <w:rsid w:val="005D15CA"/>
    <w:rsid w:val="005D390C"/>
    <w:rsid w:val="005F3066"/>
    <w:rsid w:val="005F3E61"/>
    <w:rsid w:val="005F51F6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67D6B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0702F"/>
    <w:rsid w:val="0071480B"/>
    <w:rsid w:val="0072632A"/>
    <w:rsid w:val="007358E8"/>
    <w:rsid w:val="00736ECE"/>
    <w:rsid w:val="0074533B"/>
    <w:rsid w:val="0076432E"/>
    <w:rsid w:val="007643BC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42D7"/>
    <w:rsid w:val="00825578"/>
    <w:rsid w:val="0082577B"/>
    <w:rsid w:val="00845275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47162"/>
    <w:rsid w:val="00953163"/>
    <w:rsid w:val="009601FF"/>
    <w:rsid w:val="00960D5D"/>
    <w:rsid w:val="009610D0"/>
    <w:rsid w:val="0096375C"/>
    <w:rsid w:val="009662E6"/>
    <w:rsid w:val="0097095E"/>
    <w:rsid w:val="00980F57"/>
    <w:rsid w:val="0098592B"/>
    <w:rsid w:val="00985FC4"/>
    <w:rsid w:val="00990766"/>
    <w:rsid w:val="00991261"/>
    <w:rsid w:val="00992C68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23E9E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C0F2C"/>
    <w:rsid w:val="00AC502A"/>
    <w:rsid w:val="00AF3A98"/>
    <w:rsid w:val="00AF58C1"/>
    <w:rsid w:val="00B03E68"/>
    <w:rsid w:val="00B06643"/>
    <w:rsid w:val="00B15055"/>
    <w:rsid w:val="00B17FC5"/>
    <w:rsid w:val="00B30179"/>
    <w:rsid w:val="00B37B15"/>
    <w:rsid w:val="00B4482F"/>
    <w:rsid w:val="00B45C02"/>
    <w:rsid w:val="00B72A1E"/>
    <w:rsid w:val="00B81E12"/>
    <w:rsid w:val="00BA339B"/>
    <w:rsid w:val="00BC1E7E"/>
    <w:rsid w:val="00BC2E45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45C3"/>
    <w:rsid w:val="00C805A7"/>
    <w:rsid w:val="00CA2221"/>
    <w:rsid w:val="00CA24A4"/>
    <w:rsid w:val="00CA3137"/>
    <w:rsid w:val="00CB348D"/>
    <w:rsid w:val="00CB34BE"/>
    <w:rsid w:val="00CB763D"/>
    <w:rsid w:val="00CD46F5"/>
    <w:rsid w:val="00CD6C29"/>
    <w:rsid w:val="00CE4A8F"/>
    <w:rsid w:val="00CE52ED"/>
    <w:rsid w:val="00CF071D"/>
    <w:rsid w:val="00CF116C"/>
    <w:rsid w:val="00D15B04"/>
    <w:rsid w:val="00D2031B"/>
    <w:rsid w:val="00D23EAC"/>
    <w:rsid w:val="00D25EC1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31DD"/>
    <w:rsid w:val="00D978C6"/>
    <w:rsid w:val="00DA0956"/>
    <w:rsid w:val="00DA357F"/>
    <w:rsid w:val="00DA3E12"/>
    <w:rsid w:val="00DB66FA"/>
    <w:rsid w:val="00DC18AD"/>
    <w:rsid w:val="00DE0CB9"/>
    <w:rsid w:val="00DE5105"/>
    <w:rsid w:val="00DF1A1E"/>
    <w:rsid w:val="00DF6A82"/>
    <w:rsid w:val="00DF7CAE"/>
    <w:rsid w:val="00E02011"/>
    <w:rsid w:val="00E1773B"/>
    <w:rsid w:val="00E423C0"/>
    <w:rsid w:val="00E6414C"/>
    <w:rsid w:val="00E7260F"/>
    <w:rsid w:val="00E82C50"/>
    <w:rsid w:val="00E86772"/>
    <w:rsid w:val="00E8702D"/>
    <w:rsid w:val="00E916A9"/>
    <w:rsid w:val="00E916DE"/>
    <w:rsid w:val="00E96630"/>
    <w:rsid w:val="00ED18DC"/>
    <w:rsid w:val="00ED6201"/>
    <w:rsid w:val="00ED7A2A"/>
    <w:rsid w:val="00EE4832"/>
    <w:rsid w:val="00EF1D7F"/>
    <w:rsid w:val="00EF4426"/>
    <w:rsid w:val="00F0137E"/>
    <w:rsid w:val="00F21786"/>
    <w:rsid w:val="00F3742B"/>
    <w:rsid w:val="00F41FDB"/>
    <w:rsid w:val="00F5337D"/>
    <w:rsid w:val="00F56D63"/>
    <w:rsid w:val="00F609A9"/>
    <w:rsid w:val="00F74DFC"/>
    <w:rsid w:val="00F80C99"/>
    <w:rsid w:val="00F867EC"/>
    <w:rsid w:val="00F91B2B"/>
    <w:rsid w:val="00FC03CD"/>
    <w:rsid w:val="00FC0646"/>
    <w:rsid w:val="00FC082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4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2F8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446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2F8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2116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Daoudi</dc:creator>
  <cp:lastModifiedBy>Hana Daoudi</cp:lastModifiedBy>
  <cp:revision>2</cp:revision>
  <cp:lastPrinted>2009-02-18T08:36:00Z</cp:lastPrinted>
  <dcterms:created xsi:type="dcterms:W3CDTF">2014-10-28T14:23:00Z</dcterms:created>
  <dcterms:modified xsi:type="dcterms:W3CDTF">2014-10-28T14:26:00Z</dcterms:modified>
</cp:coreProperties>
</file>