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67BC0" w:rsidRPr="00867BC0"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867BC0" w:rsidRDefault="0064636E" w:rsidP="003C3936">
            <w:pPr>
              <w:rPr>
                <w:color w:val="000000" w:themeColor="text1"/>
              </w:rPr>
            </w:pPr>
          </w:p>
        </w:tc>
        <w:tc>
          <w:tcPr>
            <w:tcW w:w="8363" w:type="dxa"/>
            <w:gridSpan w:val="2"/>
            <w:tcBorders>
              <w:bottom w:val="single" w:sz="4" w:space="0" w:color="auto"/>
            </w:tcBorders>
            <w:vAlign w:val="bottom"/>
          </w:tcPr>
          <w:p w14:paraId="21FBE7EF" w14:textId="043DEA38" w:rsidR="0064636E" w:rsidRPr="00867BC0" w:rsidRDefault="0064636E" w:rsidP="00411E0E">
            <w:pPr>
              <w:jc w:val="right"/>
              <w:rPr>
                <w:color w:val="000000" w:themeColor="text1"/>
              </w:rPr>
            </w:pPr>
            <w:r w:rsidRPr="00867BC0">
              <w:rPr>
                <w:color w:val="000000" w:themeColor="text1"/>
                <w:sz w:val="40"/>
              </w:rPr>
              <w:t>E</w:t>
            </w:r>
            <w:r w:rsidRPr="00867BC0">
              <w:rPr>
                <w:color w:val="000000" w:themeColor="text1"/>
              </w:rPr>
              <w:t>/ECE/324/</w:t>
            </w:r>
            <w:r w:rsidR="00841EB5" w:rsidRPr="00867BC0">
              <w:rPr>
                <w:color w:val="000000" w:themeColor="text1"/>
              </w:rPr>
              <w:t>Rev.</w:t>
            </w:r>
            <w:r w:rsidR="0001071D" w:rsidRPr="00867BC0">
              <w:rPr>
                <w:color w:val="000000" w:themeColor="text1"/>
              </w:rPr>
              <w:t>1</w:t>
            </w:r>
            <w:r w:rsidR="00841EB5" w:rsidRPr="00867BC0">
              <w:rPr>
                <w:color w:val="000000" w:themeColor="text1"/>
              </w:rPr>
              <w:t>/</w:t>
            </w:r>
            <w:r w:rsidRPr="00867BC0">
              <w:rPr>
                <w:color w:val="000000" w:themeColor="text1"/>
              </w:rPr>
              <w:t>Add.</w:t>
            </w:r>
            <w:r w:rsidR="009F015A" w:rsidRPr="00867BC0">
              <w:rPr>
                <w:color w:val="000000" w:themeColor="text1"/>
              </w:rPr>
              <w:t>4</w:t>
            </w:r>
            <w:r w:rsidR="00F43A63" w:rsidRPr="00867BC0">
              <w:rPr>
                <w:color w:val="000000" w:themeColor="text1"/>
              </w:rPr>
              <w:t>5</w:t>
            </w:r>
            <w:r w:rsidRPr="00867BC0">
              <w:rPr>
                <w:color w:val="000000" w:themeColor="text1"/>
              </w:rPr>
              <w:t>/Rev.</w:t>
            </w:r>
            <w:r w:rsidR="00F43A63" w:rsidRPr="00867BC0">
              <w:rPr>
                <w:color w:val="000000" w:themeColor="text1"/>
              </w:rPr>
              <w:t>6</w:t>
            </w:r>
            <w:r w:rsidRPr="00867BC0">
              <w:rPr>
                <w:color w:val="000000" w:themeColor="text1"/>
              </w:rPr>
              <w:t>/</w:t>
            </w:r>
            <w:r w:rsidR="00D623A7" w:rsidRPr="00867BC0">
              <w:rPr>
                <w:color w:val="000000" w:themeColor="text1"/>
              </w:rPr>
              <w:t>Amend.</w:t>
            </w:r>
            <w:r w:rsidR="0003390A" w:rsidRPr="00867BC0">
              <w:rPr>
                <w:color w:val="000000" w:themeColor="text1"/>
              </w:rPr>
              <w:t>7</w:t>
            </w:r>
            <w:r w:rsidRPr="00867BC0">
              <w:rPr>
                <w:color w:val="000000" w:themeColor="text1"/>
              </w:rPr>
              <w:t>−</w:t>
            </w:r>
            <w:r w:rsidRPr="00867BC0">
              <w:rPr>
                <w:color w:val="000000" w:themeColor="text1"/>
                <w:sz w:val="40"/>
              </w:rPr>
              <w:t>E</w:t>
            </w:r>
            <w:r w:rsidRPr="00867BC0">
              <w:rPr>
                <w:color w:val="000000" w:themeColor="text1"/>
              </w:rPr>
              <w:t>/ECE/TRANS/505</w:t>
            </w:r>
            <w:r w:rsidR="00841EB5" w:rsidRPr="00867BC0">
              <w:rPr>
                <w:color w:val="000000" w:themeColor="text1"/>
              </w:rPr>
              <w:t>/Rev.</w:t>
            </w:r>
            <w:r w:rsidR="0001071D" w:rsidRPr="00867BC0">
              <w:rPr>
                <w:color w:val="000000" w:themeColor="text1"/>
              </w:rPr>
              <w:t>1</w:t>
            </w:r>
            <w:r w:rsidR="00841EB5" w:rsidRPr="00867BC0">
              <w:rPr>
                <w:color w:val="000000" w:themeColor="text1"/>
              </w:rPr>
              <w:t>/Add.</w:t>
            </w:r>
            <w:r w:rsidR="009F015A" w:rsidRPr="00867BC0">
              <w:rPr>
                <w:color w:val="000000" w:themeColor="text1"/>
              </w:rPr>
              <w:t>4</w:t>
            </w:r>
            <w:r w:rsidR="00F43A63" w:rsidRPr="00867BC0">
              <w:rPr>
                <w:color w:val="000000" w:themeColor="text1"/>
              </w:rPr>
              <w:t>5</w:t>
            </w:r>
            <w:r w:rsidR="00841EB5" w:rsidRPr="00867BC0">
              <w:rPr>
                <w:color w:val="000000" w:themeColor="text1"/>
              </w:rPr>
              <w:t>/Rev.</w:t>
            </w:r>
            <w:r w:rsidR="00F43A63" w:rsidRPr="00867BC0">
              <w:rPr>
                <w:color w:val="000000" w:themeColor="text1"/>
              </w:rPr>
              <w:t>6</w:t>
            </w:r>
            <w:r w:rsidR="00841EB5" w:rsidRPr="00867BC0">
              <w:rPr>
                <w:color w:val="000000" w:themeColor="text1"/>
              </w:rPr>
              <w:t>/Amend.</w:t>
            </w:r>
            <w:r w:rsidR="0003390A" w:rsidRPr="00867BC0">
              <w:rPr>
                <w:color w:val="000000" w:themeColor="text1"/>
              </w:rPr>
              <w:t>7</w:t>
            </w:r>
          </w:p>
        </w:tc>
      </w:tr>
      <w:tr w:rsidR="00867BC0" w:rsidRPr="00867BC0"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867BC0"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77777777" w:rsidR="003C3936" w:rsidRPr="00867BC0"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77777777" w:rsidR="003C3936" w:rsidRPr="00867BC0" w:rsidRDefault="003C3936" w:rsidP="003C3936">
            <w:pPr>
              <w:spacing w:before="120"/>
              <w:rPr>
                <w:color w:val="000000" w:themeColor="text1"/>
              </w:rPr>
            </w:pPr>
          </w:p>
          <w:p w14:paraId="10DFEABE" w14:textId="77777777" w:rsidR="00D623A7" w:rsidRPr="00867BC0" w:rsidRDefault="00D623A7" w:rsidP="003C3936">
            <w:pPr>
              <w:spacing w:before="120"/>
              <w:rPr>
                <w:color w:val="000000" w:themeColor="text1"/>
              </w:rPr>
            </w:pPr>
          </w:p>
          <w:p w14:paraId="3AAF3BDD" w14:textId="5A4AA57D" w:rsidR="00C84414" w:rsidRPr="00867BC0" w:rsidRDefault="00091607" w:rsidP="00D67DDC">
            <w:pPr>
              <w:spacing w:before="120"/>
              <w:rPr>
                <w:color w:val="000000" w:themeColor="text1"/>
              </w:rPr>
            </w:pPr>
            <w:r w:rsidRPr="00867BC0">
              <w:rPr>
                <w:color w:val="000000" w:themeColor="text1"/>
              </w:rPr>
              <w:t>30</w:t>
            </w:r>
            <w:r w:rsidR="0035434F" w:rsidRPr="00867BC0">
              <w:rPr>
                <w:color w:val="000000" w:themeColor="text1"/>
              </w:rPr>
              <w:t xml:space="preserve"> November</w:t>
            </w:r>
            <w:r w:rsidR="0003390A" w:rsidRPr="00867BC0">
              <w:rPr>
                <w:color w:val="000000" w:themeColor="text1"/>
              </w:rPr>
              <w:t xml:space="preserve"> </w:t>
            </w:r>
            <w:r w:rsidR="00411E0E" w:rsidRPr="00867BC0">
              <w:rPr>
                <w:color w:val="000000" w:themeColor="text1"/>
              </w:rPr>
              <w:t>20</w:t>
            </w:r>
            <w:r w:rsidR="0052276D" w:rsidRPr="00867BC0">
              <w:rPr>
                <w:color w:val="000000" w:themeColor="text1"/>
              </w:rPr>
              <w:t>2</w:t>
            </w:r>
            <w:r w:rsidR="0003390A" w:rsidRPr="00867BC0">
              <w:rPr>
                <w:color w:val="000000" w:themeColor="text1"/>
              </w:rPr>
              <w:t>1</w:t>
            </w:r>
          </w:p>
        </w:tc>
      </w:tr>
    </w:tbl>
    <w:p w14:paraId="14FB613D" w14:textId="77777777" w:rsidR="00411E0E" w:rsidRPr="00867BC0" w:rsidRDefault="00411E0E" w:rsidP="00411E0E">
      <w:pPr>
        <w:pStyle w:val="HChG"/>
        <w:spacing w:before="240" w:after="120"/>
        <w:rPr>
          <w:color w:val="000000" w:themeColor="text1"/>
        </w:rPr>
      </w:pPr>
      <w:r w:rsidRPr="00867BC0">
        <w:rPr>
          <w:color w:val="000000" w:themeColor="text1"/>
        </w:rPr>
        <w:tab/>
      </w:r>
      <w:r w:rsidRPr="00867BC0">
        <w:rPr>
          <w:color w:val="000000" w:themeColor="text1"/>
        </w:rPr>
        <w:tab/>
      </w:r>
      <w:bookmarkStart w:id="0" w:name="_Toc340666199"/>
      <w:bookmarkStart w:id="1" w:name="_Toc340745062"/>
      <w:r w:rsidRPr="00867BC0">
        <w:rPr>
          <w:color w:val="000000" w:themeColor="text1"/>
        </w:rPr>
        <w:t>Agreement</w:t>
      </w:r>
      <w:bookmarkEnd w:id="0"/>
      <w:bookmarkEnd w:id="1"/>
    </w:p>
    <w:p w14:paraId="0ACE1C22" w14:textId="77777777" w:rsidR="00411E0E" w:rsidRPr="00867BC0" w:rsidRDefault="00411E0E" w:rsidP="00411E0E">
      <w:pPr>
        <w:pStyle w:val="H1G"/>
        <w:spacing w:before="240"/>
        <w:rPr>
          <w:color w:val="000000" w:themeColor="text1"/>
        </w:rPr>
      </w:pPr>
      <w:r w:rsidRPr="00867BC0">
        <w:rPr>
          <w:rStyle w:val="H1GChar"/>
          <w:color w:val="000000" w:themeColor="text1"/>
        </w:rPr>
        <w:tab/>
      </w:r>
      <w:r w:rsidRPr="00867BC0">
        <w:rPr>
          <w:rStyle w:val="H1GChar"/>
          <w:color w:val="000000" w:themeColor="text1"/>
        </w:rPr>
        <w:tab/>
      </w:r>
      <w:r w:rsidRPr="00867BC0">
        <w:rPr>
          <w:color w:val="000000" w:themeColor="text1"/>
        </w:rPr>
        <w:t>Concerning the</w:t>
      </w:r>
      <w:r w:rsidRPr="00867BC0">
        <w:rPr>
          <w:smallCaps/>
          <w:color w:val="000000" w:themeColor="text1"/>
        </w:rPr>
        <w:t xml:space="preserve"> </w:t>
      </w:r>
      <w:r w:rsidRPr="00867BC0">
        <w:rPr>
          <w:color w:val="000000" w:themeColor="text1"/>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867BC0">
        <w:rPr>
          <w:color w:val="000000" w:themeColor="text1"/>
        </w:rPr>
        <w:t>on the Basis of</w:t>
      </w:r>
      <w:proofErr w:type="gramEnd"/>
      <w:r w:rsidRPr="00867BC0">
        <w:rPr>
          <w:color w:val="000000" w:themeColor="text1"/>
        </w:rPr>
        <w:t xml:space="preserve"> these United Nations Regulations</w:t>
      </w:r>
      <w:r w:rsidRPr="00867BC0">
        <w:rPr>
          <w:rStyle w:val="FootnoteReference"/>
          <w:b w:val="0"/>
          <w:color w:val="000000" w:themeColor="text1"/>
          <w:sz w:val="20"/>
          <w:vertAlign w:val="baseline"/>
        </w:rPr>
        <w:footnoteReference w:customMarkFollows="1" w:id="2"/>
        <w:t>*</w:t>
      </w:r>
    </w:p>
    <w:p w14:paraId="2019F5F5" w14:textId="77777777" w:rsidR="00411E0E" w:rsidRPr="00867BC0" w:rsidRDefault="00411E0E" w:rsidP="00411E0E">
      <w:pPr>
        <w:pStyle w:val="SingleTxtG"/>
        <w:spacing w:before="120"/>
        <w:rPr>
          <w:color w:val="000000" w:themeColor="text1"/>
        </w:rPr>
      </w:pPr>
      <w:r w:rsidRPr="00867BC0">
        <w:rPr>
          <w:color w:val="000000" w:themeColor="text1"/>
        </w:rPr>
        <w:t>(Revision 3, including the amendments which entered into force on 14 September 2017)</w:t>
      </w:r>
    </w:p>
    <w:p w14:paraId="1EFD74EC" w14:textId="77777777" w:rsidR="00411E0E" w:rsidRPr="00867BC0" w:rsidRDefault="00411E0E" w:rsidP="00411E0E">
      <w:pPr>
        <w:pStyle w:val="H1G"/>
        <w:spacing w:before="120"/>
        <w:ind w:left="0" w:right="0" w:firstLine="0"/>
        <w:jc w:val="center"/>
        <w:rPr>
          <w:color w:val="000000" w:themeColor="text1"/>
        </w:rPr>
      </w:pPr>
      <w:r w:rsidRPr="00867BC0">
        <w:rPr>
          <w:color w:val="000000" w:themeColor="text1"/>
        </w:rPr>
        <w:t>_________</w:t>
      </w:r>
    </w:p>
    <w:p w14:paraId="1E020283" w14:textId="1154B042" w:rsidR="0064636E" w:rsidRPr="00867BC0" w:rsidRDefault="0064636E" w:rsidP="00A41529">
      <w:pPr>
        <w:pStyle w:val="H1G"/>
        <w:spacing w:before="240" w:after="120"/>
        <w:rPr>
          <w:color w:val="000000" w:themeColor="text1"/>
        </w:rPr>
      </w:pPr>
      <w:r w:rsidRPr="00867BC0">
        <w:rPr>
          <w:color w:val="000000" w:themeColor="text1"/>
        </w:rPr>
        <w:tab/>
      </w:r>
      <w:r w:rsidRPr="00867BC0">
        <w:rPr>
          <w:color w:val="000000" w:themeColor="text1"/>
        </w:rPr>
        <w:tab/>
        <w:t xml:space="preserve">Addendum </w:t>
      </w:r>
      <w:r w:rsidR="0001071D" w:rsidRPr="00867BC0">
        <w:rPr>
          <w:color w:val="000000" w:themeColor="text1"/>
        </w:rPr>
        <w:t>4</w:t>
      </w:r>
      <w:r w:rsidR="00F43A63" w:rsidRPr="00867BC0">
        <w:rPr>
          <w:color w:val="000000" w:themeColor="text1"/>
        </w:rPr>
        <w:t>5</w:t>
      </w:r>
      <w:r w:rsidRPr="00867BC0">
        <w:rPr>
          <w:color w:val="000000" w:themeColor="text1"/>
        </w:rPr>
        <w:t xml:space="preserve"> – </w:t>
      </w:r>
      <w:r w:rsidR="001F2961" w:rsidRPr="00867BC0">
        <w:rPr>
          <w:color w:val="000000" w:themeColor="text1"/>
        </w:rPr>
        <w:t xml:space="preserve">UN </w:t>
      </w:r>
      <w:r w:rsidRPr="00867BC0">
        <w:rPr>
          <w:color w:val="000000" w:themeColor="text1"/>
        </w:rPr>
        <w:t>Regulation No.</w:t>
      </w:r>
      <w:r w:rsidR="00271A7F" w:rsidRPr="00867BC0">
        <w:rPr>
          <w:color w:val="000000" w:themeColor="text1"/>
        </w:rPr>
        <w:t xml:space="preserve"> </w:t>
      </w:r>
      <w:r w:rsidR="0001071D" w:rsidRPr="00867BC0">
        <w:rPr>
          <w:color w:val="000000" w:themeColor="text1"/>
        </w:rPr>
        <w:t>4</w:t>
      </w:r>
      <w:r w:rsidR="00F43A63" w:rsidRPr="00867BC0">
        <w:rPr>
          <w:color w:val="000000" w:themeColor="text1"/>
        </w:rPr>
        <w:t>6</w:t>
      </w:r>
    </w:p>
    <w:p w14:paraId="4E272B2A" w14:textId="7A651D7C" w:rsidR="0064636E" w:rsidRPr="00867BC0" w:rsidRDefault="0064636E" w:rsidP="00A41529">
      <w:pPr>
        <w:pStyle w:val="H1G"/>
        <w:spacing w:before="240"/>
        <w:rPr>
          <w:color w:val="000000" w:themeColor="text1"/>
        </w:rPr>
      </w:pPr>
      <w:r w:rsidRPr="00867BC0">
        <w:rPr>
          <w:color w:val="000000" w:themeColor="text1"/>
        </w:rPr>
        <w:tab/>
      </w:r>
      <w:r w:rsidRPr="00867BC0">
        <w:rPr>
          <w:color w:val="000000" w:themeColor="text1"/>
        </w:rPr>
        <w:tab/>
        <w:t xml:space="preserve">Revision </w:t>
      </w:r>
      <w:r w:rsidR="00F43A63" w:rsidRPr="00867BC0">
        <w:rPr>
          <w:color w:val="000000" w:themeColor="text1"/>
        </w:rPr>
        <w:t>6</w:t>
      </w:r>
      <w:r w:rsidRPr="00867BC0">
        <w:rPr>
          <w:color w:val="000000" w:themeColor="text1"/>
        </w:rPr>
        <w:t xml:space="preserve"> - </w:t>
      </w:r>
      <w:r w:rsidR="00D623A7" w:rsidRPr="00867BC0">
        <w:rPr>
          <w:color w:val="000000" w:themeColor="text1"/>
        </w:rPr>
        <w:t>Amendment</w:t>
      </w:r>
      <w:r w:rsidRPr="00867BC0">
        <w:rPr>
          <w:color w:val="000000" w:themeColor="text1"/>
        </w:rPr>
        <w:t xml:space="preserve"> </w:t>
      </w:r>
      <w:r w:rsidR="003B1825" w:rsidRPr="00867BC0">
        <w:rPr>
          <w:color w:val="000000" w:themeColor="text1"/>
        </w:rPr>
        <w:t>7</w:t>
      </w:r>
    </w:p>
    <w:p w14:paraId="4FAFC05A" w14:textId="7958AABB" w:rsidR="0064636E" w:rsidRPr="00867BC0" w:rsidRDefault="00D623A7" w:rsidP="0064636E">
      <w:pPr>
        <w:pStyle w:val="SingleTxtG"/>
        <w:spacing w:after="360"/>
        <w:rPr>
          <w:color w:val="000000" w:themeColor="text1"/>
          <w:spacing w:val="-2"/>
        </w:rPr>
      </w:pPr>
      <w:r w:rsidRPr="00867BC0">
        <w:rPr>
          <w:color w:val="000000" w:themeColor="text1"/>
          <w:spacing w:val="-2"/>
        </w:rPr>
        <w:t xml:space="preserve">Supplement </w:t>
      </w:r>
      <w:r w:rsidR="003B1825" w:rsidRPr="00867BC0">
        <w:rPr>
          <w:color w:val="000000" w:themeColor="text1"/>
          <w:spacing w:val="-2"/>
        </w:rPr>
        <w:t>9</w:t>
      </w:r>
      <w:r w:rsidRPr="00867BC0">
        <w:rPr>
          <w:color w:val="000000" w:themeColor="text1"/>
          <w:spacing w:val="-2"/>
        </w:rPr>
        <w:t xml:space="preserve"> to </w:t>
      </w:r>
      <w:r w:rsidR="00271A7F" w:rsidRPr="00867BC0">
        <w:rPr>
          <w:color w:val="000000" w:themeColor="text1"/>
          <w:spacing w:val="-2"/>
        </w:rPr>
        <w:t xml:space="preserve">the </w:t>
      </w:r>
      <w:r w:rsidR="0001071D" w:rsidRPr="00867BC0">
        <w:rPr>
          <w:color w:val="000000" w:themeColor="text1"/>
          <w:spacing w:val="-2"/>
        </w:rPr>
        <w:t>0</w:t>
      </w:r>
      <w:r w:rsidR="00525941" w:rsidRPr="00867BC0">
        <w:rPr>
          <w:color w:val="000000" w:themeColor="text1"/>
          <w:spacing w:val="-2"/>
        </w:rPr>
        <w:t>4</w:t>
      </w:r>
      <w:r w:rsidRPr="00867BC0">
        <w:rPr>
          <w:color w:val="000000" w:themeColor="text1"/>
          <w:spacing w:val="-2"/>
        </w:rPr>
        <w:t xml:space="preserve"> series of amendments</w:t>
      </w:r>
      <w:r w:rsidR="0064636E" w:rsidRPr="00867BC0">
        <w:rPr>
          <w:color w:val="000000" w:themeColor="text1"/>
          <w:spacing w:val="-2"/>
        </w:rPr>
        <w:t xml:space="preserve"> – Date of entry into force: </w:t>
      </w:r>
      <w:r w:rsidR="003B1825" w:rsidRPr="00867BC0">
        <w:rPr>
          <w:color w:val="000000" w:themeColor="text1"/>
        </w:rPr>
        <w:t>30</w:t>
      </w:r>
      <w:r w:rsidR="00F44D3A" w:rsidRPr="00867BC0">
        <w:rPr>
          <w:color w:val="000000" w:themeColor="text1"/>
        </w:rPr>
        <w:t xml:space="preserve"> </w:t>
      </w:r>
      <w:r w:rsidR="0052276D" w:rsidRPr="00867BC0">
        <w:rPr>
          <w:color w:val="000000" w:themeColor="text1"/>
        </w:rPr>
        <w:t>September</w:t>
      </w:r>
      <w:r w:rsidR="00411E0E" w:rsidRPr="00867BC0">
        <w:rPr>
          <w:color w:val="000000" w:themeColor="text1"/>
        </w:rPr>
        <w:t xml:space="preserve"> 20</w:t>
      </w:r>
      <w:r w:rsidR="0052276D" w:rsidRPr="00867BC0">
        <w:rPr>
          <w:color w:val="000000" w:themeColor="text1"/>
        </w:rPr>
        <w:t>2</w:t>
      </w:r>
      <w:r w:rsidR="003B1825" w:rsidRPr="00867BC0">
        <w:rPr>
          <w:color w:val="000000" w:themeColor="text1"/>
        </w:rPr>
        <w:t>1</w:t>
      </w:r>
    </w:p>
    <w:p w14:paraId="24730B39" w14:textId="3E8E9A43" w:rsidR="0064636E" w:rsidRPr="00867BC0" w:rsidRDefault="0064636E" w:rsidP="00A41529">
      <w:pPr>
        <w:pStyle w:val="H1G"/>
        <w:spacing w:before="120" w:after="120" w:line="240" w:lineRule="exact"/>
        <w:rPr>
          <w:color w:val="000000" w:themeColor="text1"/>
          <w:lang w:val="en-US"/>
        </w:rPr>
      </w:pPr>
      <w:r w:rsidRPr="00867BC0">
        <w:rPr>
          <w:color w:val="000000" w:themeColor="text1"/>
          <w:lang w:val="en-US"/>
        </w:rPr>
        <w:tab/>
      </w:r>
      <w:r w:rsidRPr="00867BC0">
        <w:rPr>
          <w:color w:val="000000" w:themeColor="text1"/>
          <w:lang w:val="en-US"/>
        </w:rPr>
        <w:tab/>
      </w:r>
      <w:r w:rsidR="00F43A63" w:rsidRPr="00867BC0">
        <w:rPr>
          <w:color w:val="000000" w:themeColor="text1"/>
          <w:lang w:val="en-US"/>
        </w:rPr>
        <w:t xml:space="preserve">Uniform provisions concerning the approval of devices for indirect vision and of motor vehicles </w:t>
      </w:r>
      <w:proofErr w:type="gramStart"/>
      <w:r w:rsidR="00F43A63" w:rsidRPr="00867BC0">
        <w:rPr>
          <w:color w:val="000000" w:themeColor="text1"/>
          <w:lang w:val="en-US"/>
        </w:rPr>
        <w:t>with regard to</w:t>
      </w:r>
      <w:proofErr w:type="gramEnd"/>
      <w:r w:rsidR="00F43A63" w:rsidRPr="00867BC0">
        <w:rPr>
          <w:color w:val="000000" w:themeColor="text1"/>
          <w:lang w:val="en-US"/>
        </w:rPr>
        <w:t xml:space="preserve"> the installation of these devices</w:t>
      </w:r>
    </w:p>
    <w:p w14:paraId="02EF65D0" w14:textId="019773D1" w:rsidR="00A41529" w:rsidRPr="00867BC0" w:rsidRDefault="0001071D" w:rsidP="00A41529">
      <w:pPr>
        <w:pStyle w:val="SingleTxtG"/>
        <w:spacing w:after="0"/>
        <w:rPr>
          <w:color w:val="000000" w:themeColor="text1"/>
          <w:spacing w:val="-6"/>
          <w:lang w:eastAsia="en-GB"/>
        </w:rPr>
      </w:pPr>
      <w:r w:rsidRPr="00867BC0">
        <w:rPr>
          <w:color w:val="000000" w:themeColor="text1"/>
          <w:spacing w:val="-4"/>
          <w:lang w:eastAsia="en-GB"/>
        </w:rPr>
        <w:t>This document is meant purely as documentation tool.</w:t>
      </w:r>
      <w:r w:rsidR="00A41529" w:rsidRPr="00867BC0">
        <w:rPr>
          <w:color w:val="000000" w:themeColor="text1"/>
          <w:spacing w:val="-4"/>
          <w:lang w:eastAsia="en-GB"/>
        </w:rPr>
        <w:t xml:space="preserve"> The authentic and legal binding texts </w:t>
      </w:r>
      <w:r w:rsidR="00E313A7" w:rsidRPr="00867BC0">
        <w:rPr>
          <w:color w:val="000000" w:themeColor="text1"/>
          <w:spacing w:val="-4"/>
          <w:lang w:eastAsia="en-GB"/>
        </w:rPr>
        <w:t>is</w:t>
      </w:r>
      <w:r w:rsidR="00A41529" w:rsidRPr="00867BC0">
        <w:rPr>
          <w:color w:val="000000" w:themeColor="text1"/>
          <w:spacing w:val="-4"/>
          <w:lang w:eastAsia="en-GB"/>
        </w:rPr>
        <w:t>:</w:t>
      </w:r>
      <w:r w:rsidR="00F13E6B" w:rsidRPr="00867BC0">
        <w:rPr>
          <w:color w:val="000000" w:themeColor="text1"/>
          <w:lang w:eastAsia="en-GB"/>
        </w:rPr>
        <w:t xml:space="preserve"> </w:t>
      </w:r>
      <w:r w:rsidR="00A41529" w:rsidRPr="00867BC0">
        <w:rPr>
          <w:color w:val="000000" w:themeColor="text1"/>
          <w:lang w:eastAsia="en-GB"/>
        </w:rPr>
        <w:tab/>
      </w:r>
      <w:r w:rsidR="00A41529" w:rsidRPr="00867BC0">
        <w:rPr>
          <w:color w:val="000000" w:themeColor="text1"/>
          <w:spacing w:val="-6"/>
          <w:lang w:eastAsia="en-GB"/>
        </w:rPr>
        <w:t>ECE/TRANS/WP.29/20</w:t>
      </w:r>
      <w:r w:rsidR="0052276D" w:rsidRPr="00867BC0">
        <w:rPr>
          <w:color w:val="000000" w:themeColor="text1"/>
          <w:spacing w:val="-6"/>
          <w:lang w:eastAsia="en-GB"/>
        </w:rPr>
        <w:t>2</w:t>
      </w:r>
      <w:r w:rsidR="003B1825" w:rsidRPr="00867BC0">
        <w:rPr>
          <w:color w:val="000000" w:themeColor="text1"/>
          <w:spacing w:val="-6"/>
          <w:lang w:eastAsia="en-GB"/>
        </w:rPr>
        <w:t>1</w:t>
      </w:r>
      <w:r w:rsidR="00A41529" w:rsidRPr="00867BC0">
        <w:rPr>
          <w:color w:val="000000" w:themeColor="text1"/>
          <w:spacing w:val="-6"/>
          <w:lang w:eastAsia="en-GB"/>
        </w:rPr>
        <w:t>/</w:t>
      </w:r>
      <w:r w:rsidR="0052276D" w:rsidRPr="00867BC0">
        <w:rPr>
          <w:color w:val="000000" w:themeColor="text1"/>
          <w:spacing w:val="-6"/>
          <w:lang w:eastAsia="en-GB"/>
        </w:rPr>
        <w:t>1</w:t>
      </w:r>
      <w:r w:rsidR="003B1825" w:rsidRPr="00867BC0">
        <w:rPr>
          <w:color w:val="000000" w:themeColor="text1"/>
          <w:spacing w:val="-6"/>
          <w:lang w:eastAsia="en-GB"/>
        </w:rPr>
        <w:t>9</w:t>
      </w:r>
      <w:r w:rsidR="00F13E6B" w:rsidRPr="00867BC0">
        <w:rPr>
          <w:color w:val="000000" w:themeColor="text1"/>
          <w:spacing w:val="-6"/>
          <w:lang w:eastAsia="en-GB"/>
        </w:rPr>
        <w:t>.</w:t>
      </w:r>
    </w:p>
    <w:p w14:paraId="62CDCABF" w14:textId="3243C074" w:rsidR="000D3A4F" w:rsidRPr="00867BC0" w:rsidRDefault="00F55704" w:rsidP="00A41529">
      <w:pPr>
        <w:suppressAutoHyphens w:val="0"/>
        <w:spacing w:line="240" w:lineRule="auto"/>
        <w:jc w:val="center"/>
        <w:rPr>
          <w:b/>
          <w:color w:val="000000" w:themeColor="text1"/>
          <w:sz w:val="24"/>
        </w:rPr>
      </w:pPr>
      <w:r w:rsidRPr="00867BC0">
        <w:rPr>
          <w:b/>
          <w:noProof/>
          <w:color w:val="000000" w:themeColor="text1"/>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867BC0">
        <w:rPr>
          <w:b/>
          <w:color w:val="000000" w:themeColor="text1"/>
          <w:sz w:val="24"/>
        </w:rPr>
        <w:t>_________</w:t>
      </w:r>
    </w:p>
    <w:p w14:paraId="0BE7EBB7" w14:textId="77777777" w:rsidR="000D3A4F" w:rsidRPr="00867BC0" w:rsidRDefault="000D3A4F" w:rsidP="00A41529">
      <w:pPr>
        <w:suppressAutoHyphens w:val="0"/>
        <w:spacing w:line="100" w:lineRule="atLeast"/>
        <w:rPr>
          <w:b/>
          <w:color w:val="000000" w:themeColor="text1"/>
          <w:sz w:val="24"/>
        </w:rPr>
      </w:pPr>
    </w:p>
    <w:p w14:paraId="484BB43A" w14:textId="5A0C27D9" w:rsidR="00C711C7" w:rsidRPr="00867BC0" w:rsidRDefault="000D3A4F" w:rsidP="00977DE1">
      <w:pPr>
        <w:suppressAutoHyphens w:val="0"/>
        <w:spacing w:line="240" w:lineRule="auto"/>
        <w:jc w:val="center"/>
        <w:rPr>
          <w:color w:val="000000" w:themeColor="text1"/>
        </w:rPr>
      </w:pPr>
      <w:r w:rsidRPr="00867BC0">
        <w:rPr>
          <w:b/>
          <w:color w:val="000000" w:themeColor="text1"/>
          <w:sz w:val="24"/>
        </w:rPr>
        <w:t>UNITED NATIONS</w:t>
      </w:r>
    </w:p>
    <w:p w14:paraId="4547FEA3" w14:textId="77777777" w:rsidR="00776521" w:rsidRDefault="00D5540C" w:rsidP="00776521">
      <w:pPr>
        <w:tabs>
          <w:tab w:val="left" w:pos="2268"/>
        </w:tabs>
        <w:spacing w:before="120" w:after="120" w:line="240" w:lineRule="auto"/>
        <w:ind w:left="2268" w:right="1134" w:hanging="1134"/>
        <w:jc w:val="both"/>
      </w:pPr>
      <w:r w:rsidRPr="00867BC0">
        <w:rPr>
          <w:color w:val="000000" w:themeColor="text1"/>
        </w:rPr>
        <w:br w:type="page"/>
      </w:r>
      <w:bookmarkStart w:id="2" w:name="__DdeLink__9642_1795226899"/>
      <w:r w:rsidR="00776521">
        <w:rPr>
          <w:i/>
        </w:rPr>
        <w:lastRenderedPageBreak/>
        <w:t>Paragraphs 2.1.1.7. to 2.1.1.9.,</w:t>
      </w:r>
      <w:bookmarkEnd w:id="2"/>
      <w:r w:rsidR="00776521">
        <w:t xml:space="preserve"> amend to read:</w:t>
      </w:r>
    </w:p>
    <w:p w14:paraId="76009C43" w14:textId="77777777" w:rsidR="00776521" w:rsidRPr="00CF7F16" w:rsidRDefault="00776521" w:rsidP="00776521">
      <w:pPr>
        <w:tabs>
          <w:tab w:val="left" w:pos="2268"/>
        </w:tabs>
        <w:spacing w:before="120" w:after="120" w:line="240" w:lineRule="auto"/>
        <w:ind w:left="2268" w:right="1134" w:hanging="1134"/>
        <w:jc w:val="both"/>
      </w:pPr>
      <w:bookmarkStart w:id="3" w:name="A0_S6_4_"/>
      <w:r>
        <w:t>"2.1.</w:t>
      </w:r>
      <w:bookmarkEnd w:id="3"/>
      <w:r>
        <w:t>1.7.</w:t>
      </w:r>
      <w:r>
        <w:tab/>
      </w:r>
      <w:r w:rsidRPr="00CF7F16">
        <w:t>"</w:t>
      </w:r>
      <w:r w:rsidRPr="001373D0">
        <w:rPr>
          <w:i/>
          <w:iCs/>
        </w:rPr>
        <w:t>Spherical surface</w:t>
      </w:r>
      <w:r w:rsidRPr="00CF7F16">
        <w:t>" means a convex surface, which has, in both horizontal and vertical direction, measured radii of curvature compliant with the provisions given in paragraphs 6.1.2.2.2 and 6.1.2.2.4.</w:t>
      </w:r>
    </w:p>
    <w:p w14:paraId="1077A982" w14:textId="77777777" w:rsidR="00776521" w:rsidRPr="00CF7F16" w:rsidRDefault="00776521" w:rsidP="00776521">
      <w:pPr>
        <w:tabs>
          <w:tab w:val="left" w:pos="2268"/>
        </w:tabs>
        <w:spacing w:before="120" w:after="120" w:line="240" w:lineRule="auto"/>
        <w:ind w:left="2268" w:right="1134" w:hanging="1134"/>
        <w:jc w:val="both"/>
      </w:pPr>
      <w:r w:rsidRPr="00CF7F16">
        <w:t>2.1.1.8.</w:t>
      </w:r>
      <w:r w:rsidRPr="00CF7F16">
        <w:tab/>
        <w:t>"</w:t>
      </w:r>
      <w:r w:rsidRPr="001373D0">
        <w:rPr>
          <w:i/>
          <w:iCs/>
        </w:rPr>
        <w:t>Aspherical surface</w:t>
      </w:r>
      <w:r w:rsidRPr="00CF7F16">
        <w:t>" means a convex surface, which may have variable radii of curvature both in the horizontal and vertical direction.</w:t>
      </w:r>
    </w:p>
    <w:p w14:paraId="59AE9ABF" w14:textId="77777777" w:rsidR="00776521" w:rsidRPr="00CF7F16" w:rsidRDefault="00776521" w:rsidP="00776521">
      <w:pPr>
        <w:tabs>
          <w:tab w:val="left" w:pos="2268"/>
        </w:tabs>
        <w:spacing w:before="120" w:after="120" w:line="240" w:lineRule="auto"/>
        <w:ind w:left="2268" w:right="1134" w:hanging="1134"/>
        <w:jc w:val="both"/>
      </w:pPr>
      <w:bookmarkStart w:id="4" w:name="A0_S6_4_2_"/>
      <w:r w:rsidRPr="00CF7F16">
        <w:t>2.1.1.</w:t>
      </w:r>
      <w:bookmarkEnd w:id="4"/>
      <w:r w:rsidRPr="00CF7F16">
        <w:t>9.</w:t>
      </w:r>
      <w:r w:rsidRPr="00CF7F16">
        <w:tab/>
        <w:t>"</w:t>
      </w:r>
      <w:r w:rsidRPr="001373D0">
        <w:rPr>
          <w:i/>
          <w:iCs/>
        </w:rPr>
        <w:t>Aspherical mirror</w:t>
      </w:r>
      <w:r w:rsidRPr="00CF7F16">
        <w:t xml:space="preserve">" means a mirror composed of a spherical and an aspherical part, defined in 2.1.1.7 and 2.1.1.8 respectively, in which the transition of the reflecting surface from the spherical to the aspherical part </w:t>
      </w:r>
      <w:proofErr w:type="gramStart"/>
      <w:r w:rsidRPr="00CF7F16">
        <w:t>has to</w:t>
      </w:r>
      <w:proofErr w:type="gramEnd"/>
      <w:r w:rsidRPr="00CF7F16">
        <w:t xml:space="preserve"> be marked. As an example, the curvature of the main axis of the mirrors may be defined in the x/y coordinate system defined by the radius of the spherical primary calotte with:</w:t>
      </w:r>
    </w:p>
    <w:p w14:paraId="1A7365E9" w14:textId="77777777" w:rsidR="00776521" w:rsidRDefault="00776521" w:rsidP="00776521">
      <w:pPr>
        <w:tabs>
          <w:tab w:val="left" w:pos="2268"/>
        </w:tabs>
        <w:spacing w:before="120" w:after="120" w:line="240" w:lineRule="auto"/>
        <w:ind w:left="2268" w:right="1134" w:hanging="1134"/>
        <w:jc w:val="both"/>
      </w:pPr>
      <w:r>
        <w:tab/>
      </w:r>
      <w:r>
        <w:tab/>
      </w:r>
      <w:r>
        <w:tab/>
      </w:r>
      <w:r>
        <w:tab/>
      </w:r>
      <w:r>
        <w:rPr>
          <w:rFonts w:ascii="Calibri" w:hAnsi="Calibri" w:cs="Calibri"/>
          <w:noProof/>
          <w:lang w:val="it-IT" w:eastAsia="it-IT"/>
        </w:rPr>
        <w:drawing>
          <wp:inline distT="0" distB="0" distL="0" distR="0" wp14:anchorId="1F2C6A3F" wp14:editId="05F4A445">
            <wp:extent cx="2145600" cy="259200"/>
            <wp:effectExtent l="0" t="0" r="7620" b="7620"/>
            <wp:docPr id="1" name="Immagine 1" descr="C:\Users\musso\AppData\Local\Temp\notes95E17C\~b372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usso\AppData\Local\Temp\notes95E17C\~b37248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00" cy="259200"/>
                    </a:xfrm>
                    <a:prstGeom prst="rect">
                      <a:avLst/>
                    </a:prstGeom>
                    <a:noFill/>
                    <a:ln>
                      <a:noFill/>
                    </a:ln>
                  </pic:spPr>
                </pic:pic>
              </a:graphicData>
            </a:graphic>
          </wp:inline>
        </w:drawing>
      </w:r>
    </w:p>
    <w:p w14:paraId="58194AEC" w14:textId="77777777" w:rsidR="00776521" w:rsidRDefault="00776521" w:rsidP="00776521">
      <w:pPr>
        <w:tabs>
          <w:tab w:val="left" w:pos="2268"/>
        </w:tabs>
        <w:spacing w:before="120" w:after="120" w:line="240" w:lineRule="auto"/>
        <w:ind w:left="2268" w:right="1134" w:hanging="1134"/>
        <w:jc w:val="both"/>
      </w:pPr>
      <w:r>
        <w:tab/>
      </w:r>
      <w:r w:rsidRPr="0027542D">
        <w:t>Where:</w:t>
      </w:r>
    </w:p>
    <w:p w14:paraId="5D5C312D" w14:textId="77777777" w:rsidR="00776521" w:rsidRDefault="00776521" w:rsidP="00776521">
      <w:pPr>
        <w:tabs>
          <w:tab w:val="left" w:pos="2268"/>
        </w:tabs>
        <w:spacing w:before="120" w:after="120" w:line="240" w:lineRule="auto"/>
        <w:ind w:left="2268" w:right="1134" w:hanging="1134"/>
        <w:jc w:val="both"/>
      </w:pPr>
      <w:r>
        <w:tab/>
      </w:r>
      <w:r w:rsidRPr="0027542D">
        <w:t>R: nominal radius in the spherical part</w:t>
      </w:r>
    </w:p>
    <w:p w14:paraId="34D76556" w14:textId="77777777" w:rsidR="00776521" w:rsidRDefault="00776521" w:rsidP="00776521">
      <w:pPr>
        <w:tabs>
          <w:tab w:val="left" w:pos="2268"/>
        </w:tabs>
        <w:spacing w:before="120" w:after="120" w:line="240" w:lineRule="auto"/>
        <w:ind w:left="2268" w:right="1134" w:hanging="1134"/>
        <w:jc w:val="both"/>
      </w:pPr>
      <w:r>
        <w:tab/>
      </w:r>
      <w:r w:rsidRPr="0027542D">
        <w:t>k: constant for the change of curvature</w:t>
      </w:r>
    </w:p>
    <w:p w14:paraId="465773DA" w14:textId="77777777" w:rsidR="00776521" w:rsidRDefault="00776521" w:rsidP="00776521">
      <w:pPr>
        <w:tabs>
          <w:tab w:val="left" w:pos="2268"/>
        </w:tabs>
        <w:spacing w:before="120" w:after="120" w:line="240" w:lineRule="auto"/>
        <w:ind w:left="2268" w:right="1134" w:hanging="1134"/>
        <w:jc w:val="both"/>
      </w:pPr>
      <w:r>
        <w:tab/>
      </w:r>
      <w:r w:rsidRPr="0027542D">
        <w:t>a: constant for the spherical size of the spherical primary calotte</w:t>
      </w:r>
      <w:r>
        <w:t>"</w:t>
      </w:r>
    </w:p>
    <w:p w14:paraId="24044358" w14:textId="77777777" w:rsidR="00776521" w:rsidRDefault="00776521" w:rsidP="00776521">
      <w:pPr>
        <w:keepNext/>
        <w:tabs>
          <w:tab w:val="left" w:pos="2268"/>
        </w:tabs>
        <w:spacing w:before="120" w:after="120" w:line="240" w:lineRule="auto"/>
        <w:ind w:left="2268" w:right="1134" w:hanging="1134"/>
        <w:jc w:val="both"/>
      </w:pPr>
      <w:r>
        <w:rPr>
          <w:i/>
        </w:rPr>
        <w:t xml:space="preserve">Paragraph 6.1.2.2.1., </w:t>
      </w:r>
      <w:r>
        <w:rPr>
          <w:iCs/>
        </w:rPr>
        <w:t>amend to read</w:t>
      </w:r>
      <w:r>
        <w:t>:</w:t>
      </w:r>
    </w:p>
    <w:p w14:paraId="529855F1" w14:textId="77777777" w:rsidR="00776521" w:rsidRDefault="00776521" w:rsidP="00776521">
      <w:pPr>
        <w:pStyle w:val="HChG"/>
        <w:spacing w:before="0" w:after="120" w:line="240" w:lineRule="auto"/>
        <w:ind w:left="2268"/>
        <w:jc w:val="both"/>
        <w:rPr>
          <w:b w:val="0"/>
          <w:color w:val="000000"/>
          <w:sz w:val="20"/>
        </w:rPr>
      </w:pPr>
      <w:r w:rsidRPr="0027542D">
        <w:rPr>
          <w:b w:val="0"/>
          <w:color w:val="000000"/>
          <w:sz w:val="20"/>
        </w:rPr>
        <w:t>"6.1.2.2.1.</w:t>
      </w:r>
      <w:r w:rsidRPr="0027542D">
        <w:rPr>
          <w:b w:val="0"/>
          <w:color w:val="000000"/>
          <w:sz w:val="20"/>
        </w:rPr>
        <w:tab/>
        <w:t>The reflecting surface of a mirror shall be either flat or convex. Exterior mirrors may be equipped with an additional aspherical part provided that the main mirror fulfils the requirements of the indirect field of vision."</w:t>
      </w:r>
    </w:p>
    <w:p w14:paraId="79AECE82" w14:textId="142CD7F4" w:rsidR="00F44D3A" w:rsidRDefault="00776521" w:rsidP="00776521">
      <w:pPr>
        <w:spacing w:before="240"/>
        <w:jc w:val="center"/>
        <w:rPr>
          <w:u w:val="single"/>
        </w:rPr>
      </w:pPr>
      <w:r>
        <w:rPr>
          <w:u w:val="single"/>
        </w:rPr>
        <w:tab/>
      </w:r>
      <w:r>
        <w:rPr>
          <w:u w:val="single"/>
        </w:rPr>
        <w:tab/>
      </w:r>
      <w:r>
        <w:rPr>
          <w:u w:val="single"/>
        </w:rPr>
        <w:tab/>
      </w:r>
    </w:p>
    <w:sectPr w:rsidR="00F44D3A" w:rsidSect="00D77324">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5B01" w14:textId="77777777" w:rsidR="007F229A" w:rsidRDefault="007F229A"/>
  </w:endnote>
  <w:endnote w:type="continuationSeparator" w:id="0">
    <w:p w14:paraId="1CEB68B6" w14:textId="77777777" w:rsidR="007F229A" w:rsidRDefault="007F229A"/>
  </w:endnote>
  <w:endnote w:type="continuationNotice" w:id="1">
    <w:p w14:paraId="01EDC25E" w14:textId="77777777" w:rsidR="007F229A" w:rsidRDefault="007F2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16B60A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F296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59F1A4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11E0E">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5B304" w14:textId="77777777" w:rsidR="007F229A" w:rsidRPr="000B175B" w:rsidRDefault="007F229A" w:rsidP="000B175B">
      <w:pPr>
        <w:tabs>
          <w:tab w:val="right" w:pos="2155"/>
        </w:tabs>
        <w:spacing w:after="80"/>
        <w:ind w:left="680"/>
        <w:rPr>
          <w:u w:val="single"/>
        </w:rPr>
      </w:pPr>
      <w:r>
        <w:rPr>
          <w:u w:val="single"/>
        </w:rPr>
        <w:tab/>
      </w:r>
    </w:p>
  </w:footnote>
  <w:footnote w:type="continuationSeparator" w:id="0">
    <w:p w14:paraId="779C93AB" w14:textId="77777777" w:rsidR="007F229A" w:rsidRPr="00FC68B7" w:rsidRDefault="007F229A" w:rsidP="00FC68B7">
      <w:pPr>
        <w:tabs>
          <w:tab w:val="left" w:pos="2155"/>
        </w:tabs>
        <w:spacing w:after="80"/>
        <w:ind w:left="680"/>
        <w:rPr>
          <w:u w:val="single"/>
        </w:rPr>
      </w:pPr>
      <w:r>
        <w:rPr>
          <w:u w:val="single"/>
        </w:rPr>
        <w:tab/>
      </w:r>
    </w:p>
  </w:footnote>
  <w:footnote w:type="continuationNotice" w:id="1">
    <w:p w14:paraId="60D6C9AA" w14:textId="77777777" w:rsidR="007F229A" w:rsidRDefault="007F229A"/>
  </w:footnote>
  <w:footnote w:id="2">
    <w:p w14:paraId="7C7B4F0F" w14:textId="77777777" w:rsidR="00411E0E" w:rsidRPr="00867BC0" w:rsidRDefault="00411E0E" w:rsidP="00411E0E">
      <w:pPr>
        <w:pStyle w:val="FootnoteText"/>
        <w:rPr>
          <w:color w:val="000000" w:themeColor="text1"/>
        </w:rPr>
      </w:pPr>
      <w:r w:rsidRPr="00867BC0">
        <w:rPr>
          <w:color w:val="000000" w:themeColor="text1"/>
        </w:rPr>
        <w:tab/>
      </w:r>
      <w:r w:rsidRPr="00867BC0">
        <w:rPr>
          <w:rStyle w:val="FootnoteReference"/>
          <w:color w:val="000000" w:themeColor="text1"/>
          <w:sz w:val="20"/>
        </w:rPr>
        <w:t>*</w:t>
      </w:r>
      <w:r w:rsidRPr="00867BC0">
        <w:rPr>
          <w:color w:val="000000" w:themeColor="text1"/>
          <w:sz w:val="20"/>
        </w:rPr>
        <w:tab/>
      </w:r>
      <w:r w:rsidRPr="00867BC0">
        <w:rPr>
          <w:color w:val="000000" w:themeColor="text1"/>
        </w:rPr>
        <w:t>Former titles of the Agreement:</w:t>
      </w:r>
    </w:p>
    <w:p w14:paraId="2194DDAC" w14:textId="77777777" w:rsidR="00411E0E" w:rsidRPr="00867BC0" w:rsidRDefault="00411E0E" w:rsidP="00411E0E">
      <w:pPr>
        <w:pStyle w:val="FootnoteText"/>
        <w:rPr>
          <w:color w:val="000000" w:themeColor="text1"/>
          <w:sz w:val="20"/>
        </w:rPr>
      </w:pPr>
      <w:r w:rsidRPr="00867BC0">
        <w:rPr>
          <w:color w:val="000000" w:themeColor="text1"/>
        </w:rPr>
        <w:tab/>
      </w:r>
      <w:r w:rsidRPr="00867BC0">
        <w:rPr>
          <w:color w:val="000000" w:themeColor="text1"/>
        </w:rPr>
        <w:tab/>
      </w:r>
      <w:r w:rsidRPr="00867BC0">
        <w:rPr>
          <w:color w:val="000000" w:themeColor="text1"/>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867BC0" w:rsidRDefault="00411E0E" w:rsidP="00411E0E">
      <w:pPr>
        <w:pStyle w:val="FootnoteText"/>
        <w:rPr>
          <w:color w:val="000000" w:themeColor="text1"/>
        </w:rPr>
      </w:pPr>
      <w:r w:rsidRPr="00867BC0">
        <w:rPr>
          <w:color w:val="000000" w:themeColor="text1"/>
        </w:rPr>
        <w:tab/>
      </w:r>
      <w:r w:rsidRPr="00867BC0">
        <w:rPr>
          <w:color w:val="000000" w:themeColor="text1"/>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6BC0C6F3" w:rsidR="00B701B3" w:rsidRDefault="00B701B3" w:rsidP="00E3267F">
    <w:pPr>
      <w:pStyle w:val="Header"/>
      <w:pBdr>
        <w:bottom w:val="single" w:sz="4" w:space="1" w:color="auto"/>
      </w:pBdr>
    </w:pPr>
    <w:r w:rsidRPr="00D623A7">
      <w:t>E/ECE/324</w:t>
    </w:r>
    <w:r w:rsidRPr="00841EB5">
      <w:t>/Rev.</w:t>
    </w:r>
    <w:r w:rsidR="0001071D">
      <w:t>1</w:t>
    </w:r>
    <w:r w:rsidRPr="00841EB5">
      <w:t>/Add.</w:t>
    </w:r>
    <w:r w:rsidR="0001071D">
      <w:t>4</w:t>
    </w:r>
    <w:r w:rsidR="00F43A63">
      <w:t>5</w:t>
    </w:r>
    <w:r w:rsidRPr="00841EB5">
      <w:t>/Rev.</w:t>
    </w:r>
    <w:r w:rsidR="00F43A63">
      <w:t>6</w:t>
    </w:r>
    <w:r w:rsidRPr="00841EB5">
      <w:t>/Amend.</w:t>
    </w:r>
    <w:r w:rsidR="00E3267F">
      <w:t>7</w:t>
    </w:r>
    <w:r>
      <w:br/>
    </w:r>
    <w:r w:rsidRPr="00D623A7">
      <w:t>E/ECE/TRANS/505</w:t>
    </w:r>
    <w:r w:rsidRPr="00841EB5">
      <w:t>/</w:t>
    </w:r>
    <w:r w:rsidR="0001071D" w:rsidRPr="00841EB5">
      <w:t>Rev.</w:t>
    </w:r>
    <w:r w:rsidR="0001071D">
      <w:t>1</w:t>
    </w:r>
    <w:r w:rsidR="0001071D" w:rsidRPr="00841EB5">
      <w:t>/Add.</w:t>
    </w:r>
    <w:r w:rsidR="0001071D">
      <w:t>4</w:t>
    </w:r>
    <w:r w:rsidR="00F43A63">
      <w:t>5</w:t>
    </w:r>
    <w:r w:rsidR="0001071D" w:rsidRPr="00841EB5">
      <w:t>/Rev.</w:t>
    </w:r>
    <w:r w:rsidR="00F43A63">
      <w:t>6</w:t>
    </w:r>
    <w:r w:rsidR="0001071D" w:rsidRPr="00841EB5">
      <w:t>/Amend.</w:t>
    </w:r>
    <w:r w:rsidR="00E3267F">
      <w:t>7</w:t>
    </w:r>
  </w:p>
  <w:p w14:paraId="5D9D5688" w14:textId="77777777" w:rsidR="00E3267F" w:rsidRDefault="00E3267F" w:rsidP="00E3267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4750AFBA" w:rsidR="00B701B3" w:rsidRDefault="00B701B3" w:rsidP="00776D12">
    <w:pPr>
      <w:pStyle w:val="Header"/>
      <w:jc w:val="right"/>
    </w:pPr>
    <w:r w:rsidRPr="00D623A7">
      <w:t>E/ECE/324/</w:t>
    </w:r>
    <w:r w:rsidR="0001071D">
      <w:t>Rev.1/</w:t>
    </w:r>
    <w:r w:rsidRPr="00D623A7">
      <w:t>Add.</w:t>
    </w:r>
    <w:r w:rsidR="0001071D">
      <w:t>4</w:t>
    </w:r>
    <w:r w:rsidR="00411E0E">
      <w:t>5</w:t>
    </w:r>
    <w:r w:rsidRPr="00D623A7">
      <w:t>/Rev.</w:t>
    </w:r>
    <w:r w:rsidR="00411E0E">
      <w:t>6</w:t>
    </w:r>
    <w:r w:rsidRPr="00D623A7">
      <w:t>/Amend.</w:t>
    </w:r>
    <w:r w:rsidR="00776521">
      <w:t>7</w:t>
    </w:r>
    <w:r>
      <w:br/>
    </w:r>
    <w:r w:rsidRPr="00D623A7">
      <w:t>E/ECE/TRANS/505/</w:t>
    </w:r>
    <w:r w:rsidR="0001071D" w:rsidRPr="0001071D">
      <w:t xml:space="preserve"> </w:t>
    </w:r>
    <w:r w:rsidR="0001071D">
      <w:t>Rev.1/</w:t>
    </w:r>
    <w:r w:rsidR="0001071D" w:rsidRPr="00D623A7">
      <w:t>Add.</w:t>
    </w:r>
    <w:r w:rsidR="0001071D">
      <w:t>4</w:t>
    </w:r>
    <w:r w:rsidR="00411E0E">
      <w:t>5</w:t>
    </w:r>
    <w:r w:rsidR="0001071D" w:rsidRPr="00D623A7">
      <w:t>/Rev.</w:t>
    </w:r>
    <w:r w:rsidR="00411E0E">
      <w:t>6</w:t>
    </w:r>
    <w:r w:rsidR="0001071D" w:rsidRPr="00D623A7">
      <w:t>/Amend.</w:t>
    </w:r>
    <w:r w:rsidR="00776521">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75E6"/>
    <w:rsid w:val="0001071D"/>
    <w:rsid w:val="0003390A"/>
    <w:rsid w:val="00050F6B"/>
    <w:rsid w:val="00072C8C"/>
    <w:rsid w:val="00086287"/>
    <w:rsid w:val="00091607"/>
    <w:rsid w:val="000931C0"/>
    <w:rsid w:val="000B175B"/>
    <w:rsid w:val="000B3A0F"/>
    <w:rsid w:val="000D3A4F"/>
    <w:rsid w:val="000E0415"/>
    <w:rsid w:val="001220B8"/>
    <w:rsid w:val="00134B40"/>
    <w:rsid w:val="001352D9"/>
    <w:rsid w:val="00165E82"/>
    <w:rsid w:val="0019318C"/>
    <w:rsid w:val="001B4B04"/>
    <w:rsid w:val="001C6663"/>
    <w:rsid w:val="001C7895"/>
    <w:rsid w:val="001D26DF"/>
    <w:rsid w:val="001F2961"/>
    <w:rsid w:val="00211E0B"/>
    <w:rsid w:val="002405A7"/>
    <w:rsid w:val="00241B79"/>
    <w:rsid w:val="00271A7F"/>
    <w:rsid w:val="002A1E3A"/>
    <w:rsid w:val="003107FA"/>
    <w:rsid w:val="00312E48"/>
    <w:rsid w:val="003229D8"/>
    <w:rsid w:val="0033745A"/>
    <w:rsid w:val="0035434F"/>
    <w:rsid w:val="003847A9"/>
    <w:rsid w:val="003852F5"/>
    <w:rsid w:val="0039277A"/>
    <w:rsid w:val="003972E0"/>
    <w:rsid w:val="003B1825"/>
    <w:rsid w:val="003C2CC4"/>
    <w:rsid w:val="003C3936"/>
    <w:rsid w:val="003D4B23"/>
    <w:rsid w:val="003F1ED3"/>
    <w:rsid w:val="00411E0E"/>
    <w:rsid w:val="004325CB"/>
    <w:rsid w:val="00440758"/>
    <w:rsid w:val="00445C26"/>
    <w:rsid w:val="00446DE4"/>
    <w:rsid w:val="004A41CA"/>
    <w:rsid w:val="004D2F29"/>
    <w:rsid w:val="004E3FEB"/>
    <w:rsid w:val="00503228"/>
    <w:rsid w:val="00505384"/>
    <w:rsid w:val="0052276D"/>
    <w:rsid w:val="00525941"/>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6521"/>
    <w:rsid w:val="00776B7B"/>
    <w:rsid w:val="00776D12"/>
    <w:rsid w:val="007A4843"/>
    <w:rsid w:val="007B6BA5"/>
    <w:rsid w:val="007C3390"/>
    <w:rsid w:val="007C4F4B"/>
    <w:rsid w:val="007F0B83"/>
    <w:rsid w:val="007F229A"/>
    <w:rsid w:val="007F6611"/>
    <w:rsid w:val="008175E9"/>
    <w:rsid w:val="008242D7"/>
    <w:rsid w:val="00827E05"/>
    <w:rsid w:val="008311A3"/>
    <w:rsid w:val="00841EB5"/>
    <w:rsid w:val="008518D5"/>
    <w:rsid w:val="00867BC0"/>
    <w:rsid w:val="00871FD5"/>
    <w:rsid w:val="008979B1"/>
    <w:rsid w:val="008A6B25"/>
    <w:rsid w:val="008A6C4F"/>
    <w:rsid w:val="008C3804"/>
    <w:rsid w:val="008E0E46"/>
    <w:rsid w:val="008E21E1"/>
    <w:rsid w:val="00907AD2"/>
    <w:rsid w:val="00963CBA"/>
    <w:rsid w:val="00974A8D"/>
    <w:rsid w:val="00977DE1"/>
    <w:rsid w:val="0098086E"/>
    <w:rsid w:val="00991261"/>
    <w:rsid w:val="009952F1"/>
    <w:rsid w:val="009F015A"/>
    <w:rsid w:val="009F3A17"/>
    <w:rsid w:val="00A1427D"/>
    <w:rsid w:val="00A22277"/>
    <w:rsid w:val="00A41529"/>
    <w:rsid w:val="00A569D6"/>
    <w:rsid w:val="00A72F22"/>
    <w:rsid w:val="00A748A6"/>
    <w:rsid w:val="00A85956"/>
    <w:rsid w:val="00A879A4"/>
    <w:rsid w:val="00AF19D5"/>
    <w:rsid w:val="00B26EE5"/>
    <w:rsid w:val="00B30179"/>
    <w:rsid w:val="00B32121"/>
    <w:rsid w:val="00B33EC0"/>
    <w:rsid w:val="00B701B3"/>
    <w:rsid w:val="00B81E12"/>
    <w:rsid w:val="00BC2683"/>
    <w:rsid w:val="00BC358D"/>
    <w:rsid w:val="00BC74E9"/>
    <w:rsid w:val="00BD2146"/>
    <w:rsid w:val="00BD538F"/>
    <w:rsid w:val="00BE4F74"/>
    <w:rsid w:val="00BE555E"/>
    <w:rsid w:val="00BE618E"/>
    <w:rsid w:val="00BF4A36"/>
    <w:rsid w:val="00C17699"/>
    <w:rsid w:val="00C41A28"/>
    <w:rsid w:val="00C463DD"/>
    <w:rsid w:val="00C711C7"/>
    <w:rsid w:val="00C71A58"/>
    <w:rsid w:val="00C745C3"/>
    <w:rsid w:val="00C84414"/>
    <w:rsid w:val="00CA5BA5"/>
    <w:rsid w:val="00CE4A8F"/>
    <w:rsid w:val="00CE5E33"/>
    <w:rsid w:val="00D2031B"/>
    <w:rsid w:val="00D224CB"/>
    <w:rsid w:val="00D25FE2"/>
    <w:rsid w:val="00D317BB"/>
    <w:rsid w:val="00D43252"/>
    <w:rsid w:val="00D5540C"/>
    <w:rsid w:val="00D623A7"/>
    <w:rsid w:val="00D6614F"/>
    <w:rsid w:val="00D67DDC"/>
    <w:rsid w:val="00D77324"/>
    <w:rsid w:val="00D978C6"/>
    <w:rsid w:val="00DA67AD"/>
    <w:rsid w:val="00DB5D0F"/>
    <w:rsid w:val="00DC3F07"/>
    <w:rsid w:val="00DF12F7"/>
    <w:rsid w:val="00DF3A2D"/>
    <w:rsid w:val="00E02C81"/>
    <w:rsid w:val="00E130AB"/>
    <w:rsid w:val="00E313A7"/>
    <w:rsid w:val="00E3267F"/>
    <w:rsid w:val="00E506F0"/>
    <w:rsid w:val="00E53330"/>
    <w:rsid w:val="00E7260F"/>
    <w:rsid w:val="00E87921"/>
    <w:rsid w:val="00E96630"/>
    <w:rsid w:val="00E974DF"/>
    <w:rsid w:val="00EA0ED6"/>
    <w:rsid w:val="00EA264E"/>
    <w:rsid w:val="00ED7A2A"/>
    <w:rsid w:val="00EF1D7F"/>
    <w:rsid w:val="00F13E6B"/>
    <w:rsid w:val="00F43A63"/>
    <w:rsid w:val="00F44D3A"/>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uiPriority w:val="99"/>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1F4B4-4597-469A-9857-9CEFF1C2E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63908-1C7F-4FD5-9B94-8A99BC889254}">
  <ds:schemaRefs>
    <ds:schemaRef ds:uri="http://schemas.microsoft.com/sharepoint/v3/contenttype/forms"/>
  </ds:schemaRefs>
</ds:datastoreItem>
</file>

<file path=customXml/itemProps3.xml><?xml version="1.0" encoding="utf-8"?>
<ds:datastoreItem xmlns:ds="http://schemas.openxmlformats.org/officeDocument/2006/customXml" ds:itemID="{156F0D62-EDA9-4515-9803-78130C6D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Nadiya Dzyubynska</cp:lastModifiedBy>
  <cp:revision>3</cp:revision>
  <cp:lastPrinted>2015-05-06T11:39:00Z</cp:lastPrinted>
  <dcterms:created xsi:type="dcterms:W3CDTF">2021-11-29T16:43:00Z</dcterms:created>
  <dcterms:modified xsi:type="dcterms:W3CDTF">2021-11-29T16:44:00Z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2451200</vt:r8>
  </property>
</Properties>
</file>