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D118C" w:rsidRPr="000F4F06" w14:paraId="313ED792" w14:textId="77777777" w:rsidTr="00083D75">
        <w:trPr>
          <w:cantSplit/>
          <w:trHeight w:hRule="exact" w:val="851"/>
        </w:trPr>
        <w:tc>
          <w:tcPr>
            <w:tcW w:w="1276" w:type="dxa"/>
            <w:tcBorders>
              <w:bottom w:val="single" w:sz="4" w:space="0" w:color="auto"/>
            </w:tcBorders>
            <w:vAlign w:val="bottom"/>
          </w:tcPr>
          <w:p w14:paraId="3E11237F" w14:textId="77777777" w:rsidR="00CD118C" w:rsidRPr="000F4F06" w:rsidRDefault="00CD118C" w:rsidP="00CD118C">
            <w:pPr>
              <w:outlineLvl w:val="5"/>
            </w:pPr>
          </w:p>
        </w:tc>
        <w:tc>
          <w:tcPr>
            <w:tcW w:w="8363" w:type="dxa"/>
            <w:gridSpan w:val="2"/>
            <w:tcBorders>
              <w:bottom w:val="single" w:sz="4" w:space="0" w:color="auto"/>
            </w:tcBorders>
            <w:vAlign w:val="bottom"/>
          </w:tcPr>
          <w:p w14:paraId="328B9E26" w14:textId="5A5C0E45" w:rsidR="00CD118C" w:rsidRPr="000F4F06" w:rsidRDefault="00CD118C" w:rsidP="00CD118C">
            <w:pPr>
              <w:jc w:val="right"/>
            </w:pPr>
            <w:r w:rsidRPr="000F4F06">
              <w:rPr>
                <w:b/>
                <w:sz w:val="40"/>
                <w:szCs w:val="40"/>
              </w:rPr>
              <w:t>INF.</w:t>
            </w:r>
            <w:r>
              <w:rPr>
                <w:b/>
                <w:sz w:val="40"/>
                <w:szCs w:val="40"/>
              </w:rPr>
              <w:t>26</w:t>
            </w:r>
          </w:p>
        </w:tc>
      </w:tr>
      <w:tr w:rsidR="00CD118C" w:rsidRPr="000F4F06" w14:paraId="411D3206" w14:textId="77777777" w:rsidTr="00664D03">
        <w:trPr>
          <w:cantSplit/>
          <w:trHeight w:hRule="exact" w:val="3696"/>
        </w:trPr>
        <w:tc>
          <w:tcPr>
            <w:tcW w:w="6804" w:type="dxa"/>
            <w:gridSpan w:val="2"/>
            <w:tcBorders>
              <w:top w:val="single" w:sz="4" w:space="0" w:color="auto"/>
              <w:bottom w:val="single" w:sz="12" w:space="0" w:color="auto"/>
            </w:tcBorders>
          </w:tcPr>
          <w:p w14:paraId="52E0C59E" w14:textId="77777777" w:rsidR="00CD118C" w:rsidRPr="00BB3493" w:rsidRDefault="00CD118C" w:rsidP="00CD118C">
            <w:pPr>
              <w:spacing w:before="120"/>
              <w:rPr>
                <w:b/>
                <w:sz w:val="28"/>
                <w:szCs w:val="28"/>
                <w:lang w:val="fr-FR"/>
              </w:rPr>
            </w:pPr>
            <w:r w:rsidRPr="00BB3493">
              <w:rPr>
                <w:b/>
                <w:sz w:val="28"/>
                <w:szCs w:val="28"/>
                <w:lang w:val="fr-FR"/>
              </w:rPr>
              <w:t>Commission économique pour l’Europe</w:t>
            </w:r>
          </w:p>
          <w:p w14:paraId="140A267A" w14:textId="77777777" w:rsidR="00CD118C" w:rsidRPr="00BB3493" w:rsidRDefault="00CD118C" w:rsidP="00CD118C">
            <w:pPr>
              <w:spacing w:before="120"/>
              <w:rPr>
                <w:sz w:val="28"/>
                <w:szCs w:val="28"/>
                <w:lang w:val="fr-FR"/>
              </w:rPr>
            </w:pPr>
            <w:r w:rsidRPr="00BB3493">
              <w:rPr>
                <w:sz w:val="28"/>
                <w:szCs w:val="28"/>
                <w:lang w:val="fr-FR"/>
              </w:rPr>
              <w:t>Comité des transports intérieurs</w:t>
            </w:r>
          </w:p>
          <w:p w14:paraId="6472D542" w14:textId="77777777" w:rsidR="00CD118C" w:rsidRPr="00BB3493" w:rsidRDefault="00CD118C" w:rsidP="00CD118C">
            <w:pPr>
              <w:spacing w:before="120"/>
              <w:rPr>
                <w:b/>
                <w:sz w:val="24"/>
                <w:szCs w:val="24"/>
                <w:lang w:val="fr-FR"/>
              </w:rPr>
            </w:pPr>
            <w:r w:rsidRPr="00BB3493">
              <w:rPr>
                <w:b/>
                <w:sz w:val="24"/>
                <w:szCs w:val="24"/>
                <w:lang w:val="fr-FR"/>
              </w:rPr>
              <w:t>Groupe de travail des transports de marchandises dangereuses</w:t>
            </w:r>
          </w:p>
          <w:p w14:paraId="246C34FF" w14:textId="77777777" w:rsidR="00CD118C" w:rsidRPr="00BB3493" w:rsidRDefault="00CD118C" w:rsidP="00CD118C">
            <w:pPr>
              <w:spacing w:before="120"/>
              <w:rPr>
                <w:b/>
                <w:lang w:val="fr-FR"/>
              </w:rPr>
            </w:pPr>
            <w:r w:rsidRPr="00BB3493">
              <w:rPr>
                <w:b/>
                <w:lang w:val="fr-FR"/>
              </w:rPr>
              <w:t>Réunion commune d’experts sur le Règlement annexé</w:t>
            </w:r>
            <w:r w:rsidRPr="00BB3493">
              <w:rPr>
                <w:b/>
                <w:lang w:val="fr-FR"/>
              </w:rPr>
              <w:br/>
              <w:t>à l’Accord européen relatif au transport international</w:t>
            </w:r>
            <w:r w:rsidRPr="00BB3493">
              <w:rPr>
                <w:b/>
                <w:lang w:val="fr-FR"/>
              </w:rPr>
              <w:br/>
              <w:t xml:space="preserve">des marchandises </w:t>
            </w:r>
            <w:r w:rsidRPr="00BB3493">
              <w:rPr>
                <w:b/>
                <w:bCs/>
                <w:iCs/>
                <w:lang w:val="fr-FR"/>
              </w:rPr>
              <w:t>dangereuses par voies de navigation</w:t>
            </w:r>
            <w:r w:rsidRPr="00BB3493">
              <w:rPr>
                <w:b/>
                <w:bCs/>
                <w:iCs/>
                <w:lang w:val="fr-FR"/>
              </w:rPr>
              <w:br/>
              <w:t xml:space="preserve">intérieures (ADN) </w:t>
            </w:r>
            <w:r w:rsidRPr="00BB3493">
              <w:rPr>
                <w:b/>
                <w:bCs/>
                <w:lang w:val="fr-FR"/>
              </w:rPr>
              <w:t>(Comité de sécurité de l’ADN)</w:t>
            </w:r>
          </w:p>
          <w:p w14:paraId="6639E351" w14:textId="77777777" w:rsidR="00CD118C" w:rsidRPr="00BB3493" w:rsidRDefault="00CD118C" w:rsidP="00CD118C">
            <w:pPr>
              <w:spacing w:before="120"/>
              <w:rPr>
                <w:b/>
                <w:lang w:val="fr-CH"/>
              </w:rPr>
            </w:pPr>
            <w:r w:rsidRPr="00BB3493">
              <w:rPr>
                <w:b/>
                <w:lang w:val="fr-CH"/>
              </w:rPr>
              <w:t>Trente-</w:t>
            </w:r>
            <w:r>
              <w:rPr>
                <w:b/>
                <w:lang w:val="fr-CH"/>
              </w:rPr>
              <w:t>septième</w:t>
            </w:r>
            <w:r w:rsidRPr="00BB3493">
              <w:rPr>
                <w:b/>
                <w:lang w:val="fr-CH"/>
              </w:rPr>
              <w:t xml:space="preserve"> session</w:t>
            </w:r>
          </w:p>
          <w:p w14:paraId="55D27B9B" w14:textId="77777777" w:rsidR="00CD118C" w:rsidRPr="00BB3493" w:rsidRDefault="00CD118C" w:rsidP="00CD118C">
            <w:pPr>
              <w:rPr>
                <w:lang w:val="fr-CH"/>
              </w:rPr>
            </w:pPr>
            <w:r w:rsidRPr="00BB3493">
              <w:rPr>
                <w:lang w:val="fr-CH"/>
              </w:rPr>
              <w:t>Genève, 2</w:t>
            </w:r>
            <w:r>
              <w:rPr>
                <w:lang w:val="fr-CH"/>
              </w:rPr>
              <w:t>5</w:t>
            </w:r>
            <w:r w:rsidRPr="00BB3493">
              <w:rPr>
                <w:lang w:val="fr-CH"/>
              </w:rPr>
              <w:t>-2</w:t>
            </w:r>
            <w:r>
              <w:rPr>
                <w:lang w:val="fr-CH"/>
              </w:rPr>
              <w:t>9</w:t>
            </w:r>
            <w:r w:rsidRPr="00BB3493">
              <w:rPr>
                <w:lang w:val="fr-CH"/>
              </w:rPr>
              <w:t xml:space="preserve"> janvier 20</w:t>
            </w:r>
            <w:r>
              <w:rPr>
                <w:lang w:val="fr-CH"/>
              </w:rPr>
              <w:t>21</w:t>
            </w:r>
          </w:p>
          <w:p w14:paraId="06DCD9B4" w14:textId="3FBDE790" w:rsidR="00CD118C" w:rsidRPr="00BB3493" w:rsidRDefault="00CD118C" w:rsidP="00CD118C">
            <w:pPr>
              <w:rPr>
                <w:lang w:val="fr-CH"/>
              </w:rPr>
            </w:pPr>
            <w:r w:rsidRPr="00BB3493">
              <w:rPr>
                <w:lang w:val="fr-CH"/>
              </w:rPr>
              <w:t xml:space="preserve">Point </w:t>
            </w:r>
            <w:r w:rsidR="00DC66CE">
              <w:rPr>
                <w:lang w:val="fr-CH"/>
              </w:rPr>
              <w:t>3)</w:t>
            </w:r>
            <w:r w:rsidRPr="00BB3493">
              <w:rPr>
                <w:lang w:val="fr-CH"/>
              </w:rPr>
              <w:t xml:space="preserve"> de l’ordre du jour provisoire</w:t>
            </w:r>
          </w:p>
          <w:p w14:paraId="6198938C" w14:textId="45ADB366" w:rsidR="00CD118C" w:rsidRPr="00AA5BBD" w:rsidRDefault="00664D03" w:rsidP="00664D03">
            <w:pPr>
              <w:rPr>
                <w:lang w:val="fr-CH"/>
              </w:rPr>
            </w:pPr>
            <w:r w:rsidRPr="00664D03">
              <w:rPr>
                <w:b/>
                <w:bCs/>
                <w:lang w:val="fr-CH"/>
              </w:rPr>
              <w:t xml:space="preserve">Questions découlant des travaux d’organes </w:t>
            </w:r>
            <w:r w:rsidRPr="00664D03">
              <w:rPr>
                <w:b/>
                <w:bCs/>
                <w:lang w:val="fr-CH"/>
              </w:rPr>
              <w:br/>
              <w:t>des Nations Unies ou d’autres organisations</w:t>
            </w:r>
          </w:p>
        </w:tc>
        <w:tc>
          <w:tcPr>
            <w:tcW w:w="2835" w:type="dxa"/>
            <w:tcBorders>
              <w:top w:val="single" w:sz="4" w:space="0" w:color="auto"/>
              <w:bottom w:val="single" w:sz="12" w:space="0" w:color="auto"/>
            </w:tcBorders>
          </w:tcPr>
          <w:p w14:paraId="356154CD" w14:textId="77777777" w:rsidR="00CD118C" w:rsidRPr="00AA5BBD" w:rsidRDefault="00CD118C" w:rsidP="00CD118C">
            <w:pPr>
              <w:tabs>
                <w:tab w:val="right" w:pos="2835"/>
              </w:tabs>
              <w:spacing w:before="120"/>
              <w:rPr>
                <w:lang w:val="fr-CH"/>
              </w:rPr>
            </w:pPr>
            <w:r w:rsidRPr="00AA5BBD">
              <w:rPr>
                <w:lang w:val="fr-CH"/>
              </w:rPr>
              <w:tab/>
            </w:r>
          </w:p>
          <w:p w14:paraId="71FF085F" w14:textId="77777777" w:rsidR="00CD118C" w:rsidRPr="00AA5BBD" w:rsidRDefault="00CD118C" w:rsidP="00CD118C">
            <w:pPr>
              <w:spacing w:before="120"/>
              <w:rPr>
                <w:lang w:val="fr-CH"/>
              </w:rPr>
            </w:pPr>
          </w:p>
          <w:p w14:paraId="5FF124CA" w14:textId="4BED2D9C" w:rsidR="00CD118C" w:rsidRPr="000F4F06" w:rsidRDefault="00CD118C" w:rsidP="00CD118C">
            <w:pPr>
              <w:spacing w:before="120"/>
            </w:pPr>
            <w:r>
              <w:t xml:space="preserve">22 </w:t>
            </w:r>
            <w:proofErr w:type="spellStart"/>
            <w:r>
              <w:t>janvier</w:t>
            </w:r>
            <w:proofErr w:type="spellEnd"/>
            <w:r>
              <w:t xml:space="preserve"> 2021</w:t>
            </w:r>
            <w:r w:rsidRPr="000F4F06">
              <w:br/>
            </w:r>
            <w:proofErr w:type="spellStart"/>
            <w:r>
              <w:t>Français</w:t>
            </w:r>
            <w:proofErr w:type="spellEnd"/>
          </w:p>
        </w:tc>
      </w:tr>
    </w:tbl>
    <w:p w14:paraId="6A4B4029" w14:textId="01C70B51" w:rsidR="00661AEB" w:rsidRPr="00AA5BBD" w:rsidRDefault="00F81B55" w:rsidP="00531674">
      <w:pPr>
        <w:pStyle w:val="HChG"/>
        <w:rPr>
          <w:sz w:val="32"/>
          <w:szCs w:val="24"/>
          <w:lang w:val="fr-CH"/>
        </w:rPr>
      </w:pPr>
      <w:r w:rsidRPr="00AA5BBD">
        <w:rPr>
          <w:lang w:val="fr-CH"/>
        </w:rPr>
        <w:tab/>
      </w:r>
      <w:r w:rsidRPr="00AA5BBD">
        <w:rPr>
          <w:lang w:val="fr-CH"/>
        </w:rPr>
        <w:tab/>
      </w:r>
      <w:r w:rsidR="00531674" w:rsidRPr="00531674">
        <w:rPr>
          <w:bCs/>
          <w:sz w:val="32"/>
          <w:lang w:val="fr-CH"/>
        </w:rPr>
        <w:t xml:space="preserve">Intervention </w:t>
      </w:r>
      <w:r w:rsidR="00CA10D4">
        <w:rPr>
          <w:bCs/>
          <w:sz w:val="32"/>
          <w:lang w:val="fr-CH"/>
        </w:rPr>
        <w:t>du</w:t>
      </w:r>
      <w:r w:rsidR="00531674" w:rsidRPr="00531674">
        <w:rPr>
          <w:bCs/>
          <w:sz w:val="32"/>
          <w:lang w:val="fr-CH"/>
        </w:rPr>
        <w:t xml:space="preserve"> conseiller du Secrétariat de la </w:t>
      </w:r>
      <w:r w:rsidR="00AA5BBD" w:rsidRPr="00AA5BBD">
        <w:rPr>
          <w:lang w:val="fr-CH"/>
        </w:rPr>
        <w:t>Commission du Danube</w:t>
      </w:r>
      <w:r w:rsidR="00531674" w:rsidRPr="00531674">
        <w:rPr>
          <w:bCs/>
          <w:sz w:val="32"/>
          <w:lang w:val="fr-CH"/>
        </w:rPr>
        <w:t xml:space="preserve"> lors de la réunion sur l’ADN (CEE-ONU)</w:t>
      </w:r>
    </w:p>
    <w:p w14:paraId="63E967DE" w14:textId="6F69AFBD" w:rsidR="00661AEB" w:rsidRPr="00AA5BBD" w:rsidRDefault="00661AEB" w:rsidP="00661AEB">
      <w:pPr>
        <w:pStyle w:val="H1G"/>
        <w:rPr>
          <w:lang w:val="fr-CH"/>
        </w:rPr>
      </w:pPr>
      <w:r w:rsidRPr="00AA5BBD">
        <w:rPr>
          <w:lang w:val="fr-CH"/>
        </w:rPr>
        <w:tab/>
      </w:r>
      <w:r w:rsidRPr="00AA5BBD">
        <w:rPr>
          <w:lang w:val="fr-CH"/>
        </w:rPr>
        <w:tab/>
      </w:r>
      <w:r w:rsidRPr="00AA5BBD">
        <w:rPr>
          <w:lang w:val="fr-CH"/>
        </w:rPr>
        <w:tab/>
      </w:r>
      <w:r w:rsidR="00531674" w:rsidRPr="00AA5BBD">
        <w:rPr>
          <w:lang w:val="fr-CH"/>
        </w:rPr>
        <w:t xml:space="preserve">Transmis par la Commission </w:t>
      </w:r>
      <w:r w:rsidR="009C3A1C" w:rsidRPr="00AA5BBD">
        <w:rPr>
          <w:lang w:val="fr-CH"/>
        </w:rPr>
        <w:t>du Danube</w:t>
      </w:r>
      <w:bookmarkStart w:id="0" w:name="_GoBack"/>
      <w:bookmarkEnd w:id="0"/>
    </w:p>
    <w:p w14:paraId="0ECE9B21" w14:textId="77777777" w:rsidR="009560AA" w:rsidRPr="009560AA" w:rsidRDefault="009560AA" w:rsidP="009560AA">
      <w:pPr>
        <w:pStyle w:val="SingleTxtG"/>
        <w:rPr>
          <w:noProof/>
          <w:lang w:val="fr-CH"/>
        </w:rPr>
      </w:pPr>
      <w:r w:rsidRPr="009560AA">
        <w:rPr>
          <w:noProof/>
          <w:lang w:val="fr-CH"/>
        </w:rPr>
        <w:t>Mesdames et Messieurs,</w:t>
      </w:r>
    </w:p>
    <w:p w14:paraId="602D228D" w14:textId="7C617B12" w:rsidR="009560AA" w:rsidRPr="009560AA" w:rsidRDefault="009560AA" w:rsidP="009560AA">
      <w:pPr>
        <w:pStyle w:val="SingleTxtG"/>
        <w:rPr>
          <w:noProof/>
          <w:lang w:val="fr-CH"/>
        </w:rPr>
      </w:pPr>
      <w:r>
        <w:rPr>
          <w:noProof/>
          <w:lang w:val="fr-CH"/>
        </w:rPr>
        <w:tab/>
      </w:r>
      <w:r w:rsidRPr="009560AA">
        <w:rPr>
          <w:noProof/>
          <w:lang w:val="fr-CH"/>
        </w:rPr>
        <w:tab/>
        <w:t xml:space="preserve">J’ai l’honneur de communiquer que le Secrétariat de la Commission du Danube conduit une analyse systématique des prescriptions spéciales des autorités compétentes des Etats membres de la CD en matière de restrictions de la navigation sur le Danube ainsi que des communications de la Commission européenne, de la Commission économique pour l’Europe de l’ONU, des commissions fluviales ainsi que de l’OMI, liées aux mesures relatives à la lutte contre la dissémination du coronavirus COVID-19. </w:t>
      </w:r>
    </w:p>
    <w:p w14:paraId="37EAB930" w14:textId="4144B22A" w:rsidR="009560AA" w:rsidRPr="009560AA" w:rsidRDefault="009560AA" w:rsidP="009560AA">
      <w:pPr>
        <w:pStyle w:val="SingleTxtG"/>
        <w:rPr>
          <w:noProof/>
          <w:lang w:val="fr-CH"/>
        </w:rPr>
      </w:pPr>
      <w:r>
        <w:rPr>
          <w:noProof/>
          <w:lang w:val="fr-CH"/>
        </w:rPr>
        <w:tab/>
      </w:r>
      <w:r w:rsidRPr="009560AA">
        <w:rPr>
          <w:noProof/>
          <w:lang w:val="fr-CH"/>
        </w:rPr>
        <w:tab/>
        <w:t>Sur le site de la Commission du Danube est publié un tableau actualisé en permanence avec l’indication des dispositions arrivées des autorités compétentes des Etats membres de la CD et des administrations nationales, y compris des Avis aux navigateurs.</w:t>
      </w:r>
    </w:p>
    <w:p w14:paraId="23D635FC" w14:textId="77777777" w:rsidR="009560AA" w:rsidRPr="009560AA" w:rsidRDefault="009560AA" w:rsidP="009560AA">
      <w:pPr>
        <w:pStyle w:val="SingleTxtG"/>
        <w:ind w:firstLine="567"/>
        <w:rPr>
          <w:noProof/>
          <w:lang w:val="fr-CH"/>
        </w:rPr>
      </w:pPr>
      <w:r w:rsidRPr="009560AA">
        <w:rPr>
          <w:noProof/>
          <w:lang w:val="fr-CH"/>
        </w:rPr>
        <w:t>L’analyse conduite par la Commission du Danube offre la possibilité de distinguer plusieurs aspects généraux permettant de rassembler les actions de divers départements des Etats membres de la CD dans un système coordonné établi et d’élaborer une position commune pour un certain temps, suffisant pour établir les actions suivantes de la Commission du Danube pouvant faciliter le travail des administrations nationales et des équipages des bateaux.</w:t>
      </w:r>
    </w:p>
    <w:p w14:paraId="4FC4B42D" w14:textId="4D508B4D" w:rsidR="009560AA" w:rsidRPr="009560AA" w:rsidRDefault="009560AA" w:rsidP="009560AA">
      <w:pPr>
        <w:pStyle w:val="SingleTxtG"/>
        <w:rPr>
          <w:b/>
          <w:bCs/>
          <w:noProof/>
          <w:lang w:val="fr-CH"/>
        </w:rPr>
      </w:pPr>
      <w:r>
        <w:rPr>
          <w:b/>
          <w:bCs/>
          <w:noProof/>
          <w:lang w:val="fr-CH"/>
        </w:rPr>
        <w:t>1.</w:t>
      </w:r>
      <w:r>
        <w:rPr>
          <w:b/>
          <w:bCs/>
          <w:noProof/>
          <w:lang w:val="fr-CH"/>
        </w:rPr>
        <w:tab/>
      </w:r>
      <w:r w:rsidRPr="009560AA">
        <w:rPr>
          <w:b/>
          <w:bCs/>
          <w:noProof/>
          <w:lang w:val="fr-CH"/>
        </w:rPr>
        <w:t xml:space="preserve">Prolongation (de la validité) des documents de service de l’équipage  </w:t>
      </w:r>
    </w:p>
    <w:p w14:paraId="00178F1D" w14:textId="3536C781" w:rsidR="009560AA" w:rsidRPr="009560AA" w:rsidRDefault="009560AA" w:rsidP="009560AA">
      <w:pPr>
        <w:pStyle w:val="SingleTxtG"/>
        <w:rPr>
          <w:noProof/>
          <w:lang w:val="fr-CH"/>
        </w:rPr>
      </w:pPr>
      <w:r>
        <w:rPr>
          <w:bCs/>
          <w:iCs/>
          <w:noProof/>
          <w:lang w:val="fr-CH"/>
        </w:rPr>
        <w:tab/>
      </w:r>
      <w:r w:rsidRPr="009560AA">
        <w:rPr>
          <w:bCs/>
          <w:iCs/>
          <w:noProof/>
          <w:lang w:val="fr-CH"/>
        </w:rPr>
        <w:tab/>
        <w:t xml:space="preserve">Pour les membres des équipages n’étant pas à même de prolonger la validité de leurs documents de service attestant les compétences requises pour accomplir leur activité à bord, sont proposées des actions (la proposition de l’Autorité navale du Ministère des transports, de l’infrastructure et des communications de Roumanie </w:t>
      </w:r>
      <w:r w:rsidRPr="009560AA">
        <w:rPr>
          <w:i/>
          <w:noProof/>
          <w:lang w:val="fr-CH"/>
        </w:rPr>
        <w:t>ANR</w:t>
      </w:r>
      <w:r w:rsidRPr="009560AA">
        <w:rPr>
          <w:noProof/>
          <w:lang w:val="fr-CH"/>
        </w:rPr>
        <w:t xml:space="preserve"> 26065/20.03.2020 a été prise comme base).</w:t>
      </w:r>
    </w:p>
    <w:p w14:paraId="2007A88B" w14:textId="556EDCF9" w:rsidR="009560AA" w:rsidRPr="009560AA" w:rsidRDefault="009560AA" w:rsidP="009560AA">
      <w:pPr>
        <w:pStyle w:val="SingleTxtG"/>
        <w:rPr>
          <w:lang w:val="fr-CH"/>
        </w:rPr>
      </w:pPr>
      <w:r>
        <w:rPr>
          <w:b/>
          <w:bCs/>
          <w:lang w:val="fr-CH"/>
        </w:rPr>
        <w:t>2.</w:t>
      </w:r>
      <w:r>
        <w:rPr>
          <w:b/>
          <w:bCs/>
          <w:lang w:val="fr-CH"/>
        </w:rPr>
        <w:tab/>
      </w:r>
      <w:r w:rsidRPr="009560AA">
        <w:rPr>
          <w:b/>
          <w:bCs/>
          <w:lang w:val="fr-CH"/>
        </w:rPr>
        <w:t>Assurance de la supplétivité des membres d’équipage</w:t>
      </w:r>
    </w:p>
    <w:p w14:paraId="1563D5E8" w14:textId="06440701" w:rsidR="009560AA" w:rsidRPr="009560AA" w:rsidRDefault="009560AA" w:rsidP="009560AA">
      <w:pPr>
        <w:pStyle w:val="SingleTxtG"/>
        <w:rPr>
          <w:lang w:val="fr-CH"/>
        </w:rPr>
      </w:pPr>
      <w:r>
        <w:rPr>
          <w:lang w:val="fr-CH"/>
        </w:rPr>
        <w:tab/>
      </w:r>
      <w:r w:rsidRPr="009560AA">
        <w:rPr>
          <w:lang w:val="fr-CH"/>
        </w:rPr>
        <w:tab/>
        <w:t>Lors de l’absence à bord en raison d’interdictions de voyage, impossibilité d’arriver à bord, maladie et autres raisons, afin de poursuivre le déplacement du bateau, admettre le remplacement des membres d’équipage dans les limites de leur nombre minimum acceptable, en assurant les qualifications appropriées.</w:t>
      </w:r>
    </w:p>
    <w:p w14:paraId="7558B23E" w14:textId="17900C6E" w:rsidR="009560AA" w:rsidRPr="009560AA" w:rsidRDefault="009560AA" w:rsidP="009560AA">
      <w:pPr>
        <w:pStyle w:val="SingleTxtG"/>
        <w:rPr>
          <w:b/>
          <w:bCs/>
          <w:lang w:val="fr-CH"/>
        </w:rPr>
      </w:pPr>
      <w:r>
        <w:rPr>
          <w:b/>
          <w:bCs/>
          <w:noProof/>
          <w:lang w:val="fr-CH"/>
        </w:rPr>
        <w:t>3.</w:t>
      </w:r>
      <w:r>
        <w:rPr>
          <w:b/>
          <w:bCs/>
          <w:noProof/>
          <w:lang w:val="fr-CH"/>
        </w:rPr>
        <w:tab/>
      </w:r>
      <w:r w:rsidRPr="009560AA">
        <w:rPr>
          <w:b/>
          <w:bCs/>
          <w:noProof/>
          <w:lang w:val="fr-CH"/>
        </w:rPr>
        <w:t>Prolongation (de la validité) des attestations de bord</w:t>
      </w:r>
    </w:p>
    <w:p w14:paraId="2E598929" w14:textId="1F55FB56" w:rsidR="009560AA" w:rsidRPr="009560AA" w:rsidRDefault="009560AA" w:rsidP="009560AA">
      <w:pPr>
        <w:pStyle w:val="SingleTxtG"/>
        <w:rPr>
          <w:lang w:val="fr-CH"/>
        </w:rPr>
      </w:pPr>
      <w:r>
        <w:rPr>
          <w:lang w:val="fr-CH"/>
        </w:rPr>
        <w:tab/>
      </w:r>
      <w:r w:rsidRPr="009560AA">
        <w:rPr>
          <w:lang w:val="fr-CH"/>
        </w:rPr>
        <w:tab/>
        <w:t xml:space="preserve">Il convient d’avoir en vue le fait que les Certificats d’agrément à la navigation peuvent être prolongés sur demande pour un délai allant jusqu’à un an sans visite et qu’en cas de </w:t>
      </w:r>
      <w:r w:rsidRPr="009560AA">
        <w:rPr>
          <w:lang w:val="fr-CH"/>
        </w:rPr>
        <w:lastRenderedPageBreak/>
        <w:t>demande de prolongation il convient d’observer des conditions assurant inconditionnellement la sûreté de la navigation.</w:t>
      </w:r>
    </w:p>
    <w:p w14:paraId="789F302E" w14:textId="1B2E78EB" w:rsidR="009560AA" w:rsidRPr="009560AA" w:rsidRDefault="009560AA" w:rsidP="009560AA">
      <w:pPr>
        <w:pStyle w:val="SingleTxtG"/>
        <w:rPr>
          <w:b/>
          <w:bCs/>
          <w:lang w:val="fr-CH"/>
        </w:rPr>
      </w:pPr>
      <w:r>
        <w:rPr>
          <w:b/>
          <w:bCs/>
          <w:lang w:val="fr-CH"/>
        </w:rPr>
        <w:t>4.</w:t>
      </w:r>
      <w:r>
        <w:rPr>
          <w:b/>
          <w:bCs/>
          <w:lang w:val="fr-CH"/>
        </w:rPr>
        <w:tab/>
      </w:r>
      <w:r w:rsidRPr="009560AA">
        <w:rPr>
          <w:b/>
          <w:bCs/>
          <w:lang w:val="fr-CH"/>
        </w:rPr>
        <w:t>Prolongation du délai de validité des attestations relatives aux connaissances particulières de l’ADN</w:t>
      </w:r>
    </w:p>
    <w:p w14:paraId="70C285EC" w14:textId="0AE6FBFD" w:rsidR="009560AA" w:rsidRPr="009560AA" w:rsidRDefault="009560AA" w:rsidP="009560AA">
      <w:pPr>
        <w:pStyle w:val="SingleTxtG"/>
        <w:rPr>
          <w:lang w:val="fr-CH"/>
        </w:rPr>
      </w:pPr>
      <w:r>
        <w:rPr>
          <w:lang w:val="fr-CH"/>
        </w:rPr>
        <w:tab/>
      </w:r>
      <w:r w:rsidRPr="009560AA">
        <w:rPr>
          <w:lang w:val="fr-CH"/>
        </w:rPr>
        <w:tab/>
        <w:t>La Commission du Danube a recommandé aux Etats membres de la CD d’adhérer aux accords multilatéraux ADN/М025/M027 traitant de dérogations concernant la validité pour les attestations relatives aux connaissances particulières de l’ADN selon le point 8.2.2.8.4, ainsi que pour les certificats de conseiller à la sécurité selon le point 1.8.3.16.1, de même qu’à l’accord ADN/М026 traitant des épreuves périodiques selon les parties 8 et 9 de l’ADN et des certificats d’agrément selon la section 1.16.1.</w:t>
      </w:r>
    </w:p>
    <w:p w14:paraId="6CC9A799" w14:textId="072EB986" w:rsidR="00EC39D2" w:rsidRPr="00AA5BBD" w:rsidRDefault="009560AA" w:rsidP="009560AA">
      <w:pPr>
        <w:pStyle w:val="SingleTxtG"/>
        <w:ind w:firstLine="567"/>
        <w:rPr>
          <w:b/>
          <w:bCs/>
          <w:i/>
          <w:iCs/>
          <w:lang w:val="fr-CH"/>
        </w:rPr>
      </w:pPr>
      <w:r w:rsidRPr="009560AA">
        <w:rPr>
          <w:lang w:val="fr-CH"/>
        </w:rPr>
        <w:t>Les directions susmentionnées ont aidé à coordonner les actions des autorités compétentes des Etats membres de la CD et des administrations nationales et à former une position commune solide en matière d’exploitation des bateaux sur le Danube.</w:t>
      </w:r>
    </w:p>
    <w:p w14:paraId="643C30B5" w14:textId="78D98FFE" w:rsidR="00F81B55" w:rsidRPr="00AA5BBD" w:rsidRDefault="00F81B55" w:rsidP="0064024B">
      <w:pPr>
        <w:spacing w:before="240"/>
        <w:jc w:val="center"/>
        <w:rPr>
          <w:lang w:val="fr-CH"/>
        </w:rPr>
      </w:pPr>
      <w:r w:rsidRPr="00AA5BBD">
        <w:rPr>
          <w:u w:val="single"/>
          <w:lang w:val="fr-CH"/>
        </w:rPr>
        <w:tab/>
      </w:r>
      <w:r w:rsidRPr="00AA5BBD">
        <w:rPr>
          <w:u w:val="single"/>
          <w:lang w:val="fr-CH"/>
        </w:rPr>
        <w:tab/>
      </w:r>
      <w:r w:rsidRPr="00AA5BBD">
        <w:rPr>
          <w:u w:val="single"/>
          <w:lang w:val="fr-CH"/>
        </w:rPr>
        <w:tab/>
      </w:r>
    </w:p>
    <w:sectPr w:rsidR="00F81B55" w:rsidRPr="00AA5BBD" w:rsidSect="00F81B5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3E27" w14:textId="77777777" w:rsidR="00BF1F16" w:rsidRDefault="00BF1F16"/>
  </w:endnote>
  <w:endnote w:type="continuationSeparator" w:id="0">
    <w:p w14:paraId="69309483" w14:textId="77777777" w:rsidR="00BF1F16" w:rsidRDefault="00BF1F16"/>
  </w:endnote>
  <w:endnote w:type="continuationNotice" w:id="1">
    <w:p w14:paraId="2D6DF8C4" w14:textId="77777777" w:rsidR="00BF1F16" w:rsidRDefault="00BF1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109" w14:textId="14331C21"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5F2AF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991"/>
      <w:docPartObj>
        <w:docPartGallery w:val="Page Numbers (Bottom of Page)"/>
        <w:docPartUnique/>
      </w:docPartObj>
    </w:sdtPr>
    <w:sdtEndPr>
      <w:rPr>
        <w:b/>
        <w:bCs/>
        <w:sz w:val="18"/>
        <w:szCs w:val="22"/>
      </w:rPr>
    </w:sdtEndPr>
    <w:sdtContent>
      <w:p w14:paraId="6D2A6216" w14:textId="472AAA50" w:rsidR="00BF0FFC" w:rsidRPr="00661AEB" w:rsidRDefault="00162EFD"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D56D8A"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0137" w14:textId="422F15C7"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0865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6750" w14:textId="77777777" w:rsidR="00BF1F16" w:rsidRPr="000B175B" w:rsidRDefault="00BF1F16" w:rsidP="000B175B">
      <w:pPr>
        <w:tabs>
          <w:tab w:val="right" w:pos="2155"/>
        </w:tabs>
        <w:spacing w:after="80"/>
        <w:ind w:left="680"/>
        <w:rPr>
          <w:u w:val="single"/>
        </w:rPr>
      </w:pPr>
      <w:r>
        <w:rPr>
          <w:u w:val="single"/>
        </w:rPr>
        <w:tab/>
      </w:r>
    </w:p>
  </w:footnote>
  <w:footnote w:type="continuationSeparator" w:id="0">
    <w:p w14:paraId="4137EE96" w14:textId="77777777" w:rsidR="00BF1F16" w:rsidRPr="00FC68B7" w:rsidRDefault="00BF1F16" w:rsidP="00FC68B7">
      <w:pPr>
        <w:tabs>
          <w:tab w:val="left" w:pos="2155"/>
        </w:tabs>
        <w:spacing w:after="80"/>
        <w:ind w:left="680"/>
        <w:rPr>
          <w:u w:val="single"/>
        </w:rPr>
      </w:pPr>
      <w:r>
        <w:rPr>
          <w:u w:val="single"/>
        </w:rPr>
        <w:tab/>
      </w:r>
    </w:p>
  </w:footnote>
  <w:footnote w:type="continuationNotice" w:id="1">
    <w:p w14:paraId="4768AC27" w14:textId="77777777" w:rsidR="00BF1F16" w:rsidRDefault="00BF1F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AA51" w14:textId="7030B227" w:rsidR="00BF0FFC" w:rsidRPr="00B54A1E" w:rsidRDefault="00BF0FFC" w:rsidP="000773EA">
    <w:pPr>
      <w:pStyle w:val="Header"/>
      <w:rPr>
        <w:lang w:val="fr-CH"/>
      </w:rPr>
    </w:pPr>
    <w:r>
      <w:rPr>
        <w:lang w:val="fr-CH"/>
      </w:rPr>
      <w:t>INF.</w:t>
    </w:r>
    <w:r w:rsidR="000124E3">
      <w:rPr>
        <w:lang w:val="fr-CH"/>
      </w:rPr>
      <w:t>2</w:t>
    </w:r>
    <w:r w:rsidR="009560AA">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383" w14:textId="716B2739" w:rsidR="00BF0FFC" w:rsidRPr="006364CC" w:rsidRDefault="00BF0FFC" w:rsidP="00661AEB">
    <w:pPr>
      <w:pStyle w:val="Header"/>
      <w:jc w:val="right"/>
      <w:rPr>
        <w:lang w:val="fr-CH"/>
      </w:rPr>
    </w:pPr>
    <w:r>
      <w:rPr>
        <w:lang w:val="fr-CH"/>
      </w:rPr>
      <w:t>INF.</w:t>
    </w:r>
    <w:r w:rsidR="000124E3">
      <w:rPr>
        <w:lang w:val="fr-CH"/>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0414989"/>
    <w:multiLevelType w:val="multilevel"/>
    <w:tmpl w:val="A61E4188"/>
    <w:lvl w:ilvl="0">
      <w:start w:val="1"/>
      <w:numFmt w:val="decimal"/>
      <w:lvlText w:val="%1."/>
      <w:lvlJc w:val="left"/>
      <w:pPr>
        <w:ind w:left="360" w:hanging="360"/>
      </w:pPr>
      <w:rPr>
        <w:rFonts w:hint="default"/>
        <w:b/>
        <w:bCs/>
      </w:rPr>
    </w:lvl>
    <w:lvl w:ilvl="1">
      <w:start w:val="3"/>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9"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1"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2"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5"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4A9D3039"/>
    <w:multiLevelType w:val="hybridMultilevel"/>
    <w:tmpl w:val="7C2649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9" w15:restartNumberingAfterBreak="0">
    <w:nsid w:val="60C4049A"/>
    <w:multiLevelType w:val="hybridMultilevel"/>
    <w:tmpl w:val="A4EC99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1"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5"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6"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9"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41"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2"/>
  </w:num>
  <w:num w:numId="3">
    <w:abstractNumId w:val="7"/>
  </w:num>
  <w:num w:numId="4">
    <w:abstractNumId w:val="38"/>
  </w:num>
  <w:num w:numId="5">
    <w:abstractNumId w:val="4"/>
  </w:num>
  <w:num w:numId="6">
    <w:abstractNumId w:val="8"/>
  </w:num>
  <w:num w:numId="7">
    <w:abstractNumId w:val="35"/>
  </w:num>
  <w:num w:numId="8">
    <w:abstractNumId w:val="27"/>
  </w:num>
  <w:num w:numId="9">
    <w:abstractNumId w:val="25"/>
  </w:num>
  <w:num w:numId="10">
    <w:abstractNumId w:val="28"/>
  </w:num>
  <w:num w:numId="11">
    <w:abstractNumId w:val="19"/>
  </w:num>
  <w:num w:numId="12">
    <w:abstractNumId w:val="21"/>
  </w:num>
  <w:num w:numId="13">
    <w:abstractNumId w:val="30"/>
  </w:num>
  <w:num w:numId="14">
    <w:abstractNumId w:val="23"/>
  </w:num>
  <w:num w:numId="15">
    <w:abstractNumId w:val="34"/>
  </w:num>
  <w:num w:numId="16">
    <w:abstractNumId w:val="20"/>
  </w:num>
  <w:num w:numId="17">
    <w:abstractNumId w:val="24"/>
  </w:num>
  <w:num w:numId="18">
    <w:abstractNumId w:val="13"/>
  </w:num>
  <w:num w:numId="19">
    <w:abstractNumId w:val="3"/>
  </w:num>
  <w:num w:numId="20">
    <w:abstractNumId w:val="31"/>
  </w:num>
  <w:num w:numId="21">
    <w:abstractNumId w:val="16"/>
  </w:num>
  <w:num w:numId="22">
    <w:abstractNumId w:val="11"/>
  </w:num>
  <w:num w:numId="23">
    <w:abstractNumId w:val="15"/>
  </w:num>
  <w:num w:numId="24">
    <w:abstractNumId w:val="12"/>
  </w:num>
  <w:num w:numId="25">
    <w:abstractNumId w:val="33"/>
  </w:num>
  <w:num w:numId="26">
    <w:abstractNumId w:val="39"/>
  </w:num>
  <w:num w:numId="27">
    <w:abstractNumId w:val="17"/>
  </w:num>
  <w:num w:numId="28">
    <w:abstractNumId w:val="9"/>
  </w:num>
  <w:num w:numId="29">
    <w:abstractNumId w:val="10"/>
  </w:num>
  <w:num w:numId="30">
    <w:abstractNumId w:val="18"/>
  </w:num>
  <w:num w:numId="31">
    <w:abstractNumId w:val="6"/>
  </w:num>
  <w:num w:numId="32">
    <w:abstractNumId w:val="41"/>
  </w:num>
  <w:num w:numId="33">
    <w:abstractNumId w:val="36"/>
  </w:num>
  <w:num w:numId="34">
    <w:abstractNumId w:val="1"/>
  </w:num>
  <w:num w:numId="35">
    <w:abstractNumId w:val="40"/>
  </w:num>
  <w:num w:numId="36">
    <w:abstractNumId w:val="22"/>
  </w:num>
  <w:num w:numId="37">
    <w:abstractNumId w:val="14"/>
  </w:num>
  <w:num w:numId="38">
    <w:abstractNumId w:val="37"/>
  </w:num>
  <w:num w:numId="39">
    <w:abstractNumId w:val="0"/>
  </w:num>
  <w:num w:numId="40">
    <w:abstractNumId w:val="29"/>
  </w:num>
  <w:num w:numId="41">
    <w:abstractNumId w:val="26"/>
  </w:num>
  <w:num w:numId="4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1BBD"/>
    <w:rsid w:val="000124E3"/>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B0D8F"/>
    <w:rsid w:val="000B0E3B"/>
    <w:rsid w:val="000B102B"/>
    <w:rsid w:val="000B175B"/>
    <w:rsid w:val="000B2245"/>
    <w:rsid w:val="000B36BC"/>
    <w:rsid w:val="000B3A0F"/>
    <w:rsid w:val="000B645C"/>
    <w:rsid w:val="000C0DCD"/>
    <w:rsid w:val="000C1B4A"/>
    <w:rsid w:val="000C291D"/>
    <w:rsid w:val="000C7051"/>
    <w:rsid w:val="000D082F"/>
    <w:rsid w:val="000D09AB"/>
    <w:rsid w:val="000D29DF"/>
    <w:rsid w:val="000D3C1D"/>
    <w:rsid w:val="000D4B4F"/>
    <w:rsid w:val="000D5A34"/>
    <w:rsid w:val="000D5A49"/>
    <w:rsid w:val="000D6A9F"/>
    <w:rsid w:val="000E0415"/>
    <w:rsid w:val="000E069D"/>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7B7"/>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1E5F"/>
    <w:rsid w:val="001944DC"/>
    <w:rsid w:val="001963EC"/>
    <w:rsid w:val="001968D2"/>
    <w:rsid w:val="00197FC1"/>
    <w:rsid w:val="001A0644"/>
    <w:rsid w:val="001A1C62"/>
    <w:rsid w:val="001A2B71"/>
    <w:rsid w:val="001A2CC0"/>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099B"/>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5C86"/>
    <w:rsid w:val="002668EA"/>
    <w:rsid w:val="0026777D"/>
    <w:rsid w:val="002716F7"/>
    <w:rsid w:val="002728A1"/>
    <w:rsid w:val="00273565"/>
    <w:rsid w:val="00277359"/>
    <w:rsid w:val="00277A0C"/>
    <w:rsid w:val="002806D1"/>
    <w:rsid w:val="00280EC3"/>
    <w:rsid w:val="0028275E"/>
    <w:rsid w:val="0028292A"/>
    <w:rsid w:val="00284C6F"/>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1A65"/>
    <w:rsid w:val="002F3094"/>
    <w:rsid w:val="002F43FF"/>
    <w:rsid w:val="002F4E5F"/>
    <w:rsid w:val="002F76DA"/>
    <w:rsid w:val="002F779E"/>
    <w:rsid w:val="002F7BE1"/>
    <w:rsid w:val="00300067"/>
    <w:rsid w:val="0030334A"/>
    <w:rsid w:val="0030481F"/>
    <w:rsid w:val="00306240"/>
    <w:rsid w:val="0031001A"/>
    <w:rsid w:val="003107FA"/>
    <w:rsid w:val="003109AE"/>
    <w:rsid w:val="00310D56"/>
    <w:rsid w:val="00311016"/>
    <w:rsid w:val="0031562D"/>
    <w:rsid w:val="00315776"/>
    <w:rsid w:val="00316D3E"/>
    <w:rsid w:val="003210B0"/>
    <w:rsid w:val="00322565"/>
    <w:rsid w:val="003229D8"/>
    <w:rsid w:val="00322C9C"/>
    <w:rsid w:val="00325266"/>
    <w:rsid w:val="00333200"/>
    <w:rsid w:val="003334EE"/>
    <w:rsid w:val="0033725C"/>
    <w:rsid w:val="0033745A"/>
    <w:rsid w:val="003416A4"/>
    <w:rsid w:val="00346EDA"/>
    <w:rsid w:val="003509B7"/>
    <w:rsid w:val="003533C0"/>
    <w:rsid w:val="00353495"/>
    <w:rsid w:val="00353B0C"/>
    <w:rsid w:val="00353E90"/>
    <w:rsid w:val="00354E1E"/>
    <w:rsid w:val="00355856"/>
    <w:rsid w:val="003560C8"/>
    <w:rsid w:val="00360F6A"/>
    <w:rsid w:val="003617C4"/>
    <w:rsid w:val="00363086"/>
    <w:rsid w:val="00364362"/>
    <w:rsid w:val="00365FC3"/>
    <w:rsid w:val="00372460"/>
    <w:rsid w:val="003729C4"/>
    <w:rsid w:val="0037357F"/>
    <w:rsid w:val="00373DFD"/>
    <w:rsid w:val="0037459C"/>
    <w:rsid w:val="00374F10"/>
    <w:rsid w:val="00374F9D"/>
    <w:rsid w:val="0037536A"/>
    <w:rsid w:val="00375785"/>
    <w:rsid w:val="00377377"/>
    <w:rsid w:val="00377847"/>
    <w:rsid w:val="00384864"/>
    <w:rsid w:val="0039277A"/>
    <w:rsid w:val="00393056"/>
    <w:rsid w:val="00393FA7"/>
    <w:rsid w:val="0039481F"/>
    <w:rsid w:val="00395DC4"/>
    <w:rsid w:val="00396439"/>
    <w:rsid w:val="003972E0"/>
    <w:rsid w:val="003A0742"/>
    <w:rsid w:val="003A086F"/>
    <w:rsid w:val="003A0EB2"/>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EBE"/>
    <w:rsid w:val="003E3FE9"/>
    <w:rsid w:val="003E478D"/>
    <w:rsid w:val="003E57E8"/>
    <w:rsid w:val="003E615B"/>
    <w:rsid w:val="003E6A57"/>
    <w:rsid w:val="003E7BC6"/>
    <w:rsid w:val="003F00D2"/>
    <w:rsid w:val="003F1870"/>
    <w:rsid w:val="003F1ED3"/>
    <w:rsid w:val="003F40B7"/>
    <w:rsid w:val="003F4A0B"/>
    <w:rsid w:val="003F5990"/>
    <w:rsid w:val="003F6195"/>
    <w:rsid w:val="00403610"/>
    <w:rsid w:val="004060F0"/>
    <w:rsid w:val="00406EB9"/>
    <w:rsid w:val="0040798F"/>
    <w:rsid w:val="004105CC"/>
    <w:rsid w:val="004106B0"/>
    <w:rsid w:val="004147C8"/>
    <w:rsid w:val="004151DF"/>
    <w:rsid w:val="0041610F"/>
    <w:rsid w:val="004170F8"/>
    <w:rsid w:val="00417E2F"/>
    <w:rsid w:val="00420773"/>
    <w:rsid w:val="0042319F"/>
    <w:rsid w:val="00424B43"/>
    <w:rsid w:val="00424FBB"/>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58FD"/>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2D6"/>
    <w:rsid w:val="00526466"/>
    <w:rsid w:val="00531674"/>
    <w:rsid w:val="005317C9"/>
    <w:rsid w:val="00531EE5"/>
    <w:rsid w:val="00532639"/>
    <w:rsid w:val="0053346E"/>
    <w:rsid w:val="00534E02"/>
    <w:rsid w:val="005418E2"/>
    <w:rsid w:val="005420F2"/>
    <w:rsid w:val="0054420A"/>
    <w:rsid w:val="00544936"/>
    <w:rsid w:val="005457E8"/>
    <w:rsid w:val="0054676C"/>
    <w:rsid w:val="005477DC"/>
    <w:rsid w:val="005501F4"/>
    <w:rsid w:val="00551EAC"/>
    <w:rsid w:val="00554287"/>
    <w:rsid w:val="005558CB"/>
    <w:rsid w:val="005573B2"/>
    <w:rsid w:val="005573BE"/>
    <w:rsid w:val="0055750C"/>
    <w:rsid w:val="00561EC6"/>
    <w:rsid w:val="00563564"/>
    <w:rsid w:val="00565CD2"/>
    <w:rsid w:val="005664A8"/>
    <w:rsid w:val="00567087"/>
    <w:rsid w:val="00567573"/>
    <w:rsid w:val="005706D8"/>
    <w:rsid w:val="0057557B"/>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6412"/>
    <w:rsid w:val="006176FB"/>
    <w:rsid w:val="00622477"/>
    <w:rsid w:val="00622AEE"/>
    <w:rsid w:val="0062304B"/>
    <w:rsid w:val="00623135"/>
    <w:rsid w:val="006234CC"/>
    <w:rsid w:val="00624764"/>
    <w:rsid w:val="006262FE"/>
    <w:rsid w:val="00627200"/>
    <w:rsid w:val="00627842"/>
    <w:rsid w:val="00627885"/>
    <w:rsid w:val="00627ED0"/>
    <w:rsid w:val="00632697"/>
    <w:rsid w:val="006343BF"/>
    <w:rsid w:val="00634DC4"/>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4D03"/>
    <w:rsid w:val="00665595"/>
    <w:rsid w:val="00666FE7"/>
    <w:rsid w:val="006674B4"/>
    <w:rsid w:val="006714BB"/>
    <w:rsid w:val="00671A8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4299"/>
    <w:rsid w:val="006A7392"/>
    <w:rsid w:val="006A7935"/>
    <w:rsid w:val="006B08B9"/>
    <w:rsid w:val="006B1604"/>
    <w:rsid w:val="006B25A1"/>
    <w:rsid w:val="006B32CE"/>
    <w:rsid w:val="006B540E"/>
    <w:rsid w:val="006B6F12"/>
    <w:rsid w:val="006B71C3"/>
    <w:rsid w:val="006B7638"/>
    <w:rsid w:val="006C07A9"/>
    <w:rsid w:val="006C237E"/>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12269"/>
    <w:rsid w:val="00712601"/>
    <w:rsid w:val="0071336B"/>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EC6"/>
    <w:rsid w:val="0074639B"/>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4164"/>
    <w:rsid w:val="00796905"/>
    <w:rsid w:val="007A01FC"/>
    <w:rsid w:val="007A280B"/>
    <w:rsid w:val="007A403D"/>
    <w:rsid w:val="007A5AD9"/>
    <w:rsid w:val="007A7122"/>
    <w:rsid w:val="007B0284"/>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27E"/>
    <w:rsid w:val="00801D46"/>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5965"/>
    <w:rsid w:val="00836919"/>
    <w:rsid w:val="0083757E"/>
    <w:rsid w:val="008401FC"/>
    <w:rsid w:val="00846016"/>
    <w:rsid w:val="008473C4"/>
    <w:rsid w:val="00850C39"/>
    <w:rsid w:val="00850CFF"/>
    <w:rsid w:val="00850F3E"/>
    <w:rsid w:val="00851C8C"/>
    <w:rsid w:val="00853A87"/>
    <w:rsid w:val="00853ECF"/>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41F"/>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6A4D"/>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1035"/>
    <w:rsid w:val="00937B71"/>
    <w:rsid w:val="009409B4"/>
    <w:rsid w:val="00941AE6"/>
    <w:rsid w:val="0094203D"/>
    <w:rsid w:val="00942D77"/>
    <w:rsid w:val="00943155"/>
    <w:rsid w:val="009441CB"/>
    <w:rsid w:val="00944C0A"/>
    <w:rsid w:val="00945053"/>
    <w:rsid w:val="009465BE"/>
    <w:rsid w:val="00947F19"/>
    <w:rsid w:val="00953B04"/>
    <w:rsid w:val="00954DCF"/>
    <w:rsid w:val="0095521C"/>
    <w:rsid w:val="009560AA"/>
    <w:rsid w:val="00957475"/>
    <w:rsid w:val="009605F4"/>
    <w:rsid w:val="00961D49"/>
    <w:rsid w:val="00963CBA"/>
    <w:rsid w:val="00964C17"/>
    <w:rsid w:val="00964F36"/>
    <w:rsid w:val="00965538"/>
    <w:rsid w:val="00966C1B"/>
    <w:rsid w:val="00972789"/>
    <w:rsid w:val="009732FA"/>
    <w:rsid w:val="00974602"/>
    <w:rsid w:val="00974A8D"/>
    <w:rsid w:val="00975010"/>
    <w:rsid w:val="00975AB1"/>
    <w:rsid w:val="00980778"/>
    <w:rsid w:val="00980A97"/>
    <w:rsid w:val="00980B9D"/>
    <w:rsid w:val="0098240C"/>
    <w:rsid w:val="009836B0"/>
    <w:rsid w:val="00984E21"/>
    <w:rsid w:val="009856CE"/>
    <w:rsid w:val="00991261"/>
    <w:rsid w:val="0099331F"/>
    <w:rsid w:val="0099368F"/>
    <w:rsid w:val="0099780E"/>
    <w:rsid w:val="00997A64"/>
    <w:rsid w:val="009A0EA1"/>
    <w:rsid w:val="009A1412"/>
    <w:rsid w:val="009A27A4"/>
    <w:rsid w:val="009A33C2"/>
    <w:rsid w:val="009A3CBD"/>
    <w:rsid w:val="009A446E"/>
    <w:rsid w:val="009A4548"/>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3A1C"/>
    <w:rsid w:val="009C44E3"/>
    <w:rsid w:val="009C5755"/>
    <w:rsid w:val="009C5DDA"/>
    <w:rsid w:val="009C6FE6"/>
    <w:rsid w:val="009D001E"/>
    <w:rsid w:val="009D17D0"/>
    <w:rsid w:val="009D39B1"/>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10C"/>
    <w:rsid w:val="00A33401"/>
    <w:rsid w:val="00A3344B"/>
    <w:rsid w:val="00A33F3A"/>
    <w:rsid w:val="00A3478C"/>
    <w:rsid w:val="00A351DF"/>
    <w:rsid w:val="00A35DF7"/>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80DDD"/>
    <w:rsid w:val="00A80DF2"/>
    <w:rsid w:val="00A8118B"/>
    <w:rsid w:val="00A828CA"/>
    <w:rsid w:val="00A83258"/>
    <w:rsid w:val="00A834FB"/>
    <w:rsid w:val="00A837A9"/>
    <w:rsid w:val="00A85320"/>
    <w:rsid w:val="00A854F0"/>
    <w:rsid w:val="00A86BF0"/>
    <w:rsid w:val="00A879A4"/>
    <w:rsid w:val="00A9319D"/>
    <w:rsid w:val="00A94B8D"/>
    <w:rsid w:val="00A96ADE"/>
    <w:rsid w:val="00A97FA0"/>
    <w:rsid w:val="00AA021B"/>
    <w:rsid w:val="00AA147A"/>
    <w:rsid w:val="00AA163C"/>
    <w:rsid w:val="00AA1B7E"/>
    <w:rsid w:val="00AA5BBD"/>
    <w:rsid w:val="00AA5CC6"/>
    <w:rsid w:val="00AA7FDA"/>
    <w:rsid w:val="00AB0E35"/>
    <w:rsid w:val="00AB3FF2"/>
    <w:rsid w:val="00AB6E15"/>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E7AB3"/>
    <w:rsid w:val="00AF035A"/>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D69"/>
    <w:rsid w:val="00B25002"/>
    <w:rsid w:val="00B30179"/>
    <w:rsid w:val="00B31A49"/>
    <w:rsid w:val="00B31D38"/>
    <w:rsid w:val="00B320F6"/>
    <w:rsid w:val="00B33EC0"/>
    <w:rsid w:val="00B35C41"/>
    <w:rsid w:val="00B376B9"/>
    <w:rsid w:val="00B43CD9"/>
    <w:rsid w:val="00B43D72"/>
    <w:rsid w:val="00B44135"/>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1F16"/>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BFA"/>
    <w:rsid w:val="00C26F38"/>
    <w:rsid w:val="00C300B9"/>
    <w:rsid w:val="00C30768"/>
    <w:rsid w:val="00C33B33"/>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6EC2"/>
    <w:rsid w:val="00C97712"/>
    <w:rsid w:val="00CA10D4"/>
    <w:rsid w:val="00CA11D6"/>
    <w:rsid w:val="00CA2018"/>
    <w:rsid w:val="00CA2273"/>
    <w:rsid w:val="00CA2B73"/>
    <w:rsid w:val="00CA4615"/>
    <w:rsid w:val="00CA6448"/>
    <w:rsid w:val="00CA6B79"/>
    <w:rsid w:val="00CA7542"/>
    <w:rsid w:val="00CC1A56"/>
    <w:rsid w:val="00CC2EAF"/>
    <w:rsid w:val="00CC516F"/>
    <w:rsid w:val="00CC5DAF"/>
    <w:rsid w:val="00CC6A19"/>
    <w:rsid w:val="00CC7D62"/>
    <w:rsid w:val="00CD0ED3"/>
    <w:rsid w:val="00CD1015"/>
    <w:rsid w:val="00CD118C"/>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4E70"/>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66CE"/>
    <w:rsid w:val="00DC74D0"/>
    <w:rsid w:val="00DD0545"/>
    <w:rsid w:val="00DD3173"/>
    <w:rsid w:val="00DD41C4"/>
    <w:rsid w:val="00DD49F4"/>
    <w:rsid w:val="00DD538C"/>
    <w:rsid w:val="00DD6559"/>
    <w:rsid w:val="00DD69C7"/>
    <w:rsid w:val="00DD7E15"/>
    <w:rsid w:val="00DE0F76"/>
    <w:rsid w:val="00DE2E02"/>
    <w:rsid w:val="00DE3D76"/>
    <w:rsid w:val="00DE6428"/>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3CC"/>
    <w:rsid w:val="00E42BA3"/>
    <w:rsid w:val="00E441C4"/>
    <w:rsid w:val="00E506AF"/>
    <w:rsid w:val="00E515C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39D2"/>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E7D5F"/>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802"/>
    <w:rsid w:val="00F9597D"/>
    <w:rsid w:val="00F975AB"/>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uiPriority w:val="99"/>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 w:type="paragraph" w:styleId="PlainText">
    <w:name w:val="Plain Text"/>
    <w:basedOn w:val="Normal"/>
    <w:link w:val="PlainTextChar"/>
    <w:uiPriority w:val="99"/>
    <w:semiHidden/>
    <w:unhideWhenUsed/>
    <w:rsid w:val="00011BBD"/>
    <w:pPr>
      <w:suppressAutoHyphens w:val="0"/>
      <w:spacing w:line="240" w:lineRule="auto"/>
    </w:pPr>
    <w:rPr>
      <w:rFonts w:ascii="Calibri" w:eastAsiaTheme="minorEastAsia" w:hAnsi="Calibri" w:cs="Calibri"/>
      <w:sz w:val="22"/>
      <w:szCs w:val="22"/>
    </w:rPr>
  </w:style>
  <w:style w:type="character" w:customStyle="1" w:styleId="PlainTextChar">
    <w:name w:val="Plain Text Char"/>
    <w:basedOn w:val="DefaultParagraphFont"/>
    <w:link w:val="PlainText"/>
    <w:uiPriority w:val="99"/>
    <w:semiHidden/>
    <w:rsid w:val="00011BBD"/>
    <w:rPr>
      <w:rFonts w:ascii="Calibri" w:eastAsiaTheme="minorEastAsia" w:hAnsi="Calibri" w:cs="Calibri"/>
      <w:sz w:val="22"/>
      <w:szCs w:val="22"/>
      <w:lang w:val="en-GB" w:eastAsia="en-US"/>
    </w:rPr>
  </w:style>
  <w:style w:type="character" w:styleId="UnresolvedMention">
    <w:name w:val="Unresolved Mention"/>
    <w:basedOn w:val="DefaultParagraphFont"/>
    <w:uiPriority w:val="99"/>
    <w:semiHidden/>
    <w:unhideWhenUsed/>
    <w:rsid w:val="00983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8767">
      <w:bodyDiv w:val="1"/>
      <w:marLeft w:val="0"/>
      <w:marRight w:val="0"/>
      <w:marTop w:val="0"/>
      <w:marBottom w:val="0"/>
      <w:divBdr>
        <w:top w:val="none" w:sz="0" w:space="0" w:color="auto"/>
        <w:left w:val="none" w:sz="0" w:space="0" w:color="auto"/>
        <w:bottom w:val="none" w:sz="0" w:space="0" w:color="auto"/>
        <w:right w:val="none" w:sz="0" w:space="0" w:color="auto"/>
      </w:divBdr>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 w:id="1684163258">
      <w:bodyDiv w:val="1"/>
      <w:marLeft w:val="0"/>
      <w:marRight w:val="0"/>
      <w:marTop w:val="0"/>
      <w:marBottom w:val="0"/>
      <w:divBdr>
        <w:top w:val="none" w:sz="0" w:space="0" w:color="auto"/>
        <w:left w:val="none" w:sz="0" w:space="0" w:color="auto"/>
        <w:bottom w:val="none" w:sz="0" w:space="0" w:color="auto"/>
        <w:right w:val="none" w:sz="0" w:space="0" w:color="auto"/>
      </w:divBdr>
    </w:div>
    <w:div w:id="17725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B890-34B2-48C4-892E-623A9EA02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66BB9-9FEC-47A5-A98F-F86D68E37F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4.xml><?xml version="1.0" encoding="utf-8"?>
<ds:datastoreItem xmlns:ds="http://schemas.openxmlformats.org/officeDocument/2006/customXml" ds:itemID="{0A26B028-1273-4947-9297-0A17F0D6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8</TotalTime>
  <Pages>2</Pages>
  <Words>589</Words>
  <Characters>3362</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Alibech Mireles</cp:lastModifiedBy>
  <cp:revision>11</cp:revision>
  <cp:lastPrinted>2019-08-22T16:13:00Z</cp:lastPrinted>
  <dcterms:created xsi:type="dcterms:W3CDTF">2021-01-22T10:22:00Z</dcterms:created>
  <dcterms:modified xsi:type="dcterms:W3CDTF">2021-01-22T10:50:00Z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