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F25A" w14:textId="77777777" w:rsidR="00274676" w:rsidRPr="00E114D0" w:rsidRDefault="00E114D0" w:rsidP="00E114D0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114D0">
        <w:rPr>
          <w:rFonts w:ascii="Times New Roman" w:hAnsi="Times New Roman" w:cs="Times New Roman"/>
          <w:b/>
          <w:sz w:val="28"/>
          <w:szCs w:val="28"/>
        </w:rPr>
        <w:t xml:space="preserve">Request for authorization to develop a new UN GTR on durability of after treatment </w:t>
      </w:r>
      <w:r w:rsidR="00B0241F">
        <w:rPr>
          <w:rFonts w:ascii="Times New Roman" w:hAnsi="Times New Roman" w:cs="Times New Roman"/>
          <w:b/>
          <w:sz w:val="28"/>
          <w:szCs w:val="28"/>
        </w:rPr>
        <w:t>devices</w:t>
      </w:r>
      <w:r w:rsidRPr="00E114D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5B3E6C">
        <w:rPr>
          <w:rFonts w:ascii="Times New Roman" w:hAnsi="Times New Roman" w:cs="Times New Roman"/>
          <w:b/>
          <w:sz w:val="28"/>
          <w:szCs w:val="28"/>
        </w:rPr>
        <w:t>two- and three-</w:t>
      </w:r>
      <w:r w:rsidR="005B3E6C" w:rsidRPr="005B3E6C">
        <w:t xml:space="preserve"> </w:t>
      </w:r>
      <w:r w:rsidR="005B3E6C" w:rsidRPr="005B3E6C">
        <w:rPr>
          <w:rFonts w:ascii="Times New Roman" w:hAnsi="Times New Roman" w:cs="Times New Roman"/>
          <w:b/>
          <w:sz w:val="28"/>
          <w:szCs w:val="28"/>
        </w:rPr>
        <w:t>wheeled motor vehicles</w:t>
      </w:r>
      <w:r w:rsidRPr="00E114D0">
        <w:rPr>
          <w:rFonts w:ascii="Times New Roman" w:hAnsi="Times New Roman" w:cs="Times New Roman"/>
          <w:b/>
          <w:sz w:val="28"/>
          <w:szCs w:val="28"/>
        </w:rPr>
        <w:t>.</w:t>
      </w:r>
    </w:p>
    <w:p w14:paraId="7C19184B" w14:textId="77777777" w:rsidR="00E114D0" w:rsidRDefault="00E114D0"/>
    <w:p w14:paraId="69C5FEE3" w14:textId="77777777" w:rsidR="00E114D0" w:rsidRPr="00E114D0" w:rsidRDefault="00E114D0" w:rsidP="00E114D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 w:rsidRPr="00E114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I.</w:t>
      </w:r>
      <w:r w:rsidRPr="00E114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14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Mandate and Objectives</w:t>
      </w:r>
    </w:p>
    <w:p w14:paraId="6BD03E3A" w14:textId="77777777" w:rsidR="00B0241F" w:rsidRPr="00C4659F" w:rsidRDefault="00E114D0" w:rsidP="00E114D0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1.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In the framework of the 1998 Agreement and under continued work by the informal working group (IWG) on Environmental and Propulsion Performance Requirements of L-category vehicles (EPPR), the main objective of this proposal is to seek authorization for the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>EPPR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IWG to develop a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new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UN GTR on the topic of </w:t>
      </w:r>
      <w:r w:rsidR="00B0241F"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durability of after treatment devices for </w:t>
      </w:r>
      <w:r w:rsidR="005B3E6C" w:rsidRPr="005B3E6C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two- and three- wheeled motor vehicles</w:t>
      </w:r>
      <w:r w:rsidR="00B0241F"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</w:t>
      </w:r>
    </w:p>
    <w:p w14:paraId="2EF02943" w14:textId="11F55C2D" w:rsidR="00E114D0" w:rsidRDefault="00E114D0" w:rsidP="00E114D0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2.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IWG on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EPPR will also consider </w:t>
      </w:r>
      <w:r w:rsidR="00CC0D0B">
        <w:rPr>
          <w:rFonts w:ascii="Times New Roman" w:eastAsia="SimSun" w:hAnsi="Times New Roman" w:cs="Times New Roman"/>
          <w:sz w:val="20"/>
          <w:szCs w:val="20"/>
          <w:lang w:eastAsia="zh-CN"/>
        </w:rPr>
        <w:t>aligning</w:t>
      </w:r>
      <w:bookmarkStart w:id="0" w:name="_GoBack"/>
      <w:bookmarkEnd w:id="0"/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with the work </w:t>
      </w:r>
      <w:r w:rsidR="00814B49">
        <w:rPr>
          <w:rFonts w:ascii="Times New Roman" w:eastAsia="SimSun" w:hAnsi="Times New Roman" w:cs="Times New Roman"/>
          <w:sz w:val="20"/>
          <w:szCs w:val="20"/>
          <w:lang w:eastAsia="zh-CN"/>
        </w:rPr>
        <w:t>done by</w:t>
      </w:r>
      <w:r w:rsidR="00814B4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IWG on Worldwide harmonized Light </w:t>
      </w:r>
      <w:r w:rsidR="00CF5F16"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Vehicles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Test Procedure (WLTP)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>if so is considered advantageous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to ensure </w:t>
      </w:r>
      <w:r w:rsidR="00B024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harmonization and to </w:t>
      </w:r>
      <w:r w:rsidRPr="00E114D0">
        <w:rPr>
          <w:rFonts w:ascii="Times New Roman" w:eastAsia="SimSun" w:hAnsi="Times New Roman" w:cs="Times New Roman"/>
          <w:sz w:val="20"/>
          <w:szCs w:val="20"/>
          <w:lang w:eastAsia="zh-CN"/>
        </w:rPr>
        <w:t>avoid any duplication of effort.</w:t>
      </w:r>
    </w:p>
    <w:p w14:paraId="4E6BC249" w14:textId="77777777" w:rsidR="00D12140" w:rsidRPr="00D12140" w:rsidRDefault="00D12140" w:rsidP="00D1214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II.</w:t>
      </w:r>
      <w:r w:rsidRPr="00D121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121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Introduction</w:t>
      </w:r>
    </w:p>
    <w:p w14:paraId="17094749" w14:textId="77777777" w:rsidR="00D12140" w:rsidRDefault="00D12140" w:rsidP="004A775C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12140">
        <w:rPr>
          <w:rFonts w:ascii="Times New Roman" w:eastAsia="SimSun" w:hAnsi="Times New Roman" w:cs="Times New Roman"/>
          <w:sz w:val="20"/>
          <w:szCs w:val="20"/>
          <w:lang w:eastAsia="zh-CN"/>
        </w:rPr>
        <w:t>3.</w:t>
      </w:r>
      <w:r w:rsidR="005F482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12140">
        <w:rPr>
          <w:rFonts w:ascii="Times New Roman" w:eastAsia="SimSun" w:hAnsi="Times New Roman" w:cs="Times New Roman"/>
          <w:sz w:val="20"/>
          <w:szCs w:val="20"/>
          <w:lang w:eastAsia="zh-CN"/>
        </w:rPr>
        <w:t>The IWG</w:t>
      </w:r>
      <w:r w:rsidR="004A775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on EPPR </w:t>
      </w:r>
      <w:r w:rsidR="004A775C" w:rsidRPr="004A775C">
        <w:rPr>
          <w:rFonts w:ascii="Times New Roman" w:eastAsia="SimSun" w:hAnsi="Times New Roman" w:cs="Times New Roman"/>
          <w:sz w:val="20"/>
          <w:szCs w:val="20"/>
          <w:lang w:eastAsia="zh-CN"/>
        </w:rPr>
        <w:t>was endorsed by the WP.29 at its November 2012 session (ECE/TRANS/WP.29/1099). The Executive Committee of the 1998 Agreement (AC.3) on its forty-fifth session (10-13 November 2015) adopted ECE/TRANS/WP.29/2015/113 (ECE/TRANS/WP.29/AC.3/36/Rev.1) whereby the European Union proposed changes to the proposal to develop amendments to UN Global Technical Regulation No. 2 and new regulations on environmental and propulsion performance requirements for light vehicles (ECE/TRANS/WP.29/AC.3/36). It was based on informal document WP.29-166-20, distributed at the 166th session (ECE/TRANS/WP.29/1116, para. 109). The mandate of the EPPR IWG was extended until December 2020.</w:t>
      </w:r>
    </w:p>
    <w:p w14:paraId="5A006A0C" w14:textId="77777777" w:rsidR="004A775C" w:rsidRDefault="005F482F" w:rsidP="004A775C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The extension to a second working period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(until 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2025) 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was requested by the EPPR IWG to the GRPE by 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>asking for the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endorsement of the 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</w:rPr>
        <w:t>Terms of Reference and rules of procedure for the informal working group on Environmental and Propulsion Performance Requirements of L-category vehicles (EPPR)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</w:rPr>
        <w:t>GRPE-81-23-Rev.1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). The GRPE endorsed the EPPR IWG </w:t>
      </w:r>
      <w:proofErr w:type="spellStart"/>
      <w:r w:rsidR="004A775C">
        <w:rPr>
          <w:rFonts w:ascii="Times New Roman" w:eastAsia="Times New Roman" w:hAnsi="Times New Roman" w:cs="Times New Roman"/>
          <w:sz w:val="20"/>
          <w:szCs w:val="20"/>
        </w:rPr>
        <w:t>ToR</w:t>
      </w:r>
      <w:proofErr w:type="spellEnd"/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in its 81</w:t>
      </w:r>
      <w:r w:rsidR="004A775C" w:rsidRPr="004A77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4A775C">
        <w:rPr>
          <w:rFonts w:ascii="Times New Roman" w:eastAsia="Times New Roman" w:hAnsi="Times New Roman" w:cs="Times New Roman"/>
          <w:sz w:val="20"/>
          <w:szCs w:val="20"/>
        </w:rPr>
        <w:t xml:space="preserve"> session (</w:t>
      </w:r>
      <w:r w:rsidR="006F52BB" w:rsidRPr="006F52BB">
        <w:rPr>
          <w:rFonts w:ascii="Times New Roman" w:eastAsia="Times New Roman" w:hAnsi="Times New Roman" w:cs="Times New Roman"/>
          <w:sz w:val="20"/>
          <w:szCs w:val="20"/>
        </w:rPr>
        <w:t>ECE/TRANS/WP.29/GRPE/81</w:t>
      </w:r>
      <w:r w:rsidR="006F52B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5CF146D8" w14:textId="2B439E5F" w:rsidR="00803A38" w:rsidRPr="00803A38" w:rsidRDefault="008D6FC9" w:rsidP="00803A38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 xml:space="preserve">During the first mandate of the IWG on </w:t>
      </w:r>
      <w:r w:rsidR="00803A38">
        <w:rPr>
          <w:rFonts w:ascii="Times New Roman" w:eastAsia="Times New Roman" w:hAnsi="Times New Roman" w:cs="Times New Roman"/>
          <w:sz w:val="20"/>
          <w:szCs w:val="20"/>
        </w:rPr>
        <w:t>EPPR</w:t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>, the IWG has successfully completed the following technical regulatory texts (UN GTR</w:t>
      </w:r>
      <w:r w:rsidR="003E1181">
        <w:rPr>
          <w:rFonts w:ascii="Times New Roman" w:eastAsia="Times New Roman" w:hAnsi="Times New Roman" w:cs="Times New Roman"/>
          <w:sz w:val="20"/>
          <w:szCs w:val="20"/>
        </w:rPr>
        <w:t>s</w:t>
      </w:r>
      <w:r w:rsidR="00803A38" w:rsidRPr="00803A38">
        <w:rPr>
          <w:rFonts w:ascii="Times New Roman" w:eastAsia="Times New Roman" w:hAnsi="Times New Roman" w:cs="Times New Roman"/>
          <w:sz w:val="20"/>
          <w:szCs w:val="20"/>
        </w:rPr>
        <w:t>):</w:t>
      </w:r>
    </w:p>
    <w:p w14:paraId="2F37A94E" w14:textId="54E48BEC" w:rsidR="00803A38" w:rsidRPr="00803A38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17: “Global technical regulation on the measurement procedure for two- or three- wheeled motor vehicles equipped with a combustion engine with regard to the crankcase and evaporative emissions”. Established in the Global Registry on 17 November 2016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3ABB42" w14:textId="27D8C016" w:rsidR="00803A38" w:rsidRPr="00803A38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18: “Global technical regulation on the measurement procedure for two- or three- wheeled motor vehicles with regard to on- board diagnostics”. Established in the Global Registry on 17 November 2016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AF6466" w14:textId="0A8F1BDC" w:rsidR="008D6FC9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ind w:left="1848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A38">
        <w:rPr>
          <w:rFonts w:ascii="Times New Roman" w:eastAsia="Times New Roman" w:hAnsi="Times New Roman" w:cs="Times New Roman"/>
          <w:sz w:val="20"/>
          <w:szCs w:val="20"/>
        </w:rPr>
        <w:t xml:space="preserve">UN GTR </w:t>
      </w:r>
      <w:r w:rsidR="00FC2818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Pr="00803A38">
        <w:rPr>
          <w:rFonts w:ascii="Times New Roman" w:eastAsia="Times New Roman" w:hAnsi="Times New Roman" w:cs="Times New Roman"/>
          <w:sz w:val="20"/>
          <w:szCs w:val="20"/>
        </w:rPr>
        <w:t>2: “Global Technical Regulation on the measurement procedure for two-wheeled motorcycles equipped with a positive or compression ignition engine with regard to the emissions of gaseous pollutants, CO2 emissions and fuel consumption - Amendment 4”. Established in the Global Registry on 13 November 2019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3"/>
      </w:r>
    </w:p>
    <w:p w14:paraId="6ECBF78D" w14:textId="77777777" w:rsidR="00E114D0" w:rsidRDefault="00803A38" w:rsidP="008D6FC9">
      <w:pPr>
        <w:pStyle w:val="ListParagraph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FC9">
        <w:rPr>
          <w:rFonts w:ascii="Times New Roman" w:eastAsia="Times New Roman" w:hAnsi="Times New Roman" w:cs="Times New Roman"/>
          <w:sz w:val="20"/>
          <w:szCs w:val="20"/>
        </w:rPr>
        <w:lastRenderedPageBreak/>
        <w:t>Amendment 1 to UN GTR No. 18: “Global technical regulation on the measurement procedure for two- or three-wheeled motor vehicles with regard to on-board diagnostics”. Introduction of OBD II</w:t>
      </w:r>
      <w:r w:rsidR="00D82781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4"/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. It was </w:t>
      </w:r>
      <w:r w:rsidR="00D82781" w:rsidRPr="008D6FC9">
        <w:rPr>
          <w:rFonts w:ascii="Times New Roman" w:eastAsia="Times New Roman" w:hAnsi="Times New Roman" w:cs="Times New Roman"/>
          <w:sz w:val="20"/>
          <w:szCs w:val="20"/>
        </w:rPr>
        <w:t xml:space="preserve">adopted by WP29 in its </w:t>
      </w:r>
      <w:r w:rsidR="008D6FC9" w:rsidRPr="008D6FC9">
        <w:rPr>
          <w:rFonts w:ascii="Times New Roman" w:eastAsia="Times New Roman" w:hAnsi="Times New Roman" w:cs="Times New Roman"/>
          <w:sz w:val="20"/>
          <w:szCs w:val="20"/>
        </w:rPr>
        <w:t>182nd session (</w:t>
      </w:r>
      <w:r w:rsidR="00D82781" w:rsidRPr="008D6FC9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8D6FC9">
        <w:rPr>
          <w:rFonts w:ascii="Times New Roman" w:eastAsia="Times New Roman" w:hAnsi="Times New Roman" w:cs="Times New Roman"/>
          <w:sz w:val="20"/>
          <w:szCs w:val="20"/>
        </w:rPr>
        <w:t xml:space="preserve">2020). </w:t>
      </w:r>
    </w:p>
    <w:p w14:paraId="5F9F04BF" w14:textId="77777777" w:rsidR="008D6FC9" w:rsidRDefault="008D6FC9" w:rsidP="00FB0C1D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FB0C1D">
        <w:rPr>
          <w:rFonts w:ascii="Times New Roman" w:eastAsia="Times New Roman" w:hAnsi="Times New Roman" w:cs="Times New Roman"/>
          <w:sz w:val="20"/>
          <w:szCs w:val="20"/>
        </w:rPr>
        <w:t xml:space="preserve">During the </w:t>
      </w:r>
      <w:r w:rsidR="00FB0C1D" w:rsidRPr="00803A38">
        <w:rPr>
          <w:rFonts w:ascii="Times New Roman" w:eastAsia="Times New Roman" w:hAnsi="Times New Roman" w:cs="Times New Roman"/>
          <w:sz w:val="20"/>
          <w:szCs w:val="20"/>
        </w:rPr>
        <w:t xml:space="preserve">first mandate of the IWG on </w:t>
      </w:r>
      <w:r w:rsidR="00FB0C1D">
        <w:rPr>
          <w:rFonts w:ascii="Times New Roman" w:eastAsia="Times New Roman" w:hAnsi="Times New Roman" w:cs="Times New Roman"/>
          <w:sz w:val="20"/>
          <w:szCs w:val="20"/>
        </w:rPr>
        <w:t>EPPR</w:t>
      </w:r>
      <w:r w:rsidR="00FB0C1D" w:rsidRPr="00803A38">
        <w:rPr>
          <w:rFonts w:ascii="Times New Roman" w:eastAsia="Times New Roman" w:hAnsi="Times New Roman" w:cs="Times New Roman"/>
          <w:sz w:val="20"/>
          <w:szCs w:val="20"/>
        </w:rPr>
        <w:t>,</w:t>
      </w:r>
      <w:r w:rsidR="00FB0C1D">
        <w:rPr>
          <w:rFonts w:ascii="Times New Roman" w:eastAsia="Times New Roman" w:hAnsi="Times New Roman" w:cs="Times New Roman"/>
          <w:sz w:val="20"/>
          <w:szCs w:val="20"/>
        </w:rPr>
        <w:t xml:space="preserve"> the IWG also started to work on </w:t>
      </w:r>
      <w:r w:rsidR="00FB0C1D" w:rsidRPr="00FB0C1D">
        <w:rPr>
          <w:rFonts w:ascii="Times New Roman" w:eastAsia="Times New Roman" w:hAnsi="Times New Roman" w:cs="Times New Roman"/>
          <w:sz w:val="20"/>
          <w:szCs w:val="20"/>
        </w:rPr>
        <w:t xml:space="preserve">a new UN GTR on Durability testing of pollution control devices for </w:t>
      </w:r>
      <w:r w:rsidR="005313CA" w:rsidRPr="005313CA">
        <w:rPr>
          <w:rFonts w:ascii="Times New Roman" w:eastAsia="Times New Roman" w:hAnsi="Times New Roman" w:cs="Times New Roman"/>
          <w:sz w:val="20"/>
          <w:szCs w:val="20"/>
        </w:rPr>
        <w:t>two- and three- wheeled motor vehicles</w:t>
      </w:r>
      <w:r w:rsidR="00FB0C1D" w:rsidRPr="00FB0C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85F517" w14:textId="77777777" w:rsidR="00FB0C1D" w:rsidRPr="00FB0C1D" w:rsidRDefault="00FB0C1D" w:rsidP="00D4558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C1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III.</w:t>
      </w:r>
      <w:r w:rsidRPr="00FB0C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B0C1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Areas of work</w:t>
      </w:r>
    </w:p>
    <w:p w14:paraId="18186E2A" w14:textId="77777777" w:rsidR="00FB0C1D" w:rsidRDefault="00FB0C1D" w:rsidP="00D45586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7</w:t>
      </w:r>
      <w:r w:rsidR="005F482F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5F482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EPPR</w:t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IWG seeks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from </w:t>
      </w:r>
      <w:r w:rsidRPr="00FB0C1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AC.3 the authorization to develop a new UN GTR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on </w:t>
      </w:r>
      <w:r w:rsidRPr="00C4659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durability of after treatment devices for </w:t>
      </w:r>
      <w:r w:rsidR="005313CA" w:rsidRPr="005313CA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two- and three- wheeled motor vehicles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The IWG will use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the initial work performed unde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>r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the I</w:t>
      </w:r>
      <w:r w:rsidR="00C4659F">
        <w:rPr>
          <w:rFonts w:ascii="Times New Roman" w:eastAsia="SimSun" w:hAnsi="Times New Roman" w:cs="Times New Roman"/>
          <w:sz w:val="20"/>
          <w:szCs w:val="20"/>
          <w:lang w:eastAsia="zh-CN"/>
        </w:rPr>
        <w:t>WG first mandate.</w:t>
      </w:r>
    </w:p>
    <w:p w14:paraId="7C471001" w14:textId="77777777" w:rsidR="005A274D" w:rsidRDefault="005F482F" w:rsidP="00D45586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8.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The group shall focus its work in the following areas:</w:t>
      </w:r>
    </w:p>
    <w:p w14:paraId="4D3DF2E5" w14:textId="77777777" w:rsidR="005A274D" w:rsidRDefault="005A274D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a) Create a first consolidated draft of the UN GTR on durability based upon the European Regulation (see below) and incorporating those clauses from other existing regulation to obtain a highly harmonised technical regulation.</w:t>
      </w:r>
    </w:p>
    <w:p w14:paraId="5C9C10D5" w14:textId="77777777" w:rsidR="005A274D" w:rsidRPr="005A274D" w:rsidRDefault="005A274D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b) </w:t>
      </w:r>
      <w:r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The consolidated draft will be reviewed with the following objectives:</w:t>
      </w:r>
    </w:p>
    <w:p w14:paraId="6A3EACD1" w14:textId="77777777" w:rsidR="005A274D" w:rsidRDefault="00AF1F8E" w:rsidP="00901673">
      <w:pPr>
        <w:suppressAutoHyphens/>
        <w:spacing w:after="120" w:line="240" w:lineRule="atLeast"/>
        <w:ind w:left="1701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i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>. I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dentify areas for further technical improvements </w:t>
      </w:r>
    </w:p>
    <w:p w14:paraId="0178CE48" w14:textId="77777777" w:rsidR="005A274D" w:rsidRDefault="00AF1F8E" w:rsidP="00901673">
      <w:pPr>
        <w:suppressAutoHyphens/>
        <w:spacing w:after="120" w:line="240" w:lineRule="atLeast"/>
        <w:ind w:left="1701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ii. 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>Study the areas that need to be reviewed in order to adapt them to reflect regional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needs.</w:t>
      </w:r>
      <w:r w:rsidR="005A274D" w:rsidRPr="005A274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128E5968" w14:textId="77777777" w:rsidR="00AF1F8E" w:rsidRDefault="00AF1F8E" w:rsidP="00901673">
      <w:pPr>
        <w:suppressAutoHyphens/>
        <w:spacing w:after="120" w:line="240" w:lineRule="atLeast"/>
        <w:ind w:left="14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c) Finalising the draft and subsequently to present it for endorsement to the GRPE.</w:t>
      </w:r>
    </w:p>
    <w:p w14:paraId="7A089590" w14:textId="77777777" w:rsidR="00C4659F" w:rsidRDefault="00AF1F8E" w:rsidP="00FB0C1D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C465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C4659F">
        <w:rPr>
          <w:rFonts w:ascii="Times New Roman" w:eastAsia="Times New Roman" w:hAnsi="Times New Roman" w:cs="Times New Roman"/>
          <w:sz w:val="20"/>
          <w:szCs w:val="20"/>
        </w:rPr>
        <w:t xml:space="preserve">The EPPR IWG </w:t>
      </w:r>
      <w:r w:rsidR="00986394">
        <w:rPr>
          <w:rFonts w:ascii="Times New Roman" w:eastAsia="Times New Roman" w:hAnsi="Times New Roman" w:cs="Times New Roman"/>
          <w:sz w:val="20"/>
          <w:szCs w:val="20"/>
        </w:rPr>
        <w:t>will keep informed the GRPE on the status of the development of the new GTR, by periodical reports to the GRPE assembly.</w:t>
      </w:r>
    </w:p>
    <w:p w14:paraId="365EB627" w14:textId="77777777" w:rsidR="00901673" w:rsidRDefault="00986394" w:rsidP="00901673">
      <w:pPr>
        <w:suppressAutoHyphens/>
        <w:spacing w:before="360" w:after="240" w:line="24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63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IV.</w:t>
      </w:r>
      <w:r w:rsidR="00DE57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9863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Existing regulations</w:t>
      </w:r>
    </w:p>
    <w:p w14:paraId="6A7EC990" w14:textId="22B31C22" w:rsidR="004A208C" w:rsidRDefault="005F482F" w:rsidP="004A208C">
      <w:pPr>
        <w:suppressAutoHyphens/>
        <w:spacing w:before="100" w:beforeAutospacing="1" w:after="24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639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 xml:space="preserve">durability of after treatment devices for </w:t>
      </w:r>
      <w:r w:rsidR="005313CA" w:rsidRPr="005313CA">
        <w:rPr>
          <w:rFonts w:ascii="Times New Roman" w:eastAsia="Times New Roman" w:hAnsi="Times New Roman" w:cs="Times New Roman"/>
          <w:sz w:val="20"/>
          <w:szCs w:val="20"/>
        </w:rPr>
        <w:t>two- and three- wheeled motor vehicles</w:t>
      </w:r>
      <w:r w:rsidR="00901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 xml:space="preserve"> not currently regulated by any UN GTR</w:t>
      </w:r>
      <w:r w:rsidR="005975DE">
        <w:rPr>
          <w:rFonts w:ascii="Times New Roman" w:eastAsia="Times New Roman" w:hAnsi="Times New Roman" w:cs="Times New Roman"/>
          <w:sz w:val="20"/>
          <w:szCs w:val="20"/>
        </w:rPr>
        <w:t xml:space="preserve"> or UN </w:t>
      </w:r>
      <w:r w:rsidR="00156FE9">
        <w:rPr>
          <w:rFonts w:ascii="Times New Roman" w:eastAsia="Times New Roman" w:hAnsi="Times New Roman" w:cs="Times New Roman"/>
          <w:sz w:val="20"/>
          <w:szCs w:val="20"/>
        </w:rPr>
        <w:t>Regulation</w:t>
      </w:r>
      <w:r w:rsidR="00986394" w:rsidRPr="009863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6394">
        <w:rPr>
          <w:rFonts w:ascii="Times New Roman" w:eastAsia="Times New Roman" w:hAnsi="Times New Roman" w:cs="Times New Roman"/>
          <w:sz w:val="20"/>
          <w:szCs w:val="20"/>
        </w:rPr>
        <w:t xml:space="preserve"> It is known that the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 ability of components and systems to last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>is key to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 minimise the impact on the environment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. Therefore, it is </w:t>
      </w:r>
      <w:r w:rsidR="0029382F">
        <w:rPr>
          <w:rFonts w:ascii="Times New Roman" w:eastAsia="Times New Roman" w:hAnsi="Times New Roman" w:cs="Times New Roman"/>
          <w:sz w:val="20"/>
          <w:szCs w:val="20"/>
        </w:rPr>
        <w:t xml:space="preserve">necessary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to set up harmonised provisions 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 xml:space="preserve">for verifying </w:t>
      </w:r>
      <w:r w:rsidR="00CB6D74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03276" w:rsidRPr="00003276">
        <w:rPr>
          <w:rFonts w:ascii="Times New Roman" w:eastAsia="Times New Roman" w:hAnsi="Times New Roman" w:cs="Times New Roman"/>
          <w:sz w:val="20"/>
          <w:szCs w:val="20"/>
        </w:rPr>
        <w:t>durability requirements are met</w:t>
      </w:r>
      <w:r w:rsidR="000032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077986" w14:textId="77777777" w:rsidR="00003276" w:rsidRDefault="0029382F" w:rsidP="004A208C">
      <w:pPr>
        <w:suppressAutoHyphens/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 xml:space="preserve">European Union </w:t>
      </w:r>
      <w:r>
        <w:rPr>
          <w:rFonts w:ascii="Times New Roman" w:eastAsia="Times New Roman" w:hAnsi="Times New Roman" w:cs="Times New Roman"/>
          <w:sz w:val="20"/>
          <w:szCs w:val="20"/>
        </w:rPr>
        <w:t>regulations on e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>nvironmental performance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1C1369" w:rsidRPr="001C1369">
        <w:rPr>
          <w:rFonts w:ascii="Times New Roman" w:eastAsia="Times New Roman" w:hAnsi="Times New Roman" w:cs="Times New Roman"/>
          <w:sz w:val="20"/>
          <w:szCs w:val="20"/>
        </w:rPr>
        <w:t>two- or three-wheel vehicles and quadricycles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(Reg. (EU) </w:t>
      </w:r>
      <w:r w:rsidR="00D45586" w:rsidRPr="001C1369">
        <w:rPr>
          <w:rFonts w:ascii="Times New Roman" w:eastAsia="Times New Roman" w:hAnsi="Times New Roman" w:cs="Times New Roman"/>
          <w:sz w:val="20"/>
          <w:szCs w:val="20"/>
        </w:rPr>
        <w:t>No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5586" w:rsidRPr="001C1369">
        <w:rPr>
          <w:rFonts w:ascii="Times New Roman" w:eastAsia="Times New Roman" w:hAnsi="Times New Roman" w:cs="Times New Roman"/>
          <w:sz w:val="20"/>
          <w:szCs w:val="20"/>
        </w:rPr>
        <w:t xml:space="preserve"> 168/2013</w:t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 and its supplementing regulations</w:t>
      </w:r>
      <w:r w:rsidR="00D45586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5"/>
      </w:r>
      <w:r w:rsidR="00D45586">
        <w:rPr>
          <w:rFonts w:ascii="Times New Roman" w:eastAsia="Times New Roman" w:hAnsi="Times New Roman" w:cs="Times New Roman"/>
          <w:sz w:val="20"/>
          <w:szCs w:val="20"/>
        </w:rPr>
        <w:t xml:space="preserve">, the so-called Euro 5) 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29382F">
        <w:rPr>
          <w:rFonts w:ascii="Times New Roman" w:eastAsia="Times New Roman" w:hAnsi="Times New Roman" w:cs="Times New Roman"/>
          <w:sz w:val="20"/>
          <w:szCs w:val="20"/>
        </w:rPr>
        <w:t xml:space="preserve"> test procedures and requirements 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r w:rsidR="001C1369" w:rsidRPr="00986394">
        <w:rPr>
          <w:rFonts w:ascii="Times New Roman" w:eastAsia="Times New Roman" w:hAnsi="Times New Roman" w:cs="Times New Roman"/>
          <w:sz w:val="20"/>
          <w:szCs w:val="20"/>
        </w:rPr>
        <w:t>durability of after treatment devices</w:t>
      </w:r>
      <w:r w:rsidR="001C13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B2BEA33" w14:textId="77777777" w:rsidR="005D54D8" w:rsidRDefault="005D54D8" w:rsidP="004A208C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4063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Japan 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 xml:space="preserve">addresses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durability regulation 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 xml:space="preserve">in its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>"Enforcement procedure for m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>otor vehicle type certification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,</w:t>
      </w:r>
      <w:r w:rsidR="00A30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>Additional rule7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:</w:t>
      </w:r>
      <w:r w:rsidR="00A303C4" w:rsidRPr="00A303C4">
        <w:rPr>
          <w:rFonts w:ascii="Times New Roman" w:eastAsia="Times New Roman" w:hAnsi="Times New Roman" w:cs="Times New Roman"/>
          <w:sz w:val="20"/>
          <w:szCs w:val="20"/>
        </w:rPr>
        <w:t xml:space="preserve"> Durability driving enforcement procedure"</w:t>
      </w:r>
    </w:p>
    <w:p w14:paraId="0EC4949A" w14:textId="77777777" w:rsidR="00984063" w:rsidRDefault="00984063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The United States Environmental Protection Agency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addresses durability on its 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>regulations for On Highway Motorcycles and deterioration factor determination with real world drive and emission tests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6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840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83">
        <w:rPr>
          <w:rFonts w:ascii="Times New Roman" w:eastAsia="Times New Roman" w:hAnsi="Times New Roman" w:cs="Times New Roman"/>
          <w:sz w:val="20"/>
          <w:szCs w:val="20"/>
        </w:rPr>
        <w:t>It also considers durability i</w:t>
      </w:r>
      <w:r w:rsidR="00AF1F8E">
        <w:rPr>
          <w:rFonts w:ascii="Times New Roman" w:eastAsia="Times New Roman" w:hAnsi="Times New Roman" w:cs="Times New Roman"/>
          <w:sz w:val="20"/>
          <w:szCs w:val="20"/>
        </w:rPr>
        <w:t>n the case of light duty vehicles</w:t>
      </w:r>
      <w:r w:rsidR="00E16B83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7"/>
      </w:r>
      <w:r w:rsidR="00AF1F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8A2E13" w14:textId="77777777" w:rsidR="00A71171" w:rsidRDefault="00A71171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The People’s Republic of China </w:t>
      </w:r>
      <w:r w:rsidR="00787D39">
        <w:rPr>
          <w:rFonts w:ascii="Times New Roman" w:eastAsia="Times New Roman" w:hAnsi="Times New Roman" w:cs="Times New Roman"/>
          <w:sz w:val="20"/>
          <w:szCs w:val="20"/>
        </w:rPr>
        <w:t>standards i</w:t>
      </w:r>
      <w:r w:rsidRPr="00A71171">
        <w:rPr>
          <w:rFonts w:ascii="Times New Roman" w:eastAsia="Times New Roman" w:hAnsi="Times New Roman" w:cs="Times New Roman"/>
          <w:sz w:val="20"/>
          <w:szCs w:val="20"/>
        </w:rPr>
        <w:t>nclude Type V durability test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addressing separately motorcycles and mopeds</w:t>
      </w:r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8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E1C01" w14:textId="77777777" w:rsidR="00984063" w:rsidRDefault="005F482F" w:rsidP="00A303C4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B281E">
        <w:rPr>
          <w:rFonts w:ascii="Times New Roman" w:eastAsia="Times New Roman" w:hAnsi="Times New Roman" w:cs="Times New Roman"/>
          <w:sz w:val="20"/>
          <w:szCs w:val="20"/>
        </w:rPr>
        <w:t>5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84063" w:rsidRPr="00984063">
        <w:rPr>
          <w:rFonts w:ascii="Times New Roman" w:eastAsia="Times New Roman" w:hAnsi="Times New Roman" w:cs="Times New Roman"/>
          <w:sz w:val="20"/>
          <w:szCs w:val="20"/>
        </w:rPr>
        <w:t xml:space="preserve">The California Air Resources Board regulations </w:t>
      </w:r>
      <w:r w:rsidR="00984063">
        <w:rPr>
          <w:rFonts w:ascii="Times New Roman" w:eastAsia="Times New Roman" w:hAnsi="Times New Roman" w:cs="Times New Roman"/>
          <w:sz w:val="20"/>
          <w:szCs w:val="20"/>
        </w:rPr>
        <w:t xml:space="preserve">on durability </w:t>
      </w:r>
      <w:r w:rsidR="00984063" w:rsidRPr="00984063">
        <w:rPr>
          <w:rFonts w:ascii="Times New Roman" w:eastAsia="Times New Roman" w:hAnsi="Times New Roman" w:cs="Times New Roman"/>
          <w:sz w:val="20"/>
          <w:szCs w:val="20"/>
        </w:rPr>
        <w:t>are contained in California Code of Regulations Title 13 Section 1958(c).</w:t>
      </w:r>
    </w:p>
    <w:p w14:paraId="64B547ED" w14:textId="2FDAEFD1" w:rsidR="006E2E4A" w:rsidRDefault="005A274D" w:rsidP="00D45586">
      <w:pPr>
        <w:keepNext/>
        <w:keepLines/>
        <w:tabs>
          <w:tab w:val="right" w:pos="851"/>
        </w:tabs>
        <w:suppressAutoHyphens/>
        <w:spacing w:after="120" w:line="270" w:lineRule="exact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B281E">
        <w:rPr>
          <w:rFonts w:ascii="Times New Roman" w:eastAsia="Times New Roman" w:hAnsi="Times New Roman" w:cs="Times New Roman"/>
          <w:sz w:val="20"/>
          <w:szCs w:val="20"/>
        </w:rPr>
        <w:t>6</w:t>
      </w:r>
      <w:r w:rsidR="006E2E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82F">
        <w:rPr>
          <w:rFonts w:ascii="Times New Roman" w:eastAsia="Times New Roman" w:hAnsi="Times New Roman" w:cs="Times New Roman"/>
          <w:sz w:val="20"/>
          <w:szCs w:val="20"/>
        </w:rPr>
        <w:tab/>
      </w:r>
      <w:r w:rsidR="006E2E4A">
        <w:rPr>
          <w:rFonts w:ascii="Times New Roman" w:eastAsia="Times New Roman" w:hAnsi="Times New Roman" w:cs="Times New Roman"/>
          <w:sz w:val="20"/>
          <w:szCs w:val="20"/>
        </w:rPr>
        <w:t>In the develo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pment of the </w:t>
      </w:r>
      <w:r w:rsidR="00336232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GTR, the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EPPR IWG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will take into consideration the existing regulation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to reach harmonised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provisions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69D8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D54D8">
        <w:rPr>
          <w:rFonts w:ascii="Times New Roman" w:eastAsia="Times New Roman" w:hAnsi="Times New Roman" w:cs="Times New Roman"/>
          <w:sz w:val="20"/>
          <w:szCs w:val="20"/>
        </w:rPr>
        <w:t xml:space="preserve"> test procedures and requirements.</w:t>
      </w:r>
    </w:p>
    <w:p w14:paraId="199528B7" w14:textId="77777777" w:rsidR="00213653" w:rsidRPr="00213653" w:rsidRDefault="00213653" w:rsidP="00213653">
      <w:pPr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6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V.</w:t>
      </w:r>
      <w:r w:rsidRPr="002136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136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Timeline</w:t>
      </w:r>
    </w:p>
    <w:p w14:paraId="0A47B140" w14:textId="77777777" w:rsidR="00213653" w:rsidRDefault="005A274D" w:rsidP="00213653">
      <w:pPr>
        <w:suppressAutoHyphens/>
        <w:spacing w:after="120" w:line="240" w:lineRule="atLeast"/>
        <w:ind w:left="113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1B281E">
        <w:rPr>
          <w:rFonts w:ascii="Times New Roman" w:eastAsia="SimSun" w:hAnsi="Times New Roman" w:cs="Times New Roman"/>
          <w:sz w:val="20"/>
          <w:szCs w:val="20"/>
          <w:lang w:eastAsia="zh-CN"/>
        </w:rPr>
        <w:t>7</w:t>
      </w:r>
      <w:r w:rsidR="00213653" w:rsidRPr="00213653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213653" w:rsidRPr="002136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213653" w:rsidRPr="00213653">
        <w:rPr>
          <w:rFonts w:ascii="Times New Roman" w:eastAsia="SimSun" w:hAnsi="Times New Roman" w:cs="Times New Roman"/>
          <w:sz w:val="20"/>
          <w:szCs w:val="20"/>
          <w:lang w:eastAsia="zh-CN"/>
        </w:rPr>
        <w:t>The timelines proposed below for the new mandate are target timelines. The plan will be regularly reviewed and updated to reflect progress and feasibility of the timeline.</w:t>
      </w:r>
    </w:p>
    <w:p w14:paraId="7B67A3A3" w14:textId="77777777" w:rsidR="00213653" w:rsidRDefault="00213653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13653">
        <w:rPr>
          <w:rFonts w:ascii="Times New Roman" w:eastAsia="Times New Roman" w:hAnsi="Times New Roman" w:cs="Times New Roman"/>
          <w:sz w:val="20"/>
          <w:szCs w:val="20"/>
        </w:rPr>
        <w:t>January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 IWG presents timeline and framework for mandate request in GRPE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2136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FD97AE" w14:textId="788D1293" w:rsidR="00213653" w:rsidRDefault="00213653" w:rsidP="00213653">
      <w:pPr>
        <w:keepNext/>
        <w:keepLines/>
        <w:tabs>
          <w:tab w:val="left" w:pos="1843"/>
        </w:tabs>
        <w:spacing w:after="120"/>
        <w:ind w:left="1134" w:firstLine="284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(b)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="005E2C4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June</w:t>
      </w:r>
      <w:r w:rsidR="005E2C4C"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202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1</w:t>
      </w:r>
      <w:r w:rsidRPr="0021365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: Request for authorization submitted to AC.3;</w:t>
      </w:r>
    </w:p>
    <w:p w14:paraId="08B0C49B" w14:textId="77777777" w:rsidR="00213653" w:rsidRDefault="00213653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(c)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January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June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continues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formulat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ing and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drafting UN GTR with elements agreed upon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0733259" w14:textId="6715E14A" w:rsidR="00213653" w:rsidRPr="00213653" w:rsidRDefault="00AF3530" w:rsidP="00AF3530">
      <w:pPr>
        <w:tabs>
          <w:tab w:val="left" w:pos="2268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>d)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June 202</w:t>
      </w:r>
      <w:r w:rsidR="0021365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provides an update to the June 202</w:t>
      </w:r>
      <w:r w:rsidR="0021365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meeting of GRPE with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 first draft (informal document) of the </w:t>
      </w:r>
      <w:r w:rsidR="00A43FCA">
        <w:rPr>
          <w:rFonts w:ascii="Times New Roman" w:eastAsia="Times New Roman" w:hAnsi="Times New Roman" w:cs="Times New Roman"/>
          <w:bCs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GTR </w:t>
      </w: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for further discussion and recommendation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213653" w:rsidRPr="00213653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5E5F311C" w14:textId="570E80F8" w:rsidR="00213653" w:rsidRPr="00213653" w:rsidRDefault="00213653" w:rsidP="00AF3530">
      <w:pPr>
        <w:tabs>
          <w:tab w:val="left" w:pos="2268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(e)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ab/>
        <w:t>June 202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</w:t>
      </w:r>
      <w:r w:rsidR="005E2C4C">
        <w:rPr>
          <w:rFonts w:ascii="Times New Roman" w:eastAsia="Times New Roman" w:hAnsi="Times New Roman" w:cs="Times New Roman"/>
          <w:bCs/>
          <w:sz w:val="20"/>
          <w:szCs w:val="20"/>
        </w:rPr>
        <w:t>Octo</w:t>
      </w:r>
      <w:r w:rsidR="005E2C4C"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ber 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Pr="00213653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</w:t>
      </w:r>
      <w:r w:rsidR="00AF3530">
        <w:rPr>
          <w:rFonts w:ascii="Times New Roman" w:eastAsia="Times New Roman" w:hAnsi="Times New Roman" w:cs="Times New Roman"/>
          <w:bCs/>
          <w:sz w:val="20"/>
          <w:szCs w:val="20"/>
        </w:rPr>
        <w:t>conclude the GTR and prepares a formal (working) document of the GTR to be submitted to the GRPE.</w:t>
      </w:r>
    </w:p>
    <w:p w14:paraId="04EBE288" w14:textId="6926394F" w:rsidR="00213653" w:rsidRPr="00213653" w:rsidRDefault="00AF3530" w:rsidP="00213653">
      <w:pPr>
        <w:keepNext/>
        <w:keepLines/>
        <w:tabs>
          <w:tab w:val="left" w:pos="1843"/>
        </w:tabs>
        <w:spacing w:after="120"/>
        <w:ind w:left="1843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>f)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ab/>
        <w:t>January 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EPPR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 xml:space="preserve"> IWG presents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C01E90">
        <w:rPr>
          <w:rFonts w:ascii="Times New Roman" w:eastAsia="Times New Roman" w:hAnsi="Times New Roman" w:cs="Times New Roman"/>
          <w:bCs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GTR </w:t>
      </w:r>
      <w:r w:rsidR="00213653" w:rsidRPr="00AF3530">
        <w:rPr>
          <w:rFonts w:ascii="Times New Roman" w:eastAsia="Times New Roman" w:hAnsi="Times New Roman" w:cs="Times New Roman"/>
          <w:bCs/>
          <w:sz w:val="20"/>
          <w:szCs w:val="20"/>
        </w:rPr>
        <w:t>to GRPE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and ask for endorsement </w:t>
      </w:r>
      <w:r w:rsidRPr="00AF3530">
        <w:rPr>
          <w:rFonts w:ascii="Times New Roman" w:eastAsia="Times New Roman" w:hAnsi="Times New Roman" w:cs="Times New Roman"/>
          <w:bCs/>
          <w:sz w:val="20"/>
          <w:szCs w:val="20"/>
        </w:rPr>
        <w:t>for consideration by WP.29 and AC.3.</w:t>
      </w:r>
    </w:p>
    <w:p w14:paraId="685E34CD" w14:textId="77777777" w:rsidR="00213653" w:rsidRPr="00986394" w:rsidRDefault="00AF3530" w:rsidP="00AF3530">
      <w:pPr>
        <w:spacing w:before="240"/>
        <w:jc w:val="center"/>
      </w:pPr>
      <w:r w:rsidRPr="00F72881">
        <w:rPr>
          <w:u w:val="single"/>
        </w:rPr>
        <w:tab/>
      </w:r>
      <w:r w:rsidRPr="00F72881">
        <w:rPr>
          <w:u w:val="single"/>
        </w:rPr>
        <w:tab/>
      </w:r>
      <w:r>
        <w:rPr>
          <w:u w:val="single"/>
        </w:rPr>
        <w:t>_</w:t>
      </w:r>
    </w:p>
    <w:p w14:paraId="011C7B90" w14:textId="77777777" w:rsidR="00986394" w:rsidRPr="008D6FC9" w:rsidRDefault="00986394" w:rsidP="00986394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86394" w:rsidRPr="008D6FC9" w:rsidSect="00FA69D8">
      <w:headerReference w:type="first" r:id="rId11"/>
      <w:pgSz w:w="11900" w:h="16840"/>
      <w:pgMar w:top="1417" w:right="226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78B2" w14:textId="77777777" w:rsidR="00A82ADE" w:rsidRDefault="00A82ADE" w:rsidP="00803A38">
      <w:r>
        <w:separator/>
      </w:r>
    </w:p>
  </w:endnote>
  <w:endnote w:type="continuationSeparator" w:id="0">
    <w:p w14:paraId="62F5051F" w14:textId="77777777" w:rsidR="00A82ADE" w:rsidRDefault="00A82ADE" w:rsidP="008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FE56" w14:textId="77777777" w:rsidR="00A82ADE" w:rsidRDefault="00A82ADE" w:rsidP="00803A38">
      <w:r>
        <w:separator/>
      </w:r>
    </w:p>
  </w:footnote>
  <w:footnote w:type="continuationSeparator" w:id="0">
    <w:p w14:paraId="024E8AAF" w14:textId="77777777" w:rsidR="00A82ADE" w:rsidRDefault="00A82ADE" w:rsidP="00803A38">
      <w:r>
        <w:continuationSeparator/>
      </w:r>
    </w:p>
  </w:footnote>
  <w:footnote w:id="1">
    <w:p w14:paraId="15B5F031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03A38">
        <w:rPr>
          <w:rStyle w:val="FootnoteReference"/>
          <w:sz w:val="22"/>
        </w:rPr>
        <w:footnoteRef/>
      </w:r>
      <w:r w:rsidRPr="00803A38">
        <w:rPr>
          <w:sz w:val="22"/>
        </w:rPr>
        <w:t xml:space="preserve"> </w:t>
      </w:r>
      <w:r w:rsidRPr="00D45586">
        <w:rPr>
          <w:sz w:val="16"/>
          <w:szCs w:val="16"/>
        </w:rPr>
        <w:t xml:space="preserve">http://www.unece.org/fileadmin/DAM/trans/main/wp29/wp29wgs/wp29gen/wp29registry/ECE-TRANS-180a17e.pdf </w:t>
      </w:r>
    </w:p>
  </w:footnote>
  <w:footnote w:id="2">
    <w:p w14:paraId="7FCC5160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D45586">
        <w:rPr>
          <w:rStyle w:val="FootnoteReference"/>
          <w:sz w:val="16"/>
          <w:szCs w:val="16"/>
        </w:rPr>
        <w:footnoteRef/>
      </w:r>
      <w:r w:rsidRPr="00D45586">
        <w:rPr>
          <w:sz w:val="16"/>
          <w:szCs w:val="16"/>
        </w:rPr>
        <w:t xml:space="preserve"> </w:t>
      </w:r>
      <w:r w:rsidRPr="00D45586">
        <w:rPr>
          <w:sz w:val="16"/>
          <w:szCs w:val="16"/>
        </w:rPr>
        <w:t xml:space="preserve">http://www.unece.org/fileadmin/DAM/trans/main/wp29/wp29wgs/wp29gen/wp29registry/ECE-TRANS-180a18e.pdf </w:t>
      </w:r>
    </w:p>
  </w:footnote>
  <w:footnote w:id="3">
    <w:p w14:paraId="5C5ADE50" w14:textId="77777777" w:rsidR="00803A38" w:rsidRPr="00D45586" w:rsidRDefault="00803A38" w:rsidP="00803A38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D45586">
        <w:rPr>
          <w:rStyle w:val="FootnoteReference"/>
          <w:sz w:val="16"/>
          <w:szCs w:val="16"/>
        </w:rPr>
        <w:footnoteRef/>
      </w:r>
      <w:r w:rsidRPr="00D45586">
        <w:rPr>
          <w:sz w:val="16"/>
          <w:szCs w:val="16"/>
          <w:lang w:val="en-US"/>
        </w:rPr>
        <w:t xml:space="preserve"> https://www.unece.org/fileadmin/DAM/trans/main/wp29/wp29wgs/wp29gen/wp29registry/ECE-TRANS- 180a2am4e_for_submission.pdf </w:t>
      </w:r>
    </w:p>
    <w:p w14:paraId="250F8871" w14:textId="77777777" w:rsidR="00803A38" w:rsidRPr="00803A38" w:rsidRDefault="00803A38">
      <w:pPr>
        <w:pStyle w:val="FootnoteText"/>
        <w:rPr>
          <w:lang w:val="en-US"/>
        </w:rPr>
      </w:pPr>
    </w:p>
  </w:footnote>
  <w:footnote w:id="4">
    <w:p w14:paraId="5FF227AC" w14:textId="77777777" w:rsidR="00D82781" w:rsidRPr="00D82781" w:rsidRDefault="00D82781">
      <w:pPr>
        <w:pStyle w:val="FootnoteText"/>
        <w:rPr>
          <w:sz w:val="16"/>
          <w:szCs w:val="16"/>
          <w:lang w:val="en-US"/>
        </w:rPr>
      </w:pPr>
      <w:r w:rsidRPr="00D82781">
        <w:rPr>
          <w:rStyle w:val="FootnoteReference"/>
          <w:sz w:val="16"/>
          <w:szCs w:val="16"/>
        </w:rPr>
        <w:footnoteRef/>
      </w:r>
      <w:r w:rsidRPr="00D82781">
        <w:rPr>
          <w:sz w:val="16"/>
          <w:szCs w:val="16"/>
        </w:rPr>
        <w:t xml:space="preserve"> </w:t>
      </w:r>
      <w:r w:rsidRPr="00D45586">
        <w:rPr>
          <w:rFonts w:ascii="Times New Roman" w:hAnsi="Times New Roman" w:cs="Times New Roman"/>
          <w:sz w:val="16"/>
          <w:szCs w:val="16"/>
        </w:rPr>
        <w:t>ECE/TRANS/WP.29/2020/129 and ECE/TRANS/WP.29/2020/130: Amendment 1 to UN GTR No. 18 (On-Board Diagnostic (OBD) systems for L-category vehicles) and its Technical Report.</w:t>
      </w:r>
    </w:p>
  </w:footnote>
  <w:footnote w:id="5">
    <w:p w14:paraId="67E8DC68" w14:textId="77777777" w:rsidR="00D45586" w:rsidRPr="00D45586" w:rsidRDefault="00D45586" w:rsidP="001B281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B281E">
        <w:rPr>
          <w:rFonts w:ascii="Times New Roman" w:hAnsi="Times New Roman" w:cs="Times New Roman"/>
          <w:sz w:val="18"/>
          <w:szCs w:val="18"/>
        </w:rPr>
        <w:t xml:space="preserve">COMMISSION DELEGATED REGULATION (EU) No 134/2014 of 16 December 2013 supplementing Regulation (EU) No 168/2013 of the European Parliament and of the Council </w:t>
      </w:r>
      <w:proofErr w:type="gramStart"/>
      <w:r w:rsidRPr="001B281E">
        <w:rPr>
          <w:rFonts w:ascii="Times New Roman" w:hAnsi="Times New Roman" w:cs="Times New Roman"/>
          <w:sz w:val="18"/>
          <w:szCs w:val="18"/>
        </w:rPr>
        <w:t>with regard to</w:t>
      </w:r>
      <w:proofErr w:type="gramEnd"/>
      <w:r w:rsidRPr="001B281E">
        <w:rPr>
          <w:rFonts w:ascii="Times New Roman" w:hAnsi="Times New Roman" w:cs="Times New Roman"/>
          <w:sz w:val="18"/>
          <w:szCs w:val="18"/>
        </w:rPr>
        <w:t xml:space="preserve"> environmental and propulsion unit performance requirements and amending Annex V thereof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6B5C6356" w14:textId="77777777" w:rsidR="00984063" w:rsidRPr="00901673" w:rsidRDefault="00984063" w:rsidP="001B281E">
      <w:pPr>
        <w:pStyle w:val="FootnoteText"/>
        <w:jc w:val="both"/>
        <w:rPr>
          <w:lang w:val="en-IE"/>
        </w:rPr>
      </w:pPr>
      <w:r w:rsidRPr="0090167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01673">
        <w:rPr>
          <w:rFonts w:ascii="Times New Roman" w:hAnsi="Times New Roman" w:cs="Times New Roman"/>
          <w:sz w:val="16"/>
          <w:szCs w:val="16"/>
        </w:rPr>
        <w:t xml:space="preserve"> 40 </w:t>
      </w:r>
      <w:r w:rsidRPr="001B281E">
        <w:rPr>
          <w:rFonts w:ascii="Times New Roman" w:hAnsi="Times New Roman" w:cs="Times New Roman"/>
          <w:sz w:val="18"/>
          <w:szCs w:val="18"/>
        </w:rPr>
        <w:t>CFR Part 86 (86.419, 86.426, 86.427, and 86.432).</w:t>
      </w:r>
      <w:r w:rsidRPr="00984063">
        <w:t xml:space="preserve">  </w:t>
      </w:r>
    </w:p>
  </w:footnote>
  <w:footnote w:id="7">
    <w:p w14:paraId="525BC71D" w14:textId="77777777" w:rsidR="00E16B83" w:rsidRPr="001B281E" w:rsidRDefault="00E16B83" w:rsidP="001B281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B281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281E">
        <w:rPr>
          <w:rFonts w:ascii="Times New Roman" w:hAnsi="Times New Roman" w:cs="Times New Roman"/>
          <w:sz w:val="18"/>
          <w:szCs w:val="18"/>
        </w:rPr>
        <w:t>Emission Durability Procedures for New Light-Duty Vehicles, Light-Duty Trucks and Heavy-Du</w:t>
      </w:r>
      <w:r w:rsidR="001B281E">
        <w:rPr>
          <w:rFonts w:ascii="Times New Roman" w:hAnsi="Times New Roman" w:cs="Times New Roman"/>
          <w:sz w:val="18"/>
          <w:szCs w:val="18"/>
        </w:rPr>
        <w:t xml:space="preserve">ty Vehicles”. January 17, 2006. </w:t>
      </w:r>
      <w:r w:rsidRPr="001B281E">
        <w:rPr>
          <w:rFonts w:ascii="Times New Roman" w:hAnsi="Times New Roman" w:cs="Times New Roman"/>
          <w:sz w:val="18"/>
          <w:szCs w:val="18"/>
        </w:rPr>
        <w:t>40 CFR Part 86, 71 FR 2809</w:t>
      </w:r>
      <w:r>
        <w:t xml:space="preserve"> </w:t>
      </w:r>
    </w:p>
  </w:footnote>
  <w:footnote w:id="8">
    <w:p w14:paraId="25F27A87" w14:textId="77777777" w:rsidR="00A71171" w:rsidRPr="00A71171" w:rsidRDefault="00A71171" w:rsidP="001B281E">
      <w:pPr>
        <w:pStyle w:val="FootnoteText"/>
        <w:jc w:val="both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GB 14622-2016 </w:t>
      </w:r>
      <w:r w:rsidRPr="001B281E">
        <w:rPr>
          <w:rFonts w:ascii="Times New Roman" w:hAnsi="Times New Roman" w:cs="Times New Roman"/>
          <w:sz w:val="18"/>
          <w:szCs w:val="18"/>
        </w:rPr>
        <w:t xml:space="preserve">“Limits and measurement methods for 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emissions from motorcycles” and </w:t>
      </w:r>
      <w:r w:rsidRPr="001B281E">
        <w:rPr>
          <w:rFonts w:ascii="Times New Roman" w:hAnsi="Times New Roman" w:cs="Times New Roman"/>
          <w:sz w:val="18"/>
          <w:szCs w:val="18"/>
        </w:rPr>
        <w:t>GB 18176-2016</w:t>
      </w:r>
      <w:r w:rsidR="001B281E" w:rsidRPr="001B281E">
        <w:rPr>
          <w:rFonts w:ascii="Times New Roman" w:hAnsi="Times New Roman" w:cs="Times New Roman"/>
          <w:sz w:val="18"/>
          <w:szCs w:val="18"/>
        </w:rPr>
        <w:t xml:space="preserve"> “Limits and </w:t>
      </w:r>
      <w:r w:rsidRPr="001B281E">
        <w:rPr>
          <w:rFonts w:ascii="Times New Roman" w:hAnsi="Times New Roman" w:cs="Times New Roman"/>
          <w:sz w:val="18"/>
          <w:szCs w:val="18"/>
        </w:rPr>
        <w:t>measurement methods for emissions from mopeds</w:t>
      </w:r>
      <w:r w:rsidR="001B281E" w:rsidRPr="001B281E">
        <w:rPr>
          <w:rFonts w:ascii="Times New Roman" w:hAnsi="Times New Roman" w:cs="Times New Roman"/>
          <w:sz w:val="18"/>
          <w:szCs w:val="18"/>
        </w:rPr>
        <w:t>”</w:t>
      </w:r>
      <w:r w:rsidR="001B281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4144"/>
    </w:tblGrid>
    <w:tr w:rsidR="00FA69D8" w:rsidRPr="00D4041C" w14:paraId="2E32920B" w14:textId="77777777" w:rsidTr="00BE3924">
      <w:trPr>
        <w:trHeight w:val="720"/>
      </w:trPr>
      <w:tc>
        <w:tcPr>
          <w:tcW w:w="5495" w:type="dxa"/>
          <w:shd w:val="clear" w:color="auto" w:fill="auto"/>
        </w:tcPr>
        <w:p w14:paraId="35777609" w14:textId="77777777" w:rsidR="00FA69D8" w:rsidRPr="00FA69D8" w:rsidRDefault="00FA69D8" w:rsidP="00FA69D8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</w:rPr>
          </w:pPr>
          <w:r w:rsidRPr="00FA69D8">
            <w:rPr>
              <w:rFonts w:ascii="Times New Roman" w:hAnsi="Times New Roman" w:cs="Times New Roman"/>
            </w:rPr>
            <w:t>Submitted by the Chair of the EPPR IWG</w:t>
          </w:r>
        </w:p>
      </w:tc>
      <w:tc>
        <w:tcPr>
          <w:tcW w:w="4144" w:type="dxa"/>
          <w:shd w:val="clear" w:color="auto" w:fill="auto"/>
        </w:tcPr>
        <w:p w14:paraId="42F804D2" w14:textId="358D9425" w:rsidR="00FA69D8" w:rsidRPr="00432D2B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  <w:u w:val="single"/>
            </w:rPr>
          </w:pPr>
          <w:r w:rsidRPr="00432D2B">
            <w:rPr>
              <w:rFonts w:asciiTheme="majorBidi" w:hAnsiTheme="majorBidi" w:cstheme="majorBidi"/>
              <w:sz w:val="22"/>
              <w:szCs w:val="28"/>
              <w:u w:val="single"/>
            </w:rPr>
            <w:t>Informal</w:t>
          </w:r>
          <w:r>
            <w:rPr>
              <w:rFonts w:asciiTheme="majorBidi" w:hAnsiTheme="majorBidi" w:cstheme="majorBidi"/>
              <w:sz w:val="22"/>
              <w:szCs w:val="28"/>
              <w:u w:val="single"/>
            </w:rPr>
            <w:t xml:space="preserve"> document</w:t>
          </w:r>
          <w:r w:rsidRPr="00432D2B">
            <w:rPr>
              <w:rFonts w:asciiTheme="majorBidi" w:hAnsiTheme="majorBidi" w:cstheme="majorBidi"/>
              <w:b/>
              <w:sz w:val="22"/>
              <w:szCs w:val="28"/>
            </w:rPr>
            <w:t xml:space="preserve"> GRPE-8</w:t>
          </w:r>
          <w:r>
            <w:rPr>
              <w:rFonts w:asciiTheme="majorBidi" w:hAnsiTheme="majorBidi" w:cstheme="majorBidi"/>
              <w:b/>
              <w:sz w:val="22"/>
              <w:szCs w:val="28"/>
            </w:rPr>
            <w:t>2</w:t>
          </w:r>
          <w:r w:rsidRPr="00432D2B">
            <w:rPr>
              <w:rFonts w:asciiTheme="majorBidi" w:hAnsiTheme="majorBidi" w:cstheme="majorBidi"/>
              <w:b/>
              <w:sz w:val="22"/>
              <w:szCs w:val="28"/>
            </w:rPr>
            <w:t>-</w:t>
          </w:r>
          <w:r w:rsidR="00A80BDE">
            <w:rPr>
              <w:rFonts w:asciiTheme="majorBidi" w:hAnsiTheme="majorBidi" w:cstheme="majorBidi"/>
              <w:b/>
              <w:sz w:val="22"/>
              <w:szCs w:val="28"/>
            </w:rPr>
            <w:t>26</w:t>
          </w:r>
          <w:r w:rsidR="00814B49">
            <w:rPr>
              <w:rFonts w:asciiTheme="majorBidi" w:hAnsiTheme="majorBidi" w:cstheme="majorBidi"/>
              <w:b/>
              <w:sz w:val="22"/>
              <w:szCs w:val="28"/>
            </w:rPr>
            <w:t>-Rev.1</w:t>
          </w:r>
        </w:p>
        <w:p w14:paraId="3FDDC60E" w14:textId="77777777" w:rsidR="00FA69D8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</w:rPr>
          </w:pPr>
          <w:r w:rsidRPr="00432D2B">
            <w:rPr>
              <w:rFonts w:asciiTheme="majorBidi" w:hAnsiTheme="majorBidi" w:cstheme="majorBidi"/>
              <w:sz w:val="22"/>
              <w:szCs w:val="28"/>
            </w:rPr>
            <w:t>8</w:t>
          </w:r>
          <w:r>
            <w:rPr>
              <w:rFonts w:asciiTheme="majorBidi" w:hAnsiTheme="majorBidi" w:cstheme="majorBidi"/>
              <w:sz w:val="22"/>
              <w:szCs w:val="28"/>
            </w:rPr>
            <w:t>2</w:t>
          </w:r>
          <w:r w:rsidRPr="00FA69D8">
            <w:rPr>
              <w:rFonts w:asciiTheme="majorBidi" w:hAnsiTheme="majorBidi" w:cstheme="majorBidi"/>
              <w:sz w:val="22"/>
              <w:szCs w:val="28"/>
              <w:vertAlign w:val="superscript"/>
            </w:rPr>
            <w:t>nd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 xml:space="preserve"> GRPE meeting, </w:t>
          </w:r>
          <w:r>
            <w:rPr>
              <w:rFonts w:asciiTheme="majorBidi" w:hAnsiTheme="majorBidi" w:cstheme="majorBidi"/>
              <w:sz w:val="22"/>
              <w:szCs w:val="28"/>
            </w:rPr>
            <w:t>13-15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 xml:space="preserve"> </w:t>
          </w:r>
          <w:proofErr w:type="gramStart"/>
          <w:r w:rsidRPr="00432D2B">
            <w:rPr>
              <w:rFonts w:asciiTheme="majorBidi" w:hAnsiTheme="majorBidi" w:cstheme="majorBidi"/>
              <w:sz w:val="22"/>
              <w:szCs w:val="28"/>
            </w:rPr>
            <w:t>J</w:t>
          </w:r>
          <w:r>
            <w:rPr>
              <w:rFonts w:asciiTheme="majorBidi" w:hAnsiTheme="majorBidi" w:cstheme="majorBidi"/>
              <w:sz w:val="22"/>
              <w:szCs w:val="28"/>
            </w:rPr>
            <w:t>anuary</w:t>
          </w:r>
          <w:r w:rsidRPr="00432D2B">
            <w:rPr>
              <w:rFonts w:asciiTheme="majorBidi" w:hAnsiTheme="majorBidi" w:cstheme="majorBidi"/>
              <w:sz w:val="22"/>
              <w:szCs w:val="28"/>
            </w:rPr>
            <w:t>,</w:t>
          </w:r>
          <w:proofErr w:type="gramEnd"/>
          <w:r w:rsidRPr="00432D2B">
            <w:rPr>
              <w:rFonts w:asciiTheme="majorBidi" w:hAnsiTheme="majorBidi" w:cstheme="majorBidi"/>
              <w:sz w:val="22"/>
              <w:szCs w:val="28"/>
            </w:rPr>
            <w:t xml:space="preserve"> 202</w:t>
          </w:r>
          <w:r>
            <w:rPr>
              <w:rFonts w:asciiTheme="majorBidi" w:hAnsiTheme="majorBidi" w:cstheme="majorBidi"/>
              <w:sz w:val="22"/>
              <w:szCs w:val="28"/>
            </w:rPr>
            <w:t>1</w:t>
          </w:r>
        </w:p>
        <w:p w14:paraId="3A03D1CA" w14:textId="77777777" w:rsidR="00FA69D8" w:rsidRPr="00432D2B" w:rsidRDefault="00FA69D8" w:rsidP="00FA69D8">
          <w:pPr>
            <w:ind w:left="75"/>
            <w:jc w:val="right"/>
            <w:rPr>
              <w:rFonts w:asciiTheme="majorBidi" w:hAnsiTheme="majorBidi" w:cstheme="majorBidi"/>
              <w:sz w:val="22"/>
              <w:szCs w:val="28"/>
            </w:rPr>
          </w:pPr>
          <w:r>
            <w:rPr>
              <w:rFonts w:asciiTheme="majorBidi" w:hAnsiTheme="majorBidi" w:cstheme="majorBidi"/>
              <w:sz w:val="22"/>
              <w:szCs w:val="28"/>
            </w:rPr>
            <w:t>Agenda Item 8(c)</w:t>
          </w:r>
        </w:p>
        <w:p w14:paraId="3F940FE5" w14:textId="77777777" w:rsidR="00FA69D8" w:rsidRPr="00D4041C" w:rsidRDefault="00FA69D8" w:rsidP="00FA69D8">
          <w:pPr>
            <w:tabs>
              <w:tab w:val="center" w:pos="4680"/>
              <w:tab w:val="right" w:pos="9360"/>
            </w:tabs>
            <w:jc w:val="right"/>
            <w:rPr>
              <w:rFonts w:ascii="Univers (W1)" w:hAnsi="Univers (W1)"/>
            </w:rPr>
          </w:pPr>
        </w:p>
      </w:tc>
    </w:tr>
  </w:tbl>
  <w:p w14:paraId="65197F45" w14:textId="77777777" w:rsidR="00FA69D8" w:rsidRDefault="00FA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523"/>
    <w:multiLevelType w:val="hybridMultilevel"/>
    <w:tmpl w:val="FE48C8C4"/>
    <w:lvl w:ilvl="0" w:tplc="52200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7A7"/>
    <w:multiLevelType w:val="hybridMultilevel"/>
    <w:tmpl w:val="6CB6EB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D0"/>
    <w:rsid w:val="00001953"/>
    <w:rsid w:val="00003276"/>
    <w:rsid w:val="000A0F3B"/>
    <w:rsid w:val="00101B36"/>
    <w:rsid w:val="00156FE9"/>
    <w:rsid w:val="001B281E"/>
    <w:rsid w:val="001C1369"/>
    <w:rsid w:val="001C52BC"/>
    <w:rsid w:val="00213653"/>
    <w:rsid w:val="0029382F"/>
    <w:rsid w:val="003330E5"/>
    <w:rsid w:val="00336232"/>
    <w:rsid w:val="003E1181"/>
    <w:rsid w:val="004A208C"/>
    <w:rsid w:val="004A775C"/>
    <w:rsid w:val="005313CA"/>
    <w:rsid w:val="005975DE"/>
    <w:rsid w:val="005A274D"/>
    <w:rsid w:val="005B3E6C"/>
    <w:rsid w:val="005D54D8"/>
    <w:rsid w:val="005E2C4C"/>
    <w:rsid w:val="005F482F"/>
    <w:rsid w:val="00682EBE"/>
    <w:rsid w:val="006E2E4A"/>
    <w:rsid w:val="006F52BB"/>
    <w:rsid w:val="00715850"/>
    <w:rsid w:val="00787D39"/>
    <w:rsid w:val="00803A38"/>
    <w:rsid w:val="00814B49"/>
    <w:rsid w:val="00861B36"/>
    <w:rsid w:val="008B0F31"/>
    <w:rsid w:val="008D6FC9"/>
    <w:rsid w:val="00901673"/>
    <w:rsid w:val="009220D8"/>
    <w:rsid w:val="0098310E"/>
    <w:rsid w:val="00984063"/>
    <w:rsid w:val="00986394"/>
    <w:rsid w:val="00A303C4"/>
    <w:rsid w:val="00A43FCA"/>
    <w:rsid w:val="00A71171"/>
    <w:rsid w:val="00A80BDE"/>
    <w:rsid w:val="00A82A92"/>
    <w:rsid w:val="00A82ADE"/>
    <w:rsid w:val="00AC2008"/>
    <w:rsid w:val="00AF1F8E"/>
    <w:rsid w:val="00AF3530"/>
    <w:rsid w:val="00B0241F"/>
    <w:rsid w:val="00B62EFB"/>
    <w:rsid w:val="00C01E90"/>
    <w:rsid w:val="00C4659F"/>
    <w:rsid w:val="00CB4035"/>
    <w:rsid w:val="00CB6D74"/>
    <w:rsid w:val="00CC0D0B"/>
    <w:rsid w:val="00CF5F16"/>
    <w:rsid w:val="00D12140"/>
    <w:rsid w:val="00D45586"/>
    <w:rsid w:val="00D82781"/>
    <w:rsid w:val="00DE571B"/>
    <w:rsid w:val="00E114D0"/>
    <w:rsid w:val="00E16B83"/>
    <w:rsid w:val="00E73A97"/>
    <w:rsid w:val="00EF7BDA"/>
    <w:rsid w:val="00F43103"/>
    <w:rsid w:val="00FA69D8"/>
    <w:rsid w:val="00FB0C1D"/>
    <w:rsid w:val="00FB7801"/>
    <w:rsid w:val="00FC2818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30021"/>
  <w15:chartTrackingRefBased/>
  <w15:docId w15:val="{8A0A0D86-8BE7-384D-98FE-5463658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D0"/>
    <w:pPr>
      <w:ind w:left="720"/>
      <w:contextualSpacing/>
    </w:pPr>
  </w:style>
  <w:style w:type="paragraph" w:customStyle="1" w:styleId="HChG">
    <w:name w:val="_ H _Ch_G"/>
    <w:basedOn w:val="Normal"/>
    <w:next w:val="Normal"/>
    <w:link w:val="HChGChar"/>
    <w:qFormat/>
    <w:rsid w:val="00E114D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E114D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A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3A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F7B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DA"/>
  </w:style>
  <w:style w:type="paragraph" w:styleId="Footer">
    <w:name w:val="footer"/>
    <w:basedOn w:val="Normal"/>
    <w:link w:val="FooterChar"/>
    <w:uiPriority w:val="99"/>
    <w:unhideWhenUsed/>
    <w:rsid w:val="00EF7B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DA"/>
  </w:style>
  <w:style w:type="paragraph" w:styleId="BalloonText">
    <w:name w:val="Balloon Text"/>
    <w:basedOn w:val="Normal"/>
    <w:link w:val="BalloonTextChar"/>
    <w:uiPriority w:val="99"/>
    <w:semiHidden/>
    <w:unhideWhenUsed/>
    <w:rsid w:val="0098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6DC2D-5D8D-4BAA-90DC-EADDF2700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F50A6-4E34-4465-895F-1CE5B8682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FD716-C546-46AC-8A83-E366E931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A75EC-962A-4FB7-B076-403A64D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PERUJO MATEOS DEL PARQUE Adolfo (JRC-ISPRA)</dc:creator>
  <cp:keywords/>
  <dc:description/>
  <cp:lastModifiedBy>FC</cp:lastModifiedBy>
  <cp:revision>13</cp:revision>
  <dcterms:created xsi:type="dcterms:W3CDTF">2021-01-11T13:57:00Z</dcterms:created>
  <dcterms:modified xsi:type="dcterms:W3CDTF">2021-01-11T17:49:00Z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