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3C5BD33">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7B173DD9" w:rsidR="009E6CB7" w:rsidRPr="00D47EEA" w:rsidRDefault="00772D17" w:rsidP="00772D17">
            <w:pPr>
              <w:jc w:val="right"/>
            </w:pPr>
            <w:r w:rsidRPr="00772D17">
              <w:rPr>
                <w:sz w:val="40"/>
              </w:rPr>
              <w:t>ECE</w:t>
            </w:r>
            <w:r>
              <w:t>/TRANS/WP.29/202</w:t>
            </w:r>
            <w:r w:rsidR="00AE5D86">
              <w:t>1</w:t>
            </w:r>
            <w:r>
              <w:t>/</w:t>
            </w:r>
            <w:r w:rsidR="0075684C">
              <w:t>52</w:t>
            </w:r>
          </w:p>
        </w:tc>
      </w:tr>
      <w:tr w:rsidR="009E6CB7" w14:paraId="314DE0AD" w14:textId="77777777" w:rsidTr="03C5BD33">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5FDEA76D" w:rsidR="00772D17" w:rsidRDefault="008C700B" w:rsidP="00772D17">
            <w:pPr>
              <w:spacing w:line="240" w:lineRule="exact"/>
            </w:pPr>
            <w:r>
              <w:t>2</w:t>
            </w:r>
            <w:r w:rsidR="007408CA">
              <w:t>2</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bookmarkStart w:id="0" w:name="_GoBack"/>
      <w:r>
        <w:rPr>
          <w:lang w:val="en-US"/>
        </w:rPr>
        <w:t>G</w:t>
      </w:r>
      <w:bookmarkEnd w:id="0"/>
      <w:r>
        <w:rPr>
          <w:lang w:val="en-US"/>
        </w:rPr>
        <w:t xml:space="preserve">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3E22CBA7" w:rsidR="00772D17" w:rsidRDefault="00772D17" w:rsidP="00772D17">
      <w:r>
        <w:t xml:space="preserve">Item </w:t>
      </w:r>
      <w:r w:rsidRPr="00B16647">
        <w:t>4.</w:t>
      </w:r>
      <w:r w:rsidR="00953690">
        <w:t>16</w:t>
      </w:r>
      <w:r w:rsidRPr="00B16647">
        <w:t>.</w:t>
      </w:r>
      <w:r w:rsidR="00953690">
        <w:t>1 and</w:t>
      </w:r>
      <w:r w:rsidR="00F77CAA">
        <w:t xml:space="preserve"> 14.4.1.</w:t>
      </w:r>
      <w:r>
        <w:t xml:space="preserve"> of the provisional agenda</w:t>
      </w:r>
    </w:p>
    <w:p w14:paraId="20082425" w14:textId="7D27685B" w:rsidR="001C6663" w:rsidRDefault="00772D17" w:rsidP="00772D17">
      <w:pPr>
        <w:rPr>
          <w:b/>
        </w:rPr>
      </w:pPr>
      <w:r>
        <w:rPr>
          <w:b/>
        </w:rPr>
        <w:t>1958 Agreement:</w:t>
      </w:r>
      <w:r>
        <w:rPr>
          <w:b/>
        </w:rPr>
        <w:br/>
      </w:r>
      <w:r w:rsidR="00F77CAA">
        <w:rPr>
          <w:b/>
        </w:rPr>
        <w:t>Proposal</w:t>
      </w:r>
      <w:r w:rsidR="00697715">
        <w:rPr>
          <w:b/>
        </w:rPr>
        <w:t xml:space="preserve"> for new Mutual Resolutions </w:t>
      </w:r>
      <w:r w:rsidR="00747965">
        <w:rPr>
          <w:b/>
        </w:rPr>
        <w:br/>
        <w:t>of</w:t>
      </w:r>
      <w:r w:rsidR="00697715">
        <w:rPr>
          <w:b/>
        </w:rPr>
        <w:t xml:space="preserve"> the 1958 and the 1998 Agreement</w:t>
      </w:r>
      <w:r w:rsidR="00747965">
        <w:rPr>
          <w:b/>
        </w:rPr>
        <w:t>s</w:t>
      </w:r>
    </w:p>
    <w:p w14:paraId="735F57C9" w14:textId="7C2FA4BA" w:rsidR="00772D17" w:rsidRDefault="00772D17" w:rsidP="00772D17">
      <w:pPr>
        <w:pStyle w:val="HChG"/>
      </w:pPr>
      <w:r>
        <w:tab/>
      </w:r>
      <w:r>
        <w:tab/>
      </w:r>
      <w:bookmarkStart w:id="1" w:name="_Toc30159502"/>
      <w:r w:rsidR="00C07DFA">
        <w:t xml:space="preserve">Proposal for a </w:t>
      </w:r>
      <w:r w:rsidR="00C07DFA" w:rsidRPr="00615343">
        <w:t xml:space="preserve">Mutual Resolution </w:t>
      </w:r>
      <w:r w:rsidR="00C07DFA">
        <w:t>No.</w:t>
      </w:r>
      <w:r w:rsidR="00C07DFA" w:rsidRPr="001F025D">
        <w:t>4 (M.R.4)</w:t>
      </w:r>
      <w:r w:rsidR="00C07DFA" w:rsidRPr="00FB1122">
        <w:t xml:space="preserve"> </w:t>
      </w:r>
      <w:r w:rsidR="00C07DFA" w:rsidRPr="00615343">
        <w:t xml:space="preserve">of the 1958 and the </w:t>
      </w:r>
      <w:r w:rsidR="00C07DFA">
        <w:t xml:space="preserve">1998 </w:t>
      </w:r>
      <w:r w:rsidR="00C07DFA" w:rsidRPr="00615343">
        <w:t>Agreements</w:t>
      </w:r>
      <w:r w:rsidR="00C07DFA">
        <w:t xml:space="preserve"> c</w:t>
      </w:r>
      <w:r w:rsidR="00C07DFA" w:rsidRPr="00615343">
        <w:t>oncerning Panoramic Sunroof Glazing (PSG)</w:t>
      </w:r>
      <w:bookmarkEnd w:id="1"/>
    </w:p>
    <w:p w14:paraId="2BB7AAA3" w14:textId="0FBBC93A"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8D00EC">
        <w:t>General Safety Provisions</w:t>
      </w:r>
      <w:r w:rsidR="008D00EC" w:rsidRPr="005F3E9A">
        <w:rPr>
          <w:rStyle w:val="Heading9Char"/>
          <w:sz w:val="20"/>
        </w:rPr>
        <w:t xml:space="preserve"> </w:t>
      </w:r>
      <w:r w:rsidR="00DB276D" w:rsidRPr="008C700B">
        <w:rPr>
          <w:rStyle w:val="FootnoteReference"/>
          <w:sz w:val="20"/>
          <w:vertAlign w:val="baseline"/>
        </w:rPr>
        <w:footnoteReference w:customMarkFollows="1" w:id="2"/>
        <w:t>*</w:t>
      </w:r>
      <w:r w:rsidR="008C700B">
        <w:t xml:space="preserve">, </w:t>
      </w:r>
      <w:r w:rsidR="008C700B" w:rsidRPr="008C700B">
        <w:rPr>
          <w:rStyle w:val="FootnoteReference"/>
          <w:sz w:val="20"/>
          <w:vertAlign w:val="baseline"/>
        </w:rPr>
        <w:footnoteReference w:customMarkFollows="1" w:id="3"/>
        <w:t>**</w:t>
      </w:r>
    </w:p>
    <w:p w14:paraId="401A095B" w14:textId="2CF0F943" w:rsidR="00772D17" w:rsidRDefault="00772D17" w:rsidP="00772D17">
      <w:pPr>
        <w:pStyle w:val="SingleTxtG"/>
        <w:ind w:firstLine="567"/>
        <w:rPr>
          <w:lang w:val="en-US"/>
        </w:rPr>
      </w:pPr>
      <w:r w:rsidRPr="03C5BD33">
        <w:rPr>
          <w:lang w:val="en-US"/>
        </w:rPr>
        <w:t>The text reproduced below was adopted by the Working Party on</w:t>
      </w:r>
      <w:r w:rsidR="00A32555" w:rsidRPr="03C5BD33">
        <w:rPr>
          <w:lang w:val="en-US"/>
        </w:rPr>
        <w:t xml:space="preserve"> </w:t>
      </w:r>
      <w:r w:rsidR="008D00EC" w:rsidRPr="03C5BD33">
        <w:rPr>
          <w:lang w:val="en-US"/>
        </w:rPr>
        <w:t>General Safety Provisions</w:t>
      </w:r>
      <w:r w:rsidR="008F3764" w:rsidRPr="03C5BD33">
        <w:rPr>
          <w:lang w:val="en-US"/>
        </w:rPr>
        <w:t xml:space="preserve"> at its 119t</w:t>
      </w:r>
      <w:r w:rsidR="002C5E01" w:rsidRPr="03C5BD33">
        <w:rPr>
          <w:lang w:val="en-US"/>
        </w:rPr>
        <w:t>h session</w:t>
      </w:r>
      <w:r w:rsidR="00B72025" w:rsidRPr="03C5BD33">
        <w:rPr>
          <w:lang w:val="en-US"/>
        </w:rPr>
        <w:t>,</w:t>
      </w:r>
      <w:r w:rsidR="00C42BFD" w:rsidRPr="03C5BD33">
        <w:rPr>
          <w:lang w:val="en-US"/>
        </w:rPr>
        <w:t xml:space="preserve"> </w:t>
      </w:r>
      <w:r w:rsidR="00B72025" w:rsidRPr="03C5BD33">
        <w:rPr>
          <w:lang w:val="en-US"/>
        </w:rPr>
        <w:t>held in October 20</w:t>
      </w:r>
      <w:r w:rsidR="00C42BFD" w:rsidRPr="03C5BD33">
        <w:rPr>
          <w:lang w:val="en-US"/>
        </w:rPr>
        <w:t>20</w:t>
      </w:r>
      <w:r w:rsidR="00A32555" w:rsidRPr="03C5BD33">
        <w:rPr>
          <w:lang w:val="en-US"/>
        </w:rPr>
        <w:t xml:space="preserve"> </w:t>
      </w:r>
      <w:r w:rsidR="00454AF6" w:rsidRPr="03C5BD33">
        <w:rPr>
          <w:lang w:val="en-US"/>
        </w:rPr>
        <w:t>(</w:t>
      </w:r>
      <w:r w:rsidR="00454AF6">
        <w:t xml:space="preserve">ECE/TRANS/WP.29/GRSG/98, </w:t>
      </w:r>
      <w:r w:rsidR="00454AF6" w:rsidRPr="004D5BDD">
        <w:t>para.</w:t>
      </w:r>
      <w:r w:rsidR="00454AF6" w:rsidRPr="03C5BD33">
        <w:rPr>
          <w:highlight w:val="yellow"/>
        </w:rPr>
        <w:t xml:space="preserve"> </w:t>
      </w:r>
      <w:r w:rsidR="00747965">
        <w:rPr>
          <w:lang w:val="en-US"/>
        </w:rPr>
        <w:t>25</w:t>
      </w:r>
      <w:r w:rsidR="003B437E" w:rsidRPr="03C5BD33">
        <w:rPr>
          <w:lang w:val="en-US"/>
        </w:rPr>
        <w:t>). It is</w:t>
      </w:r>
      <w:r w:rsidR="00454AF6">
        <w:t xml:space="preserve"> based on </w:t>
      </w:r>
      <w:r w:rsidR="00454AF6" w:rsidRPr="03C5BD33">
        <w:rPr>
          <w:color w:val="000000" w:themeColor="text1"/>
        </w:rPr>
        <w:t>ECE/TRANS/WP.29/GRSG/2020/</w:t>
      </w:r>
      <w:r w:rsidR="001E6C3D">
        <w:rPr>
          <w:color w:val="000000" w:themeColor="text1"/>
        </w:rPr>
        <w:t>3</w:t>
      </w:r>
      <w:r w:rsidR="00074A85" w:rsidRPr="03C5BD33">
        <w:rPr>
          <w:color w:val="000000" w:themeColor="text1"/>
        </w:rPr>
        <w:t xml:space="preserve">. </w:t>
      </w:r>
      <w:r w:rsidR="00630B84">
        <w:t>It is submitted to World Forum for Harmonization of Vehicle Regulations (WP.29) and the Administrative Committee of the 1958 Agreement (AC.1) for consideration and vote at their March 2021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4FEE972C" w14:textId="77777777" w:rsidR="00861894" w:rsidRPr="00214BD6" w:rsidRDefault="00861894" w:rsidP="00861894">
      <w:pPr>
        <w:pStyle w:val="HChG"/>
      </w:pPr>
      <w:bookmarkStart w:id="2" w:name="_Toc528835399"/>
      <w:r w:rsidRPr="00214BD6">
        <w:lastRenderedPageBreak/>
        <w:tab/>
      </w:r>
      <w:r>
        <w:tab/>
      </w:r>
      <w:bookmarkStart w:id="3" w:name="_Toc30159505"/>
      <w:r w:rsidRPr="00214BD6">
        <w:t xml:space="preserve">Mutual Resolution </w:t>
      </w:r>
      <w:r>
        <w:t>No.</w:t>
      </w:r>
      <w:r w:rsidRPr="00214BD6">
        <w:t xml:space="preserve">4 (M.R.4) of the 1958 and the 1998 Agreements </w:t>
      </w:r>
      <w:r w:rsidRPr="003669D5">
        <w:t>concerning</w:t>
      </w:r>
      <w:r w:rsidRPr="00214BD6">
        <w:t xml:space="preserve"> Panoramic Sunroof Glazing (PSG)</w:t>
      </w:r>
      <w:bookmarkEnd w:id="2"/>
      <w:bookmarkEnd w:id="3"/>
    </w:p>
    <w:p w14:paraId="0F2A604F" w14:textId="77777777" w:rsidR="00861894" w:rsidRPr="00093303" w:rsidRDefault="00861894" w:rsidP="00861894">
      <w:pPr>
        <w:rPr>
          <w:sz w:val="28"/>
        </w:rPr>
      </w:pPr>
      <w:r w:rsidRPr="002B5002">
        <w:tab/>
      </w:r>
      <w:bookmarkStart w:id="4" w:name="_Hlk528835427"/>
      <w:r w:rsidRPr="00093303">
        <w:rPr>
          <w:sz w:val="28"/>
        </w:rPr>
        <w:t xml:space="preserve">Contents </w:t>
      </w:r>
    </w:p>
    <w:p w14:paraId="67BD6AB3" w14:textId="44DDA34A" w:rsidR="00861894" w:rsidRPr="00CB0604" w:rsidRDefault="00861894" w:rsidP="00861894">
      <w:pPr>
        <w:spacing w:after="120"/>
        <w:ind w:left="283"/>
        <w:jc w:val="right"/>
        <w:rPr>
          <w:noProof/>
          <w:lang w:val="fr-CH"/>
        </w:rPr>
      </w:pPr>
      <w:r w:rsidRPr="00093303">
        <w:rPr>
          <w:i/>
          <w:sz w:val="18"/>
        </w:rPr>
        <w:tab/>
      </w:r>
      <w:r w:rsidRPr="00CB0604">
        <w:rPr>
          <w:noProof/>
        </w:rPr>
        <w:t>Page</w:t>
      </w:r>
    </w:p>
    <w:p w14:paraId="68B3311D" w14:textId="57726514" w:rsidR="00861894" w:rsidRPr="00CB0604"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Pr>
          <w:noProof/>
          <w:lang w:val="fr-CH"/>
        </w:rPr>
        <w:tab/>
      </w:r>
      <w:r w:rsidRPr="00CB0604">
        <w:rPr>
          <w:noProof/>
          <w:lang w:val="fr-CH"/>
        </w:rPr>
        <w:t>I.</w:t>
      </w:r>
      <w:r w:rsidRPr="00CB0604">
        <w:rPr>
          <w:noProof/>
          <w:lang w:val="fr-CH"/>
        </w:rPr>
        <w:tab/>
        <w:t>Statement of technical rationale and justification</w:t>
      </w:r>
      <w:r w:rsidRPr="00CB0604">
        <w:rPr>
          <w:noProof/>
          <w:webHidden/>
          <w:lang w:val="fr-CH"/>
        </w:rPr>
        <w:tab/>
      </w:r>
      <w:r>
        <w:rPr>
          <w:noProof/>
          <w:webHidden/>
          <w:lang w:val="fr-CH"/>
        </w:rPr>
        <w:tab/>
      </w:r>
      <w:r w:rsidR="009707AB">
        <w:rPr>
          <w:noProof/>
          <w:webHidden/>
          <w:lang w:val="fr-CH"/>
        </w:rPr>
        <w:t>3</w:t>
      </w:r>
    </w:p>
    <w:p w14:paraId="3D700871" w14:textId="044615FA" w:rsidR="00861894" w:rsidRPr="00CB0604"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Pr>
          <w:noProof/>
          <w:lang w:val="fr-CH"/>
        </w:rPr>
        <w:tab/>
      </w:r>
      <w:r>
        <w:rPr>
          <w:noProof/>
          <w:lang w:val="fr-CH"/>
        </w:rPr>
        <w:tab/>
      </w:r>
      <w:r w:rsidRPr="00CB0604">
        <w:rPr>
          <w:noProof/>
          <w:lang w:val="fr-CH"/>
        </w:rPr>
        <w:t>A.</w:t>
      </w:r>
      <w:r w:rsidRPr="00CB0604">
        <w:rPr>
          <w:noProof/>
          <w:lang w:val="fr-CH"/>
        </w:rPr>
        <w:tab/>
        <w:t>Introduction</w:t>
      </w:r>
      <w:r w:rsidRPr="00CB0604">
        <w:rPr>
          <w:noProof/>
          <w:webHidden/>
          <w:lang w:val="fr-CH"/>
        </w:rPr>
        <w:tab/>
      </w:r>
      <w:r>
        <w:rPr>
          <w:noProof/>
          <w:webHidden/>
          <w:lang w:val="fr-CH"/>
        </w:rPr>
        <w:tab/>
      </w:r>
      <w:r w:rsidR="009707AB">
        <w:rPr>
          <w:noProof/>
          <w:webHidden/>
          <w:lang w:val="fr-CH"/>
        </w:rPr>
        <w:t>3</w:t>
      </w:r>
    </w:p>
    <w:p w14:paraId="0E00A7E7" w14:textId="283A6E2E" w:rsidR="00861894" w:rsidRPr="00CB0604"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Pr>
          <w:noProof/>
          <w:lang w:val="fr-CH"/>
        </w:rPr>
        <w:tab/>
      </w:r>
      <w:r>
        <w:rPr>
          <w:noProof/>
          <w:lang w:val="fr-CH"/>
        </w:rPr>
        <w:tab/>
      </w:r>
      <w:r w:rsidRPr="00CB0604">
        <w:rPr>
          <w:noProof/>
          <w:lang w:val="fr-CH"/>
        </w:rPr>
        <w:t>B.</w:t>
      </w:r>
      <w:r w:rsidRPr="00CB0604">
        <w:rPr>
          <w:noProof/>
          <w:lang w:val="fr-CH"/>
        </w:rPr>
        <w:tab/>
        <w:t xml:space="preserve">Procedural </w:t>
      </w:r>
      <w:r w:rsidR="00A0353C">
        <w:rPr>
          <w:noProof/>
          <w:lang w:val="fr-CH"/>
        </w:rPr>
        <w:t>b</w:t>
      </w:r>
      <w:r w:rsidRPr="00CB0604">
        <w:rPr>
          <w:noProof/>
          <w:lang w:val="fr-CH"/>
        </w:rPr>
        <w:t>ackground</w:t>
      </w:r>
      <w:r w:rsidRPr="00CB0604">
        <w:rPr>
          <w:noProof/>
          <w:webHidden/>
          <w:lang w:val="fr-CH"/>
        </w:rPr>
        <w:tab/>
      </w:r>
      <w:r>
        <w:rPr>
          <w:noProof/>
          <w:webHidden/>
          <w:lang w:val="fr-CH"/>
        </w:rPr>
        <w:tab/>
      </w:r>
      <w:r w:rsidR="009707AB">
        <w:rPr>
          <w:noProof/>
          <w:webHidden/>
          <w:lang w:val="fr-CH"/>
        </w:rPr>
        <w:t>3</w:t>
      </w:r>
    </w:p>
    <w:p w14:paraId="4A35FC05" w14:textId="0BB38679" w:rsidR="00861894" w:rsidRPr="00CB0604"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Pr>
          <w:noProof/>
          <w:lang w:val="fr-CH"/>
        </w:rPr>
        <w:tab/>
      </w:r>
      <w:r>
        <w:rPr>
          <w:noProof/>
          <w:lang w:val="fr-CH"/>
        </w:rPr>
        <w:tab/>
      </w:r>
      <w:r w:rsidRPr="00CB0604">
        <w:rPr>
          <w:noProof/>
          <w:lang w:val="fr-CH"/>
        </w:rPr>
        <w:t>C.</w:t>
      </w:r>
      <w:r w:rsidRPr="00CB0604">
        <w:rPr>
          <w:noProof/>
          <w:lang w:val="fr-CH"/>
        </w:rPr>
        <w:tab/>
        <w:t>Technical rationale and justification</w:t>
      </w:r>
      <w:r w:rsidRPr="00CB0604">
        <w:rPr>
          <w:noProof/>
          <w:webHidden/>
          <w:lang w:val="fr-CH"/>
        </w:rPr>
        <w:tab/>
      </w:r>
      <w:r>
        <w:rPr>
          <w:noProof/>
          <w:webHidden/>
          <w:lang w:val="fr-CH"/>
        </w:rPr>
        <w:tab/>
      </w:r>
      <w:r w:rsidR="009707AB">
        <w:rPr>
          <w:noProof/>
          <w:webHidden/>
          <w:lang w:val="fr-CH"/>
        </w:rPr>
        <w:t>4</w:t>
      </w:r>
    </w:p>
    <w:p w14:paraId="14122103" w14:textId="23E14CD8" w:rsidR="00861894" w:rsidRPr="00CB0604"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Pr>
          <w:noProof/>
          <w:lang w:val="fr-CH"/>
        </w:rPr>
        <w:tab/>
      </w:r>
      <w:r w:rsidRPr="00CB0604">
        <w:rPr>
          <w:noProof/>
          <w:lang w:val="fr-CH"/>
        </w:rPr>
        <w:t>II.</w:t>
      </w:r>
      <w:r w:rsidRPr="00CB0604">
        <w:rPr>
          <w:noProof/>
          <w:lang w:val="fr-CH"/>
        </w:rPr>
        <w:tab/>
        <w:t>Text of the Mutual Resolution</w:t>
      </w:r>
      <w:r w:rsidRPr="00CB0604">
        <w:rPr>
          <w:noProof/>
          <w:webHidden/>
          <w:lang w:val="fr-CH"/>
        </w:rPr>
        <w:tab/>
      </w:r>
      <w:r>
        <w:rPr>
          <w:noProof/>
          <w:webHidden/>
          <w:lang w:val="fr-CH"/>
        </w:rPr>
        <w:tab/>
      </w:r>
      <w:r w:rsidR="009707AB">
        <w:rPr>
          <w:noProof/>
          <w:webHidden/>
          <w:lang w:val="fr-CH"/>
        </w:rPr>
        <w:t>5</w:t>
      </w:r>
    </w:p>
    <w:p w14:paraId="168937B9" w14:textId="58DC714D" w:rsidR="00861894" w:rsidRPr="00CB0604"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Pr>
          <w:noProof/>
          <w:lang w:val="fr-CH"/>
        </w:rPr>
        <w:tab/>
      </w:r>
      <w:r>
        <w:rPr>
          <w:noProof/>
          <w:lang w:val="fr-CH"/>
        </w:rPr>
        <w:tab/>
        <w:t>1</w:t>
      </w:r>
      <w:r w:rsidRPr="00CB0604">
        <w:rPr>
          <w:noProof/>
          <w:lang w:val="fr-CH"/>
        </w:rPr>
        <w:t>.</w:t>
      </w:r>
      <w:r w:rsidRPr="00CB0604">
        <w:rPr>
          <w:noProof/>
          <w:lang w:val="fr-CH"/>
        </w:rPr>
        <w:tab/>
        <w:t>Introduction</w:t>
      </w:r>
      <w:r w:rsidRPr="00CB0604">
        <w:rPr>
          <w:noProof/>
          <w:webHidden/>
          <w:lang w:val="fr-CH"/>
        </w:rPr>
        <w:tab/>
      </w:r>
      <w:r>
        <w:rPr>
          <w:noProof/>
          <w:webHidden/>
          <w:lang w:val="fr-CH"/>
        </w:rPr>
        <w:tab/>
      </w:r>
      <w:r w:rsidR="009707AB">
        <w:rPr>
          <w:noProof/>
          <w:webHidden/>
          <w:lang w:val="fr-CH"/>
        </w:rPr>
        <w:t>5</w:t>
      </w:r>
    </w:p>
    <w:p w14:paraId="292B8090" w14:textId="5E5FD73C" w:rsidR="00861894" w:rsidRPr="00CB0604"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Pr>
          <w:noProof/>
          <w:lang w:val="fr-CH"/>
        </w:rPr>
        <w:tab/>
      </w:r>
      <w:r>
        <w:rPr>
          <w:noProof/>
          <w:lang w:val="fr-CH"/>
        </w:rPr>
        <w:tab/>
        <w:t>2</w:t>
      </w:r>
      <w:r w:rsidRPr="00CB0604">
        <w:rPr>
          <w:noProof/>
          <w:lang w:val="fr-CH"/>
        </w:rPr>
        <w:t>.</w:t>
      </w:r>
      <w:r w:rsidRPr="00CB0604">
        <w:rPr>
          <w:noProof/>
          <w:lang w:val="fr-CH"/>
        </w:rPr>
        <w:tab/>
        <w:t>Scope and application</w:t>
      </w:r>
      <w:r w:rsidRPr="00CB0604">
        <w:rPr>
          <w:noProof/>
          <w:webHidden/>
          <w:lang w:val="fr-CH"/>
        </w:rPr>
        <w:tab/>
      </w:r>
      <w:r>
        <w:rPr>
          <w:noProof/>
          <w:webHidden/>
          <w:lang w:val="fr-CH"/>
        </w:rPr>
        <w:tab/>
      </w:r>
      <w:r w:rsidR="009707AB">
        <w:rPr>
          <w:noProof/>
          <w:webHidden/>
          <w:lang w:val="fr-CH"/>
        </w:rPr>
        <w:t>5</w:t>
      </w:r>
    </w:p>
    <w:p w14:paraId="04EFCB50" w14:textId="2520ADC4" w:rsidR="00861894" w:rsidRPr="00CB0604"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Pr>
          <w:noProof/>
          <w:lang w:val="fr-CH"/>
        </w:rPr>
        <w:tab/>
      </w:r>
      <w:r>
        <w:rPr>
          <w:noProof/>
          <w:lang w:val="fr-CH"/>
        </w:rPr>
        <w:tab/>
        <w:t>3</w:t>
      </w:r>
      <w:r w:rsidRPr="00CB0604">
        <w:rPr>
          <w:noProof/>
          <w:lang w:val="fr-CH"/>
        </w:rPr>
        <w:t>.</w:t>
      </w:r>
      <w:r w:rsidRPr="00CB0604">
        <w:rPr>
          <w:noProof/>
          <w:lang w:val="fr-CH"/>
        </w:rPr>
        <w:tab/>
        <w:t xml:space="preserve">General </w:t>
      </w:r>
      <w:r w:rsidR="00A0353C">
        <w:rPr>
          <w:noProof/>
          <w:lang w:val="fr-CH"/>
        </w:rPr>
        <w:t>p</w:t>
      </w:r>
      <w:r w:rsidRPr="00CB0604">
        <w:rPr>
          <w:noProof/>
          <w:lang w:val="fr-CH"/>
        </w:rPr>
        <w:t>rovisions</w:t>
      </w:r>
      <w:r w:rsidRPr="00CB0604">
        <w:rPr>
          <w:noProof/>
          <w:webHidden/>
          <w:lang w:val="fr-CH"/>
        </w:rPr>
        <w:tab/>
      </w:r>
      <w:r>
        <w:rPr>
          <w:noProof/>
          <w:webHidden/>
          <w:lang w:val="fr-CH"/>
        </w:rPr>
        <w:tab/>
      </w:r>
      <w:r w:rsidR="009707AB">
        <w:rPr>
          <w:noProof/>
          <w:webHidden/>
          <w:lang w:val="fr-CH"/>
        </w:rPr>
        <w:t>5</w:t>
      </w:r>
    </w:p>
    <w:p w14:paraId="7E577BF9" w14:textId="13E64815" w:rsidR="00861894" w:rsidRPr="00CB0604"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Pr>
          <w:noProof/>
          <w:lang w:val="fr-CH"/>
        </w:rPr>
        <w:tab/>
      </w:r>
      <w:r>
        <w:rPr>
          <w:noProof/>
          <w:lang w:val="fr-CH"/>
        </w:rPr>
        <w:tab/>
        <w:t>4</w:t>
      </w:r>
      <w:r w:rsidRPr="00CB0604">
        <w:rPr>
          <w:noProof/>
          <w:lang w:val="fr-CH"/>
        </w:rPr>
        <w:t>.</w:t>
      </w:r>
      <w:r w:rsidRPr="00CB0604">
        <w:rPr>
          <w:noProof/>
          <w:lang w:val="fr-CH"/>
        </w:rPr>
        <w:tab/>
        <w:t xml:space="preserve">Specific </w:t>
      </w:r>
      <w:r w:rsidR="00A0353C">
        <w:rPr>
          <w:noProof/>
          <w:lang w:val="fr-CH"/>
        </w:rPr>
        <w:t>p</w:t>
      </w:r>
      <w:r w:rsidRPr="00CB0604">
        <w:rPr>
          <w:noProof/>
          <w:lang w:val="fr-CH"/>
        </w:rPr>
        <w:t>rovisions</w:t>
      </w:r>
      <w:r w:rsidRPr="00CB0604">
        <w:rPr>
          <w:noProof/>
          <w:webHidden/>
          <w:lang w:val="fr-CH"/>
        </w:rPr>
        <w:tab/>
      </w:r>
      <w:r>
        <w:rPr>
          <w:noProof/>
          <w:webHidden/>
          <w:lang w:val="fr-CH"/>
        </w:rPr>
        <w:tab/>
      </w:r>
      <w:r w:rsidR="009707AB">
        <w:rPr>
          <w:noProof/>
          <w:webHidden/>
          <w:lang w:val="fr-CH"/>
        </w:rPr>
        <w:t>6</w:t>
      </w:r>
    </w:p>
    <w:p w14:paraId="7D3BFD55" w14:textId="5D793939" w:rsidR="00861894" w:rsidRPr="00CB0604"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Pr>
          <w:noProof/>
          <w:lang w:val="fr-CH"/>
        </w:rPr>
        <w:tab/>
      </w:r>
      <w:r>
        <w:rPr>
          <w:noProof/>
          <w:lang w:val="fr-CH"/>
        </w:rPr>
        <w:tab/>
        <w:t>5</w:t>
      </w:r>
      <w:r w:rsidRPr="00CB0604">
        <w:rPr>
          <w:noProof/>
          <w:lang w:val="fr-CH"/>
        </w:rPr>
        <w:t>.</w:t>
      </w:r>
      <w:r w:rsidRPr="00CB0604">
        <w:rPr>
          <w:noProof/>
          <w:lang w:val="fr-CH"/>
        </w:rPr>
        <w:tab/>
        <w:t>Definitions</w:t>
      </w:r>
      <w:r w:rsidRPr="00CB0604">
        <w:rPr>
          <w:noProof/>
          <w:webHidden/>
          <w:lang w:val="fr-CH"/>
        </w:rPr>
        <w:tab/>
      </w:r>
      <w:r>
        <w:rPr>
          <w:noProof/>
          <w:webHidden/>
          <w:lang w:val="fr-CH"/>
        </w:rPr>
        <w:tab/>
      </w:r>
      <w:r w:rsidR="009707AB">
        <w:rPr>
          <w:noProof/>
          <w:webHidden/>
          <w:lang w:val="fr-CH"/>
        </w:rPr>
        <w:t>6</w:t>
      </w:r>
    </w:p>
    <w:p w14:paraId="0172AC14" w14:textId="2ADF87CE" w:rsidR="00861894" w:rsidRPr="00CB0604"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Pr>
          <w:noProof/>
          <w:lang w:val="fr-CH"/>
        </w:rPr>
        <w:tab/>
      </w:r>
      <w:r>
        <w:rPr>
          <w:noProof/>
          <w:lang w:val="fr-CH"/>
        </w:rPr>
        <w:tab/>
        <w:t>6</w:t>
      </w:r>
      <w:r w:rsidRPr="00CB0604">
        <w:rPr>
          <w:noProof/>
          <w:lang w:val="fr-CH"/>
        </w:rPr>
        <w:t>.</w:t>
      </w:r>
      <w:r w:rsidRPr="00CB0604">
        <w:rPr>
          <w:noProof/>
          <w:lang w:val="fr-CH"/>
        </w:rPr>
        <w:tab/>
        <w:t>Abbreviations</w:t>
      </w:r>
      <w:r w:rsidRPr="00CB0604">
        <w:rPr>
          <w:noProof/>
          <w:webHidden/>
          <w:lang w:val="fr-CH"/>
        </w:rPr>
        <w:tab/>
      </w:r>
      <w:r>
        <w:rPr>
          <w:noProof/>
          <w:webHidden/>
          <w:lang w:val="fr-CH"/>
        </w:rPr>
        <w:tab/>
      </w:r>
      <w:r w:rsidR="009707AB">
        <w:rPr>
          <w:noProof/>
          <w:webHidden/>
          <w:lang w:val="fr-CH"/>
        </w:rPr>
        <w:t>7</w:t>
      </w:r>
    </w:p>
    <w:p w14:paraId="27403B08" w14:textId="77777777" w:rsidR="00861894" w:rsidRPr="00CB0604"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sidRPr="00CB0604">
        <w:rPr>
          <w:noProof/>
          <w:lang w:val="fr-CH"/>
        </w:rPr>
        <w:t>Annexes</w:t>
      </w:r>
    </w:p>
    <w:p w14:paraId="66256B7C" w14:textId="08EE468B" w:rsidR="00861894" w:rsidRPr="00CB0604"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Pr>
          <w:noProof/>
          <w:lang w:val="fr-CH"/>
        </w:rPr>
        <w:tab/>
      </w:r>
      <w:r w:rsidRPr="00CB0604">
        <w:rPr>
          <w:noProof/>
          <w:lang w:val="fr-CH"/>
        </w:rPr>
        <w:t>I</w:t>
      </w:r>
      <w:r>
        <w:rPr>
          <w:noProof/>
          <w:lang w:val="fr-CH"/>
        </w:rPr>
        <w:tab/>
      </w:r>
      <w:r w:rsidRPr="00CB0604">
        <w:rPr>
          <w:noProof/>
          <w:lang w:val="fr-CH"/>
        </w:rPr>
        <w:t xml:space="preserve">PSG breakage data </w:t>
      </w:r>
      <w:r w:rsidRPr="00CB0604">
        <w:rPr>
          <w:noProof/>
        </w:rPr>
        <w:t>from</w:t>
      </w:r>
      <w:r w:rsidRPr="00CB0604">
        <w:rPr>
          <w:noProof/>
          <w:lang w:val="fr-CH"/>
        </w:rPr>
        <w:t xml:space="preserve"> Korea and USA</w:t>
      </w:r>
      <w:r w:rsidRPr="00CB0604">
        <w:rPr>
          <w:noProof/>
          <w:webHidden/>
          <w:lang w:val="fr-CH"/>
        </w:rPr>
        <w:tab/>
      </w:r>
      <w:r>
        <w:rPr>
          <w:noProof/>
          <w:webHidden/>
          <w:lang w:val="fr-CH"/>
        </w:rPr>
        <w:tab/>
      </w:r>
      <w:r w:rsidR="009707AB">
        <w:rPr>
          <w:noProof/>
          <w:webHidden/>
          <w:lang w:val="fr-CH"/>
        </w:rPr>
        <w:t>8</w:t>
      </w:r>
    </w:p>
    <w:p w14:paraId="449967A0" w14:textId="6B2373E4" w:rsidR="00861894" w:rsidRPr="00CB0604"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Pr>
          <w:noProof/>
          <w:lang w:val="fr-CH"/>
        </w:rPr>
        <w:tab/>
      </w:r>
      <w:r w:rsidRPr="00CB0604">
        <w:rPr>
          <w:noProof/>
          <w:lang w:val="fr-CH"/>
        </w:rPr>
        <w:t>II</w:t>
      </w:r>
      <w:r>
        <w:rPr>
          <w:noProof/>
          <w:lang w:val="fr-CH"/>
        </w:rPr>
        <w:tab/>
      </w:r>
      <w:r w:rsidRPr="00CB0604">
        <w:rPr>
          <w:noProof/>
          <w:lang w:val="fr-CH"/>
        </w:rPr>
        <w:t>Data analysis of Panoramic Sunroof Glazing CPA</w:t>
      </w:r>
      <w:r w:rsidRPr="00CB0604">
        <w:rPr>
          <w:noProof/>
          <w:webHidden/>
          <w:lang w:val="fr-CH"/>
        </w:rPr>
        <w:tab/>
      </w:r>
      <w:r>
        <w:rPr>
          <w:noProof/>
          <w:webHidden/>
          <w:lang w:val="fr-CH"/>
        </w:rPr>
        <w:tab/>
      </w:r>
      <w:r w:rsidR="009707AB">
        <w:rPr>
          <w:noProof/>
          <w:webHidden/>
          <w:lang w:val="fr-CH"/>
        </w:rPr>
        <w:t>9</w:t>
      </w:r>
    </w:p>
    <w:p w14:paraId="4C2932C0" w14:textId="4FEFDBCC" w:rsidR="00861894" w:rsidRPr="00CB0604"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Pr>
          <w:noProof/>
          <w:lang w:val="fr-CH"/>
        </w:rPr>
        <w:tab/>
      </w:r>
      <w:r w:rsidRPr="00CB0604">
        <w:rPr>
          <w:noProof/>
          <w:lang w:val="fr-CH"/>
        </w:rPr>
        <w:t>III</w:t>
      </w:r>
      <w:r>
        <w:rPr>
          <w:noProof/>
          <w:lang w:val="fr-CH"/>
        </w:rPr>
        <w:tab/>
      </w:r>
      <w:r w:rsidRPr="00CB0604">
        <w:rPr>
          <w:noProof/>
          <w:lang w:val="fr-CH"/>
        </w:rPr>
        <w:t>Cases of CPA changes in Korea</w:t>
      </w:r>
      <w:r w:rsidRPr="00CB0604">
        <w:rPr>
          <w:noProof/>
          <w:webHidden/>
          <w:lang w:val="fr-CH"/>
        </w:rPr>
        <w:tab/>
      </w:r>
      <w:r>
        <w:rPr>
          <w:noProof/>
          <w:webHidden/>
          <w:lang w:val="fr-CH"/>
        </w:rPr>
        <w:tab/>
      </w:r>
      <w:r w:rsidR="009707AB">
        <w:rPr>
          <w:noProof/>
          <w:webHidden/>
          <w:lang w:val="fr-CH"/>
        </w:rPr>
        <w:t>10</w:t>
      </w:r>
    </w:p>
    <w:p w14:paraId="638CD07B" w14:textId="4C6FE124" w:rsidR="00861894" w:rsidRPr="00CB0604"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Pr>
          <w:noProof/>
          <w:lang w:val="fr-CH"/>
        </w:rPr>
        <w:tab/>
      </w:r>
      <w:r w:rsidRPr="00CB0604">
        <w:rPr>
          <w:noProof/>
          <w:lang w:val="fr-CH"/>
        </w:rPr>
        <w:t>IV</w:t>
      </w:r>
      <w:r>
        <w:rPr>
          <w:noProof/>
          <w:lang w:val="fr-CH"/>
        </w:rPr>
        <w:tab/>
      </w:r>
      <w:r w:rsidRPr="00CB0604">
        <w:rPr>
          <w:noProof/>
          <w:lang w:val="fr-CH"/>
        </w:rPr>
        <w:t>Examples of CPA measurements</w:t>
      </w:r>
      <w:r w:rsidRPr="00CB0604">
        <w:rPr>
          <w:noProof/>
          <w:webHidden/>
          <w:lang w:val="fr-CH"/>
        </w:rPr>
        <w:tab/>
      </w:r>
      <w:r>
        <w:rPr>
          <w:noProof/>
          <w:webHidden/>
          <w:lang w:val="fr-CH"/>
        </w:rPr>
        <w:tab/>
      </w:r>
      <w:r w:rsidR="009707AB">
        <w:rPr>
          <w:noProof/>
          <w:webHidden/>
          <w:lang w:val="fr-CH"/>
        </w:rPr>
        <w:t>11</w:t>
      </w:r>
    </w:p>
    <w:bookmarkEnd w:id="4"/>
    <w:p w14:paraId="2C26EBA2" w14:textId="5A9C9A70" w:rsidR="00861894" w:rsidRPr="002B5002"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rPr>
      </w:pPr>
      <w:r w:rsidRPr="002B5002">
        <w:rPr>
          <w:noProof/>
        </w:rPr>
        <w:tab/>
      </w:r>
    </w:p>
    <w:p w14:paraId="6C2A5D5F" w14:textId="77777777" w:rsidR="00861894" w:rsidRPr="00502B0E" w:rsidRDefault="00861894" w:rsidP="00861894">
      <w:pPr>
        <w:pStyle w:val="HChG"/>
        <w:pageBreakBefore/>
      </w:pPr>
      <w:r>
        <w:lastRenderedPageBreak/>
        <w:tab/>
      </w:r>
      <w:bookmarkStart w:id="5" w:name="_Toc30159506"/>
      <w:r w:rsidRPr="00502B0E">
        <w:t>I.</w:t>
      </w:r>
      <w:r w:rsidRPr="00502B0E">
        <w:tab/>
      </w:r>
      <w:r w:rsidRPr="003669D5">
        <w:t>Statement</w:t>
      </w:r>
      <w:r w:rsidRPr="00502B0E">
        <w:t xml:space="preserve"> of technical rationale and justification</w:t>
      </w:r>
      <w:bookmarkEnd w:id="5"/>
    </w:p>
    <w:p w14:paraId="304CF635" w14:textId="77777777" w:rsidR="00861894" w:rsidRDefault="00861894" w:rsidP="00861894">
      <w:pPr>
        <w:pStyle w:val="H1G"/>
      </w:pPr>
      <w:r w:rsidRPr="00502B0E">
        <w:tab/>
      </w:r>
      <w:bookmarkStart w:id="6" w:name="_Toc30159507"/>
      <w:r w:rsidRPr="00502B0E">
        <w:t>A.</w:t>
      </w:r>
      <w:r w:rsidRPr="00502B0E">
        <w:tab/>
        <w:t>Introduction</w:t>
      </w:r>
      <w:bookmarkEnd w:id="6"/>
    </w:p>
    <w:p w14:paraId="138E09ED" w14:textId="77777777" w:rsidR="00861894" w:rsidRDefault="00861894" w:rsidP="00861894">
      <w:pPr>
        <w:pStyle w:val="SingleTxtG"/>
        <w:ind w:firstLine="6"/>
      </w:pPr>
      <w:r>
        <w:t xml:space="preserve">1. </w:t>
      </w:r>
      <w:r>
        <w:tab/>
      </w:r>
      <w:r w:rsidRPr="00615343">
        <w:t>This Mutual Resolution does not hold regulatory status within Contracting Parties. I</w:t>
      </w:r>
      <w:r>
        <w:t xml:space="preserve">t is </w:t>
      </w:r>
      <w:r w:rsidRPr="00615343">
        <w:t>recommende</w:t>
      </w:r>
      <w:r>
        <w:t>d that Contracting Parties and M</w:t>
      </w:r>
      <w:r w:rsidRPr="00615343">
        <w:t>anufacturers refer t</w:t>
      </w:r>
      <w:r>
        <w:t xml:space="preserve">o this Mutual Resolution when </w:t>
      </w:r>
      <w:r w:rsidRPr="00D16AB5">
        <w:t xml:space="preserve">designing the Ceramic Printed Area (CPA) of Panoramic Sunroofs (PS) and verifying </w:t>
      </w:r>
      <w:r>
        <w:t>the measurement methods hereto.</w:t>
      </w:r>
    </w:p>
    <w:p w14:paraId="4B1F8531" w14:textId="77777777" w:rsidR="00861894" w:rsidRDefault="00861894" w:rsidP="00861894">
      <w:pPr>
        <w:pStyle w:val="SingleTxtG"/>
      </w:pPr>
      <w:r>
        <w:t>2.</w:t>
      </w:r>
      <w:r>
        <w:tab/>
        <w:t>Sunroofs and especially Panoramic Sunroofs with more than one glass pane are</w:t>
      </w:r>
      <w:r w:rsidRPr="00F87873">
        <w:t xml:space="preserve"> </w:t>
      </w:r>
      <w:r>
        <w:t xml:space="preserve">today </w:t>
      </w:r>
      <w:r w:rsidRPr="00F87873">
        <w:t>widely used in global vehicle production</w:t>
      </w:r>
      <w:r>
        <w:t xml:space="preserve">. Commonly the Panoramic Sunroofs are designed and manufactured with toughened safety glass panes: the Panoramic Sunroof Glazing (PSG). </w:t>
      </w:r>
      <w:r w:rsidRPr="00F87873">
        <w:t xml:space="preserve">Due to technical requirements and design purposes a ceramic layer is </w:t>
      </w:r>
      <w:r w:rsidRPr="00615343">
        <w:t xml:space="preserve">necessary to be </w:t>
      </w:r>
      <w:r w:rsidRPr="00F87873">
        <w:t xml:space="preserve">printed onto the </w:t>
      </w:r>
      <w:r>
        <w:t xml:space="preserve">lower side of the toughened safety </w:t>
      </w:r>
      <w:r w:rsidRPr="00F87873">
        <w:t>glass panes of Panoramic Sunroofs</w:t>
      </w:r>
      <w:r>
        <w:t>, so that a certain amount of each single toughened safety glass pane is covered with Ceramic Printed Area.</w:t>
      </w:r>
    </w:p>
    <w:p w14:paraId="13457634" w14:textId="77777777" w:rsidR="00861894" w:rsidRPr="00456F9E" w:rsidRDefault="00861894" w:rsidP="00861894">
      <w:pPr>
        <w:pStyle w:val="SingleTxtG"/>
      </w:pPr>
      <w:r>
        <w:t>3.</w:t>
      </w:r>
      <w:r>
        <w:tab/>
        <w:t>The Ceramic Printed Area of today reduces in general the mechanical strength of toughened safety glazing. This indicates a higher risk of complete toughened safety glass pane breakage in case of an unidentified impact (e.g. gravel, stone)</w:t>
      </w:r>
      <w:r w:rsidRPr="00A65E62">
        <w:t>.</w:t>
      </w:r>
      <w:r>
        <w:t xml:space="preserve"> In case such impacted toughened safety glass pane of a PS can be touched from inside of the vehicle, a downfall of toughened safety glazing pieces into the vehicle passenger area is possible. Due to the standards of safety glazing requirements the risk of serious injuries of vehicle passengers is very low, which is confirmed by government statistics available. Today more and more vehicles are equipped with Panoramic Sunroofs, which have larger toughened safety glass panes due to the wish of having improved design, </w:t>
      </w:r>
      <w:proofErr w:type="gramStart"/>
      <w:r>
        <w:t>more light</w:t>
      </w:r>
      <w:proofErr w:type="gramEnd"/>
      <w:r>
        <w:t xml:space="preserve"> and a panoramic view in the vehicle. </w:t>
      </w:r>
      <w:r w:rsidRPr="00466F4C">
        <w:t>Although the total number of</w:t>
      </w:r>
      <w:r>
        <w:t xml:space="preserve"> PS</w:t>
      </w:r>
      <w:r w:rsidRPr="00466F4C">
        <w:t xml:space="preserve"> </w:t>
      </w:r>
      <w:r>
        <w:t>is</w:t>
      </w:r>
      <w:r w:rsidRPr="00466F4C">
        <w:rPr>
          <w:b/>
        </w:rPr>
        <w:t xml:space="preserve"> </w:t>
      </w:r>
      <w:r>
        <w:t>increasing globally, the quantity of PSG breakages is very low.</w:t>
      </w:r>
    </w:p>
    <w:p w14:paraId="6AD474B7" w14:textId="77777777" w:rsidR="00861894" w:rsidRPr="00127998" w:rsidRDefault="00861894" w:rsidP="00861894">
      <w:pPr>
        <w:pStyle w:val="SingleTxtG"/>
      </w:pPr>
      <w:r>
        <w:t xml:space="preserve">4. </w:t>
      </w:r>
      <w:r>
        <w:tab/>
        <w:t xml:space="preserve">This Mutual Resolution supports the efforts to reduce the risk of toughened safety glass pane </w:t>
      </w:r>
      <w:r w:rsidRPr="00AB607B">
        <w:t>breakage</w:t>
      </w:r>
      <w:r>
        <w:t xml:space="preserve"> </w:t>
      </w:r>
      <w:r w:rsidRPr="00AB607B">
        <w:t>in</w:t>
      </w:r>
      <w:r>
        <w:t xml:space="preserve"> case of an unidentified impact by recommending limitations to the CPA of the PSG, </w:t>
      </w:r>
      <w:r w:rsidRPr="00466F4C">
        <w:t xml:space="preserve">which might result in </w:t>
      </w:r>
      <w:r>
        <w:t>a downfall of glass pieces into the vehicle passenger area in case of a glass pane breakage.</w:t>
      </w:r>
    </w:p>
    <w:p w14:paraId="738E89C9" w14:textId="77777777" w:rsidR="00861894" w:rsidRDefault="00861894" w:rsidP="00861894">
      <w:pPr>
        <w:pStyle w:val="SingleTxtG"/>
      </w:pPr>
      <w:r>
        <w:t>5.</w:t>
      </w:r>
      <w:r w:rsidRPr="008C700B">
        <w:t xml:space="preserve"> </w:t>
      </w:r>
      <w:r w:rsidRPr="008C700B">
        <w:tab/>
      </w:r>
      <w:r>
        <w:t xml:space="preserve">Some countries throughout the world have </w:t>
      </w:r>
      <w:r w:rsidRPr="00466F4C">
        <w:t>started to review on national level the possibility to reduce th</w:t>
      </w:r>
      <w:r>
        <w:t xml:space="preserve">e CPA of the PS without additional legal regulations. As the PSG glass breakage risk is not limited to specific countries there is the need </w:t>
      </w:r>
      <w:r w:rsidRPr="00615C80">
        <w:t>for a global approach to homogenise global practices.</w:t>
      </w:r>
      <w:r>
        <w:t xml:space="preserve"> </w:t>
      </w:r>
    </w:p>
    <w:p w14:paraId="3E48E738" w14:textId="77777777" w:rsidR="00861894" w:rsidRPr="00AA2EF7" w:rsidRDefault="00861894" w:rsidP="00861894">
      <w:pPr>
        <w:pStyle w:val="SingleTxtG"/>
      </w:pPr>
      <w:r>
        <w:t xml:space="preserve">6. </w:t>
      </w:r>
      <w:r>
        <w:tab/>
        <w:t xml:space="preserve">This Mutual Resolution outlines the provisions and proposes the procedures for </w:t>
      </w:r>
      <w:r w:rsidRPr="00466F4C">
        <w:t>the limitation of CPA and respective measurements, taking into account existing standards as well as state of the art design and manufacturing technologies. It will encourage manufacturers to adapt the future design of CPA on PSG to meet this recommendation.</w:t>
      </w:r>
    </w:p>
    <w:p w14:paraId="0DDB2B49" w14:textId="77777777" w:rsidR="00861894" w:rsidRDefault="00861894" w:rsidP="00861894">
      <w:pPr>
        <w:pStyle w:val="SingleTxtG"/>
      </w:pPr>
      <w:r>
        <w:t>7</w:t>
      </w:r>
      <w:r w:rsidRPr="00AA2EF7">
        <w:t xml:space="preserve">. </w:t>
      </w:r>
      <w:r w:rsidRPr="00AA2EF7">
        <w:tab/>
        <w:t>Experts also have an interest in global harmonisation since it offers more efficient development, a</w:t>
      </w:r>
      <w:r>
        <w:t>daptation to technical progress</w:t>
      </w:r>
      <w:r w:rsidRPr="00AA2EF7">
        <w:t xml:space="preserve"> and potential collaboration. It also facilitates the exchange of information between interested parties. </w:t>
      </w:r>
    </w:p>
    <w:p w14:paraId="2C183E20" w14:textId="24640177" w:rsidR="00861894" w:rsidRPr="00A81447" w:rsidRDefault="00861894" w:rsidP="00861894">
      <w:pPr>
        <w:pStyle w:val="H1G"/>
        <w:rPr>
          <w:b w:val="0"/>
          <w:bCs/>
          <w:iCs/>
          <w:color w:val="FF0000"/>
          <w:sz w:val="20"/>
          <w:lang w:eastAsia="ko-KR"/>
        </w:rPr>
      </w:pPr>
      <w:r>
        <w:tab/>
      </w:r>
      <w:bookmarkStart w:id="7" w:name="_Toc30159508"/>
      <w:r>
        <w:t>B.</w:t>
      </w:r>
      <w:r>
        <w:tab/>
        <w:t xml:space="preserve">Procedural </w:t>
      </w:r>
      <w:r w:rsidR="00A0353C">
        <w:t>b</w:t>
      </w:r>
      <w:r>
        <w:t>ackground</w:t>
      </w:r>
      <w:bookmarkEnd w:id="7"/>
      <w:r>
        <w:t xml:space="preserve"> </w:t>
      </w:r>
    </w:p>
    <w:p w14:paraId="39142AB7" w14:textId="77777777" w:rsidR="00861894" w:rsidRPr="006D30C6" w:rsidRDefault="00861894" w:rsidP="00861894">
      <w:pPr>
        <w:pStyle w:val="SingleTxtG"/>
      </w:pPr>
      <w:r>
        <w:t>8.</w:t>
      </w:r>
      <w:r>
        <w:tab/>
        <w:t xml:space="preserve">The authorization to develop amendments to </w:t>
      </w:r>
      <w:r w:rsidRPr="006703E7">
        <w:t xml:space="preserve">UN GTR </w:t>
      </w:r>
      <w:r>
        <w:t xml:space="preserve">No.6 (Safety glazing) was adopted by the Executive Committee (AC.3) of the 1998 Agreement at its March 2015 session (ECE/TRANS/WP.29/1114, para. 115). It is based on ECE/TRANS/WP.29/2015/42. It </w:t>
      </w:r>
      <w:r w:rsidRPr="00B35EA8">
        <w:t xml:space="preserve">endorsed the proposed action plan </w:t>
      </w:r>
      <w:r>
        <w:t>to establish an Informal Working G</w:t>
      </w:r>
      <w:r w:rsidRPr="00B35EA8">
        <w:t xml:space="preserve">roup </w:t>
      </w:r>
      <w:r>
        <w:t>(IWG) on PSG</w:t>
      </w:r>
      <w:r w:rsidRPr="00B35EA8">
        <w:t>.</w:t>
      </w:r>
    </w:p>
    <w:p w14:paraId="55B78732" w14:textId="77777777" w:rsidR="00861894" w:rsidRPr="00B35EA8" w:rsidRDefault="00861894" w:rsidP="00861894">
      <w:pPr>
        <w:pStyle w:val="SingleTxtG"/>
      </w:pPr>
      <w:r>
        <w:t>9.</w:t>
      </w:r>
      <w:r>
        <w:tab/>
      </w:r>
      <w:r w:rsidRPr="00B35EA8">
        <w:t xml:space="preserve">The aim was to develop an amendment to relevant parts of </w:t>
      </w:r>
      <w:r>
        <w:t>UN GTR No.</w:t>
      </w:r>
      <w:r w:rsidRPr="00B35EA8">
        <w:t xml:space="preserve">6 </w:t>
      </w:r>
      <w:r>
        <w:t xml:space="preserve">and </w:t>
      </w:r>
      <w:r w:rsidRPr="00B35EA8">
        <w:t>UN</w:t>
      </w:r>
      <w:r>
        <w:t> </w:t>
      </w:r>
      <w:r w:rsidRPr="00B35EA8">
        <w:t>R</w:t>
      </w:r>
      <w:r>
        <w:t xml:space="preserve">egulation No.43, if necessary, </w:t>
      </w:r>
      <w:r w:rsidRPr="00B35EA8">
        <w:t>so that appropriate methods could be clarified for testing and evaluating Panoramic Sunroof Glazing.</w:t>
      </w:r>
    </w:p>
    <w:p w14:paraId="7CCA6566" w14:textId="77777777" w:rsidR="00861894" w:rsidRDefault="00861894" w:rsidP="00861894">
      <w:pPr>
        <w:pStyle w:val="SingleTxtG"/>
      </w:pPr>
      <w:r>
        <w:t>10.</w:t>
      </w:r>
      <w:r>
        <w:tab/>
        <w:t>The IWG</w:t>
      </w:r>
      <w:r w:rsidRPr="00B35EA8">
        <w:t xml:space="preserve"> should, at a first stage, collect information to clearly understand the reasons for glass breakage. </w:t>
      </w:r>
    </w:p>
    <w:p w14:paraId="7BA0EAE5" w14:textId="77777777" w:rsidR="00861894" w:rsidRPr="00B35EA8" w:rsidRDefault="00861894" w:rsidP="00861894">
      <w:pPr>
        <w:pStyle w:val="SingleTxtG"/>
      </w:pPr>
      <w:r>
        <w:lastRenderedPageBreak/>
        <w:t>11.</w:t>
      </w:r>
      <w:r>
        <w:tab/>
      </w:r>
      <w:r w:rsidRPr="00B35EA8">
        <w:t xml:space="preserve">Parallel to this, additional review and activities should be done to verify the impact of CPA in part areas of vehicle glass in order to establish testing programs and develop recommendations. </w:t>
      </w:r>
    </w:p>
    <w:p w14:paraId="6760424F" w14:textId="77777777" w:rsidR="00861894" w:rsidRDefault="00861894" w:rsidP="00861894">
      <w:pPr>
        <w:pStyle w:val="SingleTxtG"/>
      </w:pPr>
      <w:r>
        <w:t xml:space="preserve">12. </w:t>
      </w:r>
      <w:r>
        <w:tab/>
        <w:t>The IWG</w:t>
      </w:r>
      <w:r w:rsidRPr="00B35EA8">
        <w:t xml:space="preserve"> on PSG under the Working Party on General Safety (GRSG) reported that PSG </w:t>
      </w:r>
      <w:r w:rsidRPr="009749A1">
        <w:t xml:space="preserve">breakage can happen based on several factors, none of which could be identified as the single possible source. These include one-time manufacturing or human errors, vehicle and/or roof system design flaws, miss-assemblies or a massive sudden local load-case due to an </w:t>
      </w:r>
      <w:r>
        <w:t xml:space="preserve">undefined </w:t>
      </w:r>
      <w:r w:rsidRPr="009749A1">
        <w:t>impact with a sharp, hard and large indenter of high impulse</w:t>
      </w:r>
      <w:r w:rsidRPr="00B35EA8">
        <w:t>, among various others.</w:t>
      </w:r>
    </w:p>
    <w:p w14:paraId="72DCB8EC" w14:textId="77777777" w:rsidR="00861894" w:rsidRDefault="00861894" w:rsidP="00861894">
      <w:pPr>
        <w:pStyle w:val="SingleTxtG"/>
      </w:pPr>
      <w:r>
        <w:t>13.</w:t>
      </w:r>
      <w:r>
        <w:tab/>
      </w:r>
      <w:r w:rsidRPr="009749A1">
        <w:t>T</w:t>
      </w:r>
      <w:r>
        <w:t>he IWG determined that PSG breakage</w:t>
      </w:r>
      <w:r w:rsidRPr="009749A1">
        <w:t xml:space="preserve"> itself does not usually cause serious injuries to the occupants of the vehicle,</w:t>
      </w:r>
      <w:r>
        <w:t xml:space="preserve"> but this event might trigger other potential incidents to occur as a result of the breakage.</w:t>
      </w:r>
    </w:p>
    <w:p w14:paraId="18AF28FA" w14:textId="77777777" w:rsidR="00861894" w:rsidRPr="00214BD6" w:rsidRDefault="00861894" w:rsidP="00861894">
      <w:pPr>
        <w:pStyle w:val="SingleTxtG"/>
      </w:pPr>
      <w:r>
        <w:t>14</w:t>
      </w:r>
      <w:r w:rsidRPr="00C22D29">
        <w:t>.</w:t>
      </w:r>
      <w:r w:rsidRPr="00C22D29">
        <w:tab/>
      </w:r>
      <w:r>
        <w:t>The proposed Mutual Resolution</w:t>
      </w:r>
      <w:r w:rsidRPr="00C22D29">
        <w:rPr>
          <w:color w:val="FF0000"/>
        </w:rPr>
        <w:t xml:space="preserve"> </w:t>
      </w:r>
      <w:r w:rsidRPr="00A85F6E">
        <w:t>(M.R.</w:t>
      </w:r>
      <w:r>
        <w:t>4</w:t>
      </w:r>
      <w:r w:rsidRPr="00A85F6E">
        <w:t xml:space="preserve">) </w:t>
      </w:r>
      <w:r w:rsidRPr="00C22D29">
        <w:t xml:space="preserve">provides guidance to limit the CPA of a possibly affected single </w:t>
      </w:r>
      <w:r>
        <w:t>toughened</w:t>
      </w:r>
      <w:r w:rsidRPr="00C22D29">
        <w:t xml:space="preserve"> safety </w:t>
      </w:r>
      <w:r>
        <w:t>PSG pane</w:t>
      </w:r>
      <w:r w:rsidRPr="00C22D29">
        <w:t xml:space="preserve"> and </w:t>
      </w:r>
      <w:r>
        <w:t xml:space="preserve">the </w:t>
      </w:r>
      <w:r w:rsidRPr="00C22D29">
        <w:t>measurement procedure proposals for CPA.</w:t>
      </w:r>
    </w:p>
    <w:p w14:paraId="12C3C063" w14:textId="77777777" w:rsidR="00861894" w:rsidRDefault="00861894" w:rsidP="00861894">
      <w:pPr>
        <w:pStyle w:val="H1G"/>
      </w:pPr>
      <w:r>
        <w:tab/>
      </w:r>
      <w:bookmarkStart w:id="8" w:name="_Toc30159509"/>
      <w:r>
        <w:t>C.</w:t>
      </w:r>
      <w:r>
        <w:tab/>
      </w:r>
      <w:r w:rsidRPr="006219D8">
        <w:t>Technical rationale and justification</w:t>
      </w:r>
      <w:bookmarkEnd w:id="8"/>
    </w:p>
    <w:p w14:paraId="7AB846F7" w14:textId="77777777" w:rsidR="00861894" w:rsidRPr="00214BD6" w:rsidRDefault="00861894" w:rsidP="00861894">
      <w:pPr>
        <w:pStyle w:val="SingleTxtG"/>
      </w:pPr>
      <w:r w:rsidRPr="00214BD6">
        <w:rPr>
          <w:rStyle w:val="SingleTxtGChar"/>
        </w:rPr>
        <w:t>15.</w:t>
      </w:r>
      <w:r w:rsidRPr="00214BD6">
        <w:rPr>
          <w:rStyle w:val="SingleTxtGChar"/>
          <w:b/>
          <w:bCs/>
        </w:rPr>
        <w:tab/>
      </w:r>
      <w:r w:rsidRPr="00263925">
        <w:t xml:space="preserve">This section introduces the main working items discussed and the technical rationale for developing a harmonized design guideline for establishing a maximum size of the </w:t>
      </w:r>
      <w:r>
        <w:t>CPA</w:t>
      </w:r>
      <w:r w:rsidRPr="00263925">
        <w:t xml:space="preserve"> on each single </w:t>
      </w:r>
      <w:r>
        <w:t>toughened</w:t>
      </w:r>
      <w:r w:rsidRPr="00263925">
        <w:t xml:space="preserve"> safety glass pane </w:t>
      </w:r>
      <w:r>
        <w:t>of a PS</w:t>
      </w:r>
      <w:r w:rsidRPr="00263925">
        <w:t>, which is touchable from inside passenger’s area.</w:t>
      </w:r>
    </w:p>
    <w:p w14:paraId="0A8769FE" w14:textId="77777777" w:rsidR="00861894" w:rsidRPr="00214BD6" w:rsidRDefault="00861894" w:rsidP="00861894">
      <w:pPr>
        <w:pStyle w:val="H23G"/>
      </w:pPr>
      <w:r w:rsidRPr="00214BD6">
        <w:tab/>
        <w:t>1.</w:t>
      </w:r>
      <w:r w:rsidRPr="00214BD6">
        <w:tab/>
        <w:t>Glass Breakage</w:t>
      </w:r>
    </w:p>
    <w:p w14:paraId="07F9FD49" w14:textId="77777777" w:rsidR="00861894" w:rsidRDefault="00861894" w:rsidP="00861894">
      <w:pPr>
        <w:pStyle w:val="SingleTxtG"/>
      </w:pPr>
      <w:r>
        <w:t xml:space="preserve">16. </w:t>
      </w:r>
      <w:r>
        <w:tab/>
      </w:r>
      <w:r w:rsidRPr="0055020C">
        <w:t xml:space="preserve">The IWG on PSG found at a first </w:t>
      </w:r>
      <w:r>
        <w:t xml:space="preserve">analysis </w:t>
      </w:r>
      <w:r w:rsidRPr="0055020C">
        <w:t>that there was</w:t>
      </w:r>
      <w:r w:rsidRPr="00466F4C">
        <w:t xml:space="preserve"> a </w:t>
      </w:r>
      <w:r w:rsidRPr="0055020C">
        <w:t>risk of glass breakage, if a PSG is part of the vehicle</w:t>
      </w:r>
      <w:r>
        <w:t xml:space="preserve"> and special load cases occur</w:t>
      </w:r>
      <w:r w:rsidRPr="0055020C">
        <w:t xml:space="preserve">. </w:t>
      </w:r>
      <w:proofErr w:type="gramStart"/>
      <w:r w:rsidRPr="0055020C">
        <w:t>Nevertheless</w:t>
      </w:r>
      <w:proofErr w:type="gramEnd"/>
      <w:r w:rsidRPr="0055020C">
        <w:t xml:space="preserve"> the risk of </w:t>
      </w:r>
      <w:r w:rsidRPr="00466F4C">
        <w:t xml:space="preserve"> injury</w:t>
      </w:r>
      <w:r>
        <w:rPr>
          <w:b/>
          <w:color w:val="7030A0"/>
        </w:rPr>
        <w:t xml:space="preserve"> </w:t>
      </w:r>
      <w:r w:rsidRPr="0055020C">
        <w:t xml:space="preserve">to the vehicle occupants through a glass breakage (such as scratches and cuts) is rather small compared to delivered volumes of sunroofs. </w:t>
      </w:r>
    </w:p>
    <w:p w14:paraId="1C767BFD" w14:textId="77777777" w:rsidR="00861894" w:rsidRDefault="00861894" w:rsidP="00861894">
      <w:pPr>
        <w:pStyle w:val="SingleTxtG"/>
      </w:pPr>
      <w:r>
        <w:t>17.</w:t>
      </w:r>
      <w:r>
        <w:tab/>
        <w:t>Analysis</w:t>
      </w:r>
      <w:r w:rsidRPr="0055020C">
        <w:t xml:space="preserve"> also </w:t>
      </w:r>
      <w:r>
        <w:t>showed</w:t>
      </w:r>
      <w:r w:rsidRPr="0055020C">
        <w:t xml:space="preserve"> that the risk of glass breakage increased,</w:t>
      </w:r>
      <w:r>
        <w:t xml:space="preserve"> if the toughened safety glass pane</w:t>
      </w:r>
      <w:r w:rsidRPr="0055020C">
        <w:t xml:space="preserve"> was hit </w:t>
      </w:r>
      <w:r>
        <w:t xml:space="preserve">in a ceramic printed area </w:t>
      </w:r>
      <w:r w:rsidRPr="0055020C">
        <w:t>instead of the clear glass area</w:t>
      </w:r>
      <w:r>
        <w:t xml:space="preserve"> without CPA underneath. T</w:t>
      </w:r>
      <w:r w:rsidRPr="0055020C">
        <w:t xml:space="preserve">his led the IWG on PSG to the conclusion that </w:t>
      </w:r>
      <w:r>
        <w:t xml:space="preserve">both </w:t>
      </w:r>
      <w:r w:rsidRPr="0055020C">
        <w:t xml:space="preserve">the CPA area and testing requirements should be reviewed. </w:t>
      </w:r>
    </w:p>
    <w:p w14:paraId="087F61AB" w14:textId="77777777" w:rsidR="00861894" w:rsidRDefault="00861894" w:rsidP="00861894">
      <w:pPr>
        <w:pStyle w:val="SingleTxtG"/>
      </w:pPr>
      <w:r>
        <w:t>18.</w:t>
      </w:r>
      <w:r>
        <w:tab/>
      </w:r>
      <w:r w:rsidRPr="0055020C">
        <w:t xml:space="preserve">Based on the available information on glass behaviour it was agreed that for a </w:t>
      </w:r>
      <w:r>
        <w:t xml:space="preserve">testing requirement </w:t>
      </w:r>
      <w:r w:rsidRPr="0055020C">
        <w:t>amendment to relevant parts of UN R</w:t>
      </w:r>
      <w:r>
        <w:t>egulation No.43 and UN GTR No.</w:t>
      </w:r>
      <w:r w:rsidRPr="0055020C">
        <w:t>6 long-</w:t>
      </w:r>
      <w:r w:rsidRPr="00D63806">
        <w:t>term studies on PSG breakage would be necessary.</w:t>
      </w:r>
    </w:p>
    <w:p w14:paraId="19D29EE9" w14:textId="77777777" w:rsidR="00861894" w:rsidRDefault="00861894" w:rsidP="00861894">
      <w:pPr>
        <w:pStyle w:val="SingleTxtG"/>
      </w:pPr>
      <w:r>
        <w:t xml:space="preserve">19. </w:t>
      </w:r>
      <w:r>
        <w:tab/>
      </w:r>
      <w:r w:rsidRPr="009749A1">
        <w:t>Among</w:t>
      </w:r>
      <w:r>
        <w:t xml:space="preserve"> the possibilities explaining </w:t>
      </w:r>
      <w:r w:rsidRPr="00C1595D">
        <w:t>a regional</w:t>
      </w:r>
      <w:r>
        <w:t xml:space="preserve"> </w:t>
      </w:r>
      <w:r w:rsidRPr="009749A1">
        <w:t xml:space="preserve">increase in the </w:t>
      </w:r>
      <w:r>
        <w:t xml:space="preserve">number of breakages of PSG </w:t>
      </w:r>
      <w:proofErr w:type="gramStart"/>
      <w:r w:rsidRPr="009749A1">
        <w:t>are</w:t>
      </w:r>
      <w:r>
        <w:t>:</w:t>
      </w:r>
      <w:proofErr w:type="gramEnd"/>
      <w:r w:rsidRPr="009749A1">
        <w:t xml:space="preserve"> </w:t>
      </w:r>
      <w:r>
        <w:t>the increased</w:t>
      </w:r>
      <w:r>
        <w:rPr>
          <w:color w:val="0070C0"/>
        </w:rPr>
        <w:t xml:space="preserve"> </w:t>
      </w:r>
      <w:r w:rsidRPr="00D63806">
        <w:t>global adoption of PSG’s; an increased awareness; and an increased use of CPA in state-of-the-art PSG design</w:t>
      </w:r>
      <w:r>
        <w:t>.</w:t>
      </w:r>
    </w:p>
    <w:p w14:paraId="4027168E" w14:textId="77777777" w:rsidR="00861894" w:rsidRDefault="00861894" w:rsidP="00861894">
      <w:pPr>
        <w:ind w:left="1134" w:right="1133" w:firstLine="18"/>
        <w:jc w:val="both"/>
      </w:pPr>
      <w:r>
        <w:t xml:space="preserve">20. </w:t>
      </w:r>
      <w:r>
        <w:tab/>
        <w:t>The development of new enamels, which do not affect the mechanical strength of the toughened safety glass while meeting all other required glass specifications might reduce the probability of toughened safety glass breakages. However, these are not available in the near future in the required quality and quantity to meet the specifications and general needs of vehicle manufacturers.</w:t>
      </w:r>
    </w:p>
    <w:p w14:paraId="36990B1F" w14:textId="77777777" w:rsidR="00861894" w:rsidRDefault="00861894" w:rsidP="00861894">
      <w:pPr>
        <w:pStyle w:val="H23G"/>
      </w:pPr>
      <w:r>
        <w:tab/>
        <w:t>2.</w:t>
      </w:r>
      <w:r>
        <w:tab/>
      </w:r>
      <w:r w:rsidRPr="00E86310">
        <w:t>CPA Limitation</w:t>
      </w:r>
    </w:p>
    <w:p w14:paraId="284C6D52" w14:textId="77777777" w:rsidR="00861894" w:rsidRDefault="00861894" w:rsidP="00861894">
      <w:pPr>
        <w:pStyle w:val="SingleTxtG"/>
      </w:pPr>
      <w:r>
        <w:t>21.</w:t>
      </w:r>
      <w:r w:rsidRPr="00FD0D57">
        <w:tab/>
        <w:t>The IWG on PSG supports that a CPA limitation should only affect glass panes of the PSG in the overhead zone, which reach into the design glass outline area</w:t>
      </w:r>
      <w:r>
        <w:t xml:space="preserve">. </w:t>
      </w:r>
    </w:p>
    <w:p w14:paraId="170A9A17" w14:textId="77777777" w:rsidR="00861894" w:rsidRPr="00FD0D57" w:rsidRDefault="00861894" w:rsidP="00861894">
      <w:pPr>
        <w:pStyle w:val="SingleTxtG"/>
      </w:pPr>
      <w:r>
        <w:t>22.</w:t>
      </w:r>
      <w:r>
        <w:tab/>
        <w:t>In case of measuring the width of the ceramic print according to II.3.1 the ceramic print measurement should include the dotted area, but no markings or other ceramic prints.</w:t>
      </w:r>
    </w:p>
    <w:p w14:paraId="0CC619C8" w14:textId="77777777" w:rsidR="00861894" w:rsidRDefault="00861894" w:rsidP="00861894">
      <w:pPr>
        <w:pStyle w:val="SingleTxtG"/>
      </w:pPr>
      <w:r>
        <w:t>23.</w:t>
      </w:r>
      <w:r>
        <w:tab/>
        <w:t>I</w:t>
      </w:r>
      <w:r w:rsidRPr="00FD0D57">
        <w:t xml:space="preserve">n case of a percentual specific limitation of CPA </w:t>
      </w:r>
      <w:r>
        <w:t xml:space="preserve">according to II.3.2. </w:t>
      </w:r>
      <w:r w:rsidRPr="00FD0D57">
        <w:t>all ceramic prints should be included such as markings, dotted areas and other ceramic prints such as logos.</w:t>
      </w:r>
    </w:p>
    <w:p w14:paraId="26D7D4B1" w14:textId="77777777" w:rsidR="00861894" w:rsidRDefault="00861894" w:rsidP="00861894">
      <w:pPr>
        <w:pStyle w:val="SingleTxtG"/>
        <w:rPr>
          <w:b/>
        </w:rPr>
      </w:pPr>
      <w:r>
        <w:lastRenderedPageBreak/>
        <w:t>24.</w:t>
      </w:r>
      <w:r>
        <w:tab/>
      </w:r>
      <w:r w:rsidRPr="00FD0D57">
        <w:t>It is assumed and confirmed in general that a CPA</w:t>
      </w:r>
      <w:r>
        <w:t xml:space="preserve"> of today</w:t>
      </w:r>
      <w:r w:rsidRPr="00FD0D57">
        <w:t xml:space="preserve"> will reduce the mechanical strength of </w:t>
      </w:r>
      <w:r>
        <w:t>toughened</w:t>
      </w:r>
      <w:r w:rsidRPr="00FD0D57">
        <w:t xml:space="preserve"> safety glazing in any kind of glass application. </w:t>
      </w:r>
    </w:p>
    <w:p w14:paraId="41074545" w14:textId="77777777" w:rsidR="00861894" w:rsidRPr="005248BE" w:rsidRDefault="00861894" w:rsidP="00861894">
      <w:pPr>
        <w:pStyle w:val="SingleTxtG"/>
      </w:pPr>
      <w:r>
        <w:t>25.</w:t>
      </w:r>
      <w:r>
        <w:tab/>
      </w:r>
      <w:r w:rsidRPr="005248BE">
        <w:t xml:space="preserve">It is also assumed in general that in the automotive industry dynamic load cases in terms </w:t>
      </w:r>
      <w:r>
        <w:t xml:space="preserve">of </w:t>
      </w:r>
      <w:r w:rsidRPr="005248BE">
        <w:t xml:space="preserve">impacts of undefined specification during the lifetime movements of a vehicle are likely to happen. </w:t>
      </w:r>
    </w:p>
    <w:p w14:paraId="4EF94008" w14:textId="77777777" w:rsidR="00861894" w:rsidRPr="00FD0D57" w:rsidRDefault="00861894" w:rsidP="00861894">
      <w:pPr>
        <w:pStyle w:val="SingleTxtG"/>
      </w:pPr>
      <w:r>
        <w:t>26.</w:t>
      </w:r>
      <w:r>
        <w:tab/>
      </w:r>
      <w:r w:rsidRPr="00FD0D57">
        <w:t xml:space="preserve">It was agreed </w:t>
      </w:r>
      <w:r>
        <w:t xml:space="preserve">in the IWG on PSG </w:t>
      </w:r>
      <w:r w:rsidRPr="00FD0D57">
        <w:t xml:space="preserve">that a reduction of CPA during serial production </w:t>
      </w:r>
      <w:r>
        <w:t xml:space="preserve">of Panoramic Sunroofs and vehicles </w:t>
      </w:r>
      <w:r w:rsidRPr="00FD0D57">
        <w:t>is not an easy task and should be done preferably with a new PSG product design for a new model launch.</w:t>
      </w:r>
    </w:p>
    <w:p w14:paraId="4B1A5630" w14:textId="77777777" w:rsidR="00861894" w:rsidRDefault="00861894" w:rsidP="00861894">
      <w:pPr>
        <w:pStyle w:val="SingleTxtG"/>
      </w:pPr>
      <w:r>
        <w:t>27.</w:t>
      </w:r>
      <w:r>
        <w:tab/>
      </w:r>
      <w:r w:rsidRPr="00D51666">
        <w:t>An adaptation of the technical requirements for an amendment to rele</w:t>
      </w:r>
      <w:r>
        <w:t>vant parts of UN Regulation No.43 and UN GTR No.</w:t>
      </w:r>
      <w:r w:rsidRPr="00D51666">
        <w:t>6 should be based only on scientific knowledge.</w:t>
      </w:r>
      <w:r>
        <w:t xml:space="preserve"> </w:t>
      </w:r>
    </w:p>
    <w:p w14:paraId="4C693CC3" w14:textId="77777777" w:rsidR="00861894" w:rsidRPr="00D51666" w:rsidRDefault="00861894" w:rsidP="00861894">
      <w:pPr>
        <w:pStyle w:val="SingleTxtG"/>
      </w:pPr>
      <w:r>
        <w:t>28.</w:t>
      </w:r>
      <w:r>
        <w:tab/>
        <w:t xml:space="preserve">The research required for </w:t>
      </w:r>
      <w:r w:rsidRPr="00F0564D">
        <w:t xml:space="preserve">this would take </w:t>
      </w:r>
      <w:r w:rsidRPr="00437134">
        <w:t xml:space="preserve">more time </w:t>
      </w:r>
      <w:r w:rsidRPr="00D51666">
        <w:t>to produce insights into the adaptation of the 227g ball test, the CPA and possible connecting issues between both aspects.</w:t>
      </w:r>
    </w:p>
    <w:p w14:paraId="7C4CF00F" w14:textId="77777777" w:rsidR="00861894" w:rsidRDefault="00861894" w:rsidP="00861894">
      <w:pPr>
        <w:pStyle w:val="SingleTxtG"/>
      </w:pPr>
      <w:r>
        <w:t>29.</w:t>
      </w:r>
      <w:r>
        <w:tab/>
      </w:r>
      <w:r w:rsidRPr="00D51666">
        <w:t xml:space="preserve">There were lively discussions in the IWG on PSG based on </w:t>
      </w:r>
      <w:r>
        <w:t xml:space="preserve">the information </w:t>
      </w:r>
      <w:r w:rsidRPr="00D51666">
        <w:t xml:space="preserve">above and the expectation that a change in regulations with regards to CPA limitation may not be acceptable for all members in due time. </w:t>
      </w:r>
    </w:p>
    <w:p w14:paraId="2EA26CE1" w14:textId="77777777" w:rsidR="00861894" w:rsidRDefault="00861894" w:rsidP="00861894">
      <w:pPr>
        <w:pStyle w:val="SingleTxtG"/>
      </w:pPr>
      <w:r>
        <w:t>30.</w:t>
      </w:r>
      <w:r>
        <w:tab/>
      </w:r>
      <w:r w:rsidRPr="00D51666">
        <w:t>Therefore</w:t>
      </w:r>
      <w:r>
        <w:t>,</w:t>
      </w:r>
      <w:r w:rsidRPr="00D51666">
        <w:t xml:space="preserve"> it was decided in the IWG on PSG that a Recommendation </w:t>
      </w:r>
      <w:r>
        <w:t xml:space="preserve">with this Mutual Resolution </w:t>
      </w:r>
      <w:r w:rsidRPr="00D51666">
        <w:t>would be a good intermediate solution until new technologies are made available.</w:t>
      </w:r>
    </w:p>
    <w:p w14:paraId="2837D047" w14:textId="77777777" w:rsidR="00861894" w:rsidRPr="00F0564D" w:rsidRDefault="00861894" w:rsidP="00861894">
      <w:pPr>
        <w:pStyle w:val="SingleTxtG"/>
      </w:pPr>
      <w:r>
        <w:t>31.</w:t>
      </w:r>
      <w:r>
        <w:tab/>
      </w:r>
      <w:r w:rsidRPr="00F0564D">
        <w:t xml:space="preserve">To answer the question how a limitation of CPA on a toughened safety glass pane should be defined, the intense technical discussions within the IWG on PSG finally concluded, that the state of art materials, the respective design requirements and manufacturing technology limitations need to be taken into account. </w:t>
      </w:r>
    </w:p>
    <w:p w14:paraId="003DF3C9" w14:textId="77777777" w:rsidR="00861894" w:rsidRPr="00D01BBE" w:rsidRDefault="00861894" w:rsidP="00861894">
      <w:pPr>
        <w:pStyle w:val="SingleTxtG"/>
        <w:rPr>
          <w:strike/>
        </w:rPr>
      </w:pPr>
      <w:r>
        <w:t>32.</w:t>
      </w:r>
      <w:r>
        <w:tab/>
      </w:r>
      <w:r w:rsidRPr="00F0564D">
        <w:t>The discussion on the variety of target CPA values (nominal and %) within the expert group concluded into the agreement on limiting the width and percentual CPA</w:t>
      </w:r>
      <w:r>
        <w:t>.</w:t>
      </w:r>
      <w:r w:rsidRPr="00F0564D">
        <w:t xml:space="preserve"> </w:t>
      </w:r>
    </w:p>
    <w:p w14:paraId="63BE1E24" w14:textId="77777777" w:rsidR="00861894" w:rsidRDefault="00861894" w:rsidP="00861894">
      <w:pPr>
        <w:pStyle w:val="HChG"/>
      </w:pPr>
      <w:r>
        <w:tab/>
      </w:r>
      <w:bookmarkStart w:id="9" w:name="_Toc30159510"/>
      <w:r w:rsidRPr="007103DC">
        <w:t>II.</w:t>
      </w:r>
      <w:r w:rsidRPr="007103DC">
        <w:tab/>
      </w:r>
      <w:r w:rsidRPr="007103DC">
        <w:tab/>
        <w:t xml:space="preserve">Text of the </w:t>
      </w:r>
      <w:r>
        <w:t>Mutual Resolution</w:t>
      </w:r>
      <w:bookmarkEnd w:id="9"/>
      <w:r>
        <w:t xml:space="preserve"> </w:t>
      </w:r>
    </w:p>
    <w:p w14:paraId="0F9726CC" w14:textId="77777777" w:rsidR="00861894" w:rsidRDefault="00861894" w:rsidP="00861894">
      <w:pPr>
        <w:pStyle w:val="HChG"/>
        <w:ind w:left="2268"/>
      </w:pPr>
      <w:bookmarkStart w:id="10" w:name="_Toc30159511"/>
      <w:r>
        <w:t>1.</w:t>
      </w:r>
      <w:r>
        <w:tab/>
        <w:t>Introduction</w:t>
      </w:r>
      <w:bookmarkEnd w:id="10"/>
    </w:p>
    <w:p w14:paraId="34B80832" w14:textId="77777777" w:rsidR="00861894" w:rsidRDefault="00861894" w:rsidP="00861894">
      <w:pPr>
        <w:pStyle w:val="SingleTxtG"/>
        <w:ind w:left="2268" w:hanging="1275"/>
        <w:rPr>
          <w:lang w:val="en-US"/>
        </w:rPr>
      </w:pPr>
      <w:r>
        <w:rPr>
          <w:lang w:val="en-US"/>
        </w:rPr>
        <w:t>1.1.</w:t>
      </w:r>
      <w:r>
        <w:rPr>
          <w:lang w:val="en-US"/>
        </w:rPr>
        <w:tab/>
      </w:r>
      <w:r w:rsidRPr="00EE542E">
        <w:rPr>
          <w:lang w:val="en-US"/>
        </w:rPr>
        <w:t xml:space="preserve">The Ceramic Printed Area (CPA) ensures the lifetime of the adhesion between the </w:t>
      </w:r>
      <w:r>
        <w:rPr>
          <w:lang w:val="en-US"/>
        </w:rPr>
        <w:t xml:space="preserve">toughened safety </w:t>
      </w:r>
      <w:r w:rsidRPr="00EE542E">
        <w:rPr>
          <w:lang w:val="en-US"/>
        </w:rPr>
        <w:t xml:space="preserve">glass pane and the vehicle or panoramic sunroof structure but could reduce the strength of toughened </w:t>
      </w:r>
      <w:r>
        <w:rPr>
          <w:lang w:val="en-US"/>
        </w:rPr>
        <w:t xml:space="preserve">safety </w:t>
      </w:r>
      <w:r w:rsidRPr="00EE542E">
        <w:rPr>
          <w:lang w:val="en-US"/>
        </w:rPr>
        <w:t xml:space="preserve">glass. </w:t>
      </w:r>
    </w:p>
    <w:p w14:paraId="131F46D3" w14:textId="77777777" w:rsidR="00861894" w:rsidRPr="00B65D0F" w:rsidRDefault="00861894" w:rsidP="00861894">
      <w:pPr>
        <w:pStyle w:val="SingleTxtG"/>
        <w:ind w:left="2268" w:hanging="1275"/>
        <w:rPr>
          <w:lang w:val="en-US"/>
        </w:rPr>
      </w:pPr>
      <w:r>
        <w:rPr>
          <w:lang w:val="en-US"/>
        </w:rPr>
        <w:t xml:space="preserve">1.2. </w:t>
      </w:r>
      <w:r>
        <w:rPr>
          <w:lang w:val="en-US"/>
        </w:rPr>
        <w:tab/>
      </w:r>
      <w:r w:rsidRPr="00EE542E">
        <w:rPr>
          <w:lang w:val="en-US"/>
        </w:rPr>
        <w:t xml:space="preserve">In </w:t>
      </w:r>
      <w:r w:rsidRPr="00DE618B">
        <w:rPr>
          <w:lang w:val="en-US"/>
        </w:rPr>
        <w:t>October 2019</w:t>
      </w:r>
      <w:r>
        <w:rPr>
          <w:lang w:val="en-US"/>
        </w:rPr>
        <w:t>, the IWG</w:t>
      </w:r>
      <w:r w:rsidRPr="00EE542E">
        <w:rPr>
          <w:lang w:val="en-US"/>
        </w:rPr>
        <w:t xml:space="preserve"> on P</w:t>
      </w:r>
      <w:r>
        <w:rPr>
          <w:lang w:val="en-US"/>
        </w:rPr>
        <w:t>SG</w:t>
      </w:r>
      <w:r w:rsidRPr="00EE542E">
        <w:rPr>
          <w:lang w:val="en-US"/>
        </w:rPr>
        <w:t xml:space="preserve"> prepared a recommendation to limit the size of CPA for the case of ceramic print</w:t>
      </w:r>
      <w:r>
        <w:rPr>
          <w:lang w:val="en-US"/>
        </w:rPr>
        <w:t>ed</w:t>
      </w:r>
      <w:r w:rsidRPr="00EE542E">
        <w:rPr>
          <w:lang w:val="en-US"/>
        </w:rPr>
        <w:t xml:space="preserve"> coatings, which reduce the strength of the toughened </w:t>
      </w:r>
      <w:r>
        <w:rPr>
          <w:lang w:val="en-US"/>
        </w:rPr>
        <w:t xml:space="preserve">safety </w:t>
      </w:r>
      <w:r w:rsidRPr="00EE542E">
        <w:rPr>
          <w:lang w:val="en-US"/>
        </w:rPr>
        <w:t xml:space="preserve">glass to the extent that a fully-printed test piece would not withstand the </w:t>
      </w:r>
      <w:r>
        <w:rPr>
          <w:lang w:val="en-US"/>
        </w:rPr>
        <w:t xml:space="preserve">UN </w:t>
      </w:r>
      <w:r w:rsidRPr="00EE542E">
        <w:rPr>
          <w:lang w:val="en-US"/>
        </w:rPr>
        <w:t>GTR</w:t>
      </w:r>
      <w:r>
        <w:rPr>
          <w:lang w:val="en-US"/>
        </w:rPr>
        <w:t xml:space="preserve"> No.</w:t>
      </w:r>
      <w:r w:rsidRPr="00EE542E">
        <w:rPr>
          <w:lang w:val="en-US"/>
        </w:rPr>
        <w:t>6 ball drop test.</w:t>
      </w:r>
    </w:p>
    <w:p w14:paraId="31ECCC45" w14:textId="77777777" w:rsidR="00861894" w:rsidRPr="00DE618B" w:rsidRDefault="00861894" w:rsidP="00861894">
      <w:pPr>
        <w:pStyle w:val="HChG"/>
        <w:ind w:left="2268"/>
      </w:pPr>
      <w:bookmarkStart w:id="11" w:name="_Toc30159512"/>
      <w:r>
        <w:t>2.</w:t>
      </w:r>
      <w:r>
        <w:tab/>
        <w:t xml:space="preserve">Scope </w:t>
      </w:r>
      <w:r w:rsidRPr="007103DC">
        <w:t>and application</w:t>
      </w:r>
      <w:bookmarkEnd w:id="11"/>
    </w:p>
    <w:p w14:paraId="64652EB5" w14:textId="77777777" w:rsidR="00861894" w:rsidRPr="003669D5" w:rsidRDefault="00861894" w:rsidP="00861894">
      <w:pPr>
        <w:pStyle w:val="SingleTxtG"/>
        <w:ind w:left="2268" w:hanging="1275"/>
        <w:rPr>
          <w:lang w:val="en-US"/>
        </w:rPr>
      </w:pPr>
      <w:r>
        <w:t>2.1</w:t>
      </w:r>
      <w:r>
        <w:rPr>
          <w:lang w:val="en-US"/>
        </w:rPr>
        <w:t>.</w:t>
      </w:r>
      <w:r>
        <w:rPr>
          <w:lang w:val="en-US"/>
        </w:rPr>
        <w:tab/>
      </w:r>
      <w:r>
        <w:rPr>
          <w:rFonts w:eastAsia="Malgun Gothic"/>
          <w:lang w:val="en-US"/>
        </w:rPr>
        <w:t>This Mutual Resolution</w:t>
      </w:r>
      <w:r w:rsidRPr="00B03C85">
        <w:rPr>
          <w:rFonts w:eastAsia="Malgun Gothic"/>
          <w:lang w:val="en-US"/>
        </w:rPr>
        <w:t xml:space="preserve"> contains the provisions and harmoni</w:t>
      </w:r>
      <w:r>
        <w:rPr>
          <w:rFonts w:eastAsia="Malgun Gothic"/>
          <w:lang w:val="en-US"/>
        </w:rPr>
        <w:t>z</w:t>
      </w:r>
      <w:r w:rsidRPr="00B03C85">
        <w:rPr>
          <w:rFonts w:eastAsia="Malgun Gothic"/>
          <w:lang w:val="en-US"/>
        </w:rPr>
        <w:t>ed test procedure</w:t>
      </w:r>
      <w:r>
        <w:rPr>
          <w:rFonts w:eastAsia="Malgun Gothic"/>
          <w:lang w:val="en-US"/>
        </w:rPr>
        <w:t>s</w:t>
      </w:r>
      <w:r w:rsidRPr="00B03C85">
        <w:rPr>
          <w:rFonts w:eastAsia="Malgun Gothic"/>
          <w:lang w:val="en-US"/>
        </w:rPr>
        <w:t xml:space="preserve"> for the </w:t>
      </w:r>
      <w:r w:rsidRPr="003669D5">
        <w:rPr>
          <w:lang w:val="en-US"/>
        </w:rPr>
        <w:t>maximum measurement of CPA of each single toughened safety glass pane of a Panoramic Sunroof, which is touchable from inside the passenger area.</w:t>
      </w:r>
    </w:p>
    <w:p w14:paraId="18BDC613" w14:textId="77777777" w:rsidR="00861894" w:rsidRDefault="00861894" w:rsidP="00861894">
      <w:pPr>
        <w:pStyle w:val="SingleTxtG"/>
        <w:ind w:left="2268" w:hanging="1275"/>
      </w:pPr>
      <w:r>
        <w:rPr>
          <w:lang w:val="en-US"/>
        </w:rPr>
        <w:t>2.2.</w:t>
      </w:r>
      <w:r w:rsidRPr="003669D5">
        <w:rPr>
          <w:lang w:val="en-US"/>
        </w:rPr>
        <w:t xml:space="preserve"> </w:t>
      </w:r>
      <w:r w:rsidRPr="003669D5">
        <w:rPr>
          <w:lang w:val="en-US"/>
        </w:rPr>
        <w:tab/>
        <w:t>This Mutual Resolution applies to category 1-1 vehicles of Special Resolution No.1, which have or</w:t>
      </w:r>
      <w:r w:rsidRPr="00D01BBE">
        <w:t xml:space="preserve"> may have a </w:t>
      </w:r>
      <w:r>
        <w:t>PS</w:t>
      </w:r>
      <w:r w:rsidRPr="008006E6">
        <w:t>.</w:t>
      </w:r>
      <w:r w:rsidRPr="00D01BBE">
        <w:t xml:space="preserve"> </w:t>
      </w:r>
    </w:p>
    <w:p w14:paraId="43648518" w14:textId="20000E7D" w:rsidR="00861894" w:rsidRDefault="00861894" w:rsidP="00861894">
      <w:pPr>
        <w:pStyle w:val="HChG"/>
        <w:ind w:left="2268"/>
      </w:pPr>
      <w:bookmarkStart w:id="12" w:name="_Toc30159513"/>
      <w:r>
        <w:t>3.</w:t>
      </w:r>
      <w:r>
        <w:tab/>
        <w:t xml:space="preserve">General </w:t>
      </w:r>
      <w:r w:rsidR="00B72071">
        <w:t>p</w:t>
      </w:r>
      <w:r>
        <w:t>rovisions</w:t>
      </w:r>
      <w:bookmarkEnd w:id="12"/>
    </w:p>
    <w:p w14:paraId="0252BA6C" w14:textId="77777777" w:rsidR="00861894" w:rsidRPr="003669D5" w:rsidRDefault="00861894" w:rsidP="00861894">
      <w:pPr>
        <w:pStyle w:val="SingleTxtG"/>
        <w:ind w:left="2268" w:hanging="1275"/>
        <w:rPr>
          <w:lang w:val="en-US"/>
        </w:rPr>
      </w:pPr>
      <w:r>
        <w:t>3.1.</w:t>
      </w:r>
      <w:r>
        <w:tab/>
      </w:r>
      <w:r w:rsidRPr="00D01BBE">
        <w:t>Contracting Parties are invited to refer to this Mutual Resolution for the limitation of CPA of each single toughened safety glass pane</w:t>
      </w:r>
      <w:r>
        <w:t xml:space="preserve"> of a PS</w:t>
      </w:r>
      <w:r w:rsidRPr="00D01BBE">
        <w:t xml:space="preserve">, which is touchable from inside the </w:t>
      </w:r>
      <w:r w:rsidRPr="003669D5">
        <w:rPr>
          <w:lang w:val="en-US"/>
        </w:rPr>
        <w:t>passenger area.</w:t>
      </w:r>
    </w:p>
    <w:p w14:paraId="3AC66666" w14:textId="77777777" w:rsidR="00861894" w:rsidRPr="00D01BBE" w:rsidRDefault="00861894" w:rsidP="00861894">
      <w:pPr>
        <w:pStyle w:val="SingleTxtG"/>
        <w:ind w:left="2268" w:hanging="1134"/>
      </w:pPr>
      <w:r>
        <w:rPr>
          <w:lang w:val="en-US"/>
        </w:rPr>
        <w:lastRenderedPageBreak/>
        <w:t>3</w:t>
      </w:r>
      <w:r w:rsidRPr="003669D5">
        <w:rPr>
          <w:lang w:val="en-US"/>
        </w:rPr>
        <w:t>.</w:t>
      </w:r>
      <w:r>
        <w:rPr>
          <w:lang w:val="en-US"/>
        </w:rPr>
        <w:t>2.</w:t>
      </w:r>
      <w:r w:rsidRPr="003669D5">
        <w:rPr>
          <w:lang w:val="en-US"/>
        </w:rPr>
        <w:tab/>
        <w:t>This Mutual Resolution does not hold regulatory status within Contracting Parties. It is recommended that Contracting</w:t>
      </w:r>
      <w:r w:rsidRPr="00D01BBE">
        <w:t xml:space="preserve"> Parties and Manufacturers refer to this Mutual Resolution </w:t>
      </w:r>
      <w:r w:rsidRPr="00437134">
        <w:t>when designing the CPA of PS and verifying the measurement methods hereto.</w:t>
      </w:r>
    </w:p>
    <w:p w14:paraId="6853347E" w14:textId="3E0C5617" w:rsidR="00861894" w:rsidRDefault="00861894" w:rsidP="00861894">
      <w:pPr>
        <w:pStyle w:val="HChG"/>
        <w:ind w:left="2268"/>
      </w:pPr>
      <w:bookmarkStart w:id="13" w:name="_Toc30159514"/>
      <w:r>
        <w:t>4.</w:t>
      </w:r>
      <w:r>
        <w:tab/>
        <w:t xml:space="preserve">Specific </w:t>
      </w:r>
      <w:r w:rsidR="00B72071">
        <w:t>p</w:t>
      </w:r>
      <w:r>
        <w:t>rovisions</w:t>
      </w:r>
      <w:bookmarkEnd w:id="13"/>
    </w:p>
    <w:p w14:paraId="5B11A3A8" w14:textId="77777777" w:rsidR="00861894" w:rsidRPr="00E8460E" w:rsidRDefault="00861894" w:rsidP="00861894">
      <w:pPr>
        <w:pStyle w:val="SingleTxtG"/>
        <w:ind w:left="2268" w:hanging="1134"/>
        <w:rPr>
          <w:lang w:val="en-US"/>
        </w:rPr>
      </w:pPr>
      <w:r>
        <w:rPr>
          <w:lang w:val="en-US"/>
        </w:rPr>
        <w:t>4.1.</w:t>
      </w:r>
      <w:r>
        <w:rPr>
          <w:lang w:val="en-US"/>
        </w:rPr>
        <w:tab/>
      </w:r>
      <w:r w:rsidRPr="00EE542E">
        <w:rPr>
          <w:lang w:val="en-US"/>
        </w:rPr>
        <w:t>Following the decisio</w:t>
      </w:r>
      <w:r>
        <w:rPr>
          <w:lang w:val="en-US"/>
        </w:rPr>
        <w:t>ns in the IWG</w:t>
      </w:r>
      <w:r w:rsidRPr="00EE542E">
        <w:rPr>
          <w:lang w:val="en-US"/>
        </w:rPr>
        <w:t xml:space="preserve">, the manufacturers are asked to limit the maximum size of such </w:t>
      </w:r>
      <w:r>
        <w:rPr>
          <w:lang w:val="en-US"/>
        </w:rPr>
        <w:t xml:space="preserve">CPA </w:t>
      </w:r>
      <w:r w:rsidRPr="0008625E">
        <w:rPr>
          <w:lang w:val="en-US"/>
        </w:rPr>
        <w:t xml:space="preserve">for the use on toughened safety glass for PSG: </w:t>
      </w:r>
    </w:p>
    <w:p w14:paraId="4EC054B9" w14:textId="3B8671C8" w:rsidR="00861894" w:rsidRPr="003669D5" w:rsidRDefault="001A68E2" w:rsidP="001A68E2">
      <w:pPr>
        <w:pStyle w:val="Bullet1G"/>
        <w:numPr>
          <w:ilvl w:val="0"/>
          <w:numId w:val="0"/>
        </w:numPr>
        <w:kinsoku w:val="0"/>
        <w:overflowPunct w:val="0"/>
        <w:autoSpaceDE w:val="0"/>
        <w:autoSpaceDN w:val="0"/>
        <w:adjustRightInd w:val="0"/>
        <w:snapToGrid w:val="0"/>
        <w:ind w:left="2835" w:hanging="567"/>
      </w:pPr>
      <w:r>
        <w:rPr>
          <w:lang w:val="en-US"/>
        </w:rPr>
        <w:t>(a)</w:t>
      </w:r>
      <w:r>
        <w:rPr>
          <w:lang w:val="en-US"/>
        </w:rPr>
        <w:tab/>
      </w:r>
      <w:r w:rsidR="00861894" w:rsidRPr="003669D5">
        <w:rPr>
          <w:lang w:val="en-US"/>
        </w:rPr>
        <w:t xml:space="preserve">Each </w:t>
      </w:r>
      <w:r w:rsidR="00861894" w:rsidRPr="00861894">
        <w:rPr>
          <w:rFonts w:eastAsiaTheme="minorEastAsia"/>
          <w:lang w:eastAsia="zh-CN"/>
        </w:rPr>
        <w:t>single</w:t>
      </w:r>
      <w:r w:rsidR="00861894" w:rsidRPr="003669D5">
        <w:rPr>
          <w:lang w:val="en-US"/>
        </w:rPr>
        <w:t xml:space="preserve"> glass pane which is touchable from inside passenger compartment shall be limited to a maximum measured, summed-up width of 125mm on each side (front, rear, left and right).</w:t>
      </w:r>
    </w:p>
    <w:p w14:paraId="437F1E3D" w14:textId="2FC7D322" w:rsidR="00861894" w:rsidRPr="003669D5" w:rsidRDefault="001A68E2" w:rsidP="001A68E2">
      <w:pPr>
        <w:pStyle w:val="Bullet1G"/>
        <w:numPr>
          <w:ilvl w:val="0"/>
          <w:numId w:val="0"/>
        </w:numPr>
        <w:kinsoku w:val="0"/>
        <w:overflowPunct w:val="0"/>
        <w:autoSpaceDE w:val="0"/>
        <w:autoSpaceDN w:val="0"/>
        <w:adjustRightInd w:val="0"/>
        <w:snapToGrid w:val="0"/>
        <w:ind w:left="2835" w:hanging="567"/>
      </w:pPr>
      <w:r>
        <w:rPr>
          <w:lang w:val="en-US"/>
        </w:rPr>
        <w:t>(b)</w:t>
      </w:r>
      <w:r>
        <w:rPr>
          <w:lang w:val="en-US"/>
        </w:rPr>
        <w:tab/>
      </w:r>
      <w:r w:rsidR="00861894" w:rsidRPr="003669D5">
        <w:rPr>
          <w:lang w:val="en-US"/>
        </w:rPr>
        <w:t xml:space="preserve">In case that this limitation to a maximum width of 125mm on any side of the glass pane cannot be achieved due to technical restrictions or requirements, the CPA widths of any of these sides may exceed the </w:t>
      </w:r>
      <w:r w:rsidR="00861894" w:rsidRPr="00861894">
        <w:rPr>
          <w:rFonts w:eastAsiaTheme="minorEastAsia"/>
          <w:lang w:eastAsia="zh-CN"/>
        </w:rPr>
        <w:t>limitation</w:t>
      </w:r>
      <w:r w:rsidR="00861894" w:rsidRPr="003669D5">
        <w:rPr>
          <w:lang w:val="en-US"/>
        </w:rPr>
        <w:t xml:space="preserve"> of 125mm, if the total proportion of the CPA for this single pane remains below a maximum of 45%.</w:t>
      </w:r>
    </w:p>
    <w:p w14:paraId="7EB7EC9D" w14:textId="77777777" w:rsidR="00861894" w:rsidRDefault="00861894" w:rsidP="00861894">
      <w:pPr>
        <w:pStyle w:val="SingleTxtG"/>
        <w:ind w:left="2268" w:hanging="1134"/>
        <w:rPr>
          <w:lang w:val="en-US"/>
        </w:rPr>
      </w:pPr>
      <w:r>
        <w:rPr>
          <w:lang w:val="en-US"/>
        </w:rPr>
        <w:t>4.2.</w:t>
      </w:r>
      <w:r>
        <w:rPr>
          <w:lang w:val="en-US"/>
        </w:rPr>
        <w:tab/>
      </w:r>
      <w:r w:rsidRPr="00EE542E">
        <w:rPr>
          <w:lang w:val="en-US"/>
        </w:rPr>
        <w:t>The IWG rec</w:t>
      </w:r>
      <w:r>
        <w:rPr>
          <w:lang w:val="en-US"/>
        </w:rPr>
        <w:t>ognizes that this Mutual Resolution</w:t>
      </w:r>
      <w:r w:rsidRPr="00EE542E">
        <w:rPr>
          <w:lang w:val="en-US"/>
        </w:rPr>
        <w:t xml:space="preserve"> to modify the ceramic print design requireme</w:t>
      </w:r>
      <w:r>
        <w:rPr>
          <w:lang w:val="en-US"/>
        </w:rPr>
        <w:t>nts of panoramic sunroofs</w:t>
      </w:r>
      <w:r w:rsidRPr="00EE542E">
        <w:rPr>
          <w:lang w:val="en-US"/>
        </w:rPr>
        <w:t xml:space="preserve"> for vehicles cannot be implemented into vehicle applications immediately. </w:t>
      </w:r>
    </w:p>
    <w:p w14:paraId="70FD36CC" w14:textId="77777777" w:rsidR="00861894" w:rsidRDefault="00861894" w:rsidP="00861894">
      <w:pPr>
        <w:pStyle w:val="SingleTxtG"/>
        <w:ind w:left="2268" w:hanging="1134"/>
        <w:rPr>
          <w:lang w:val="en-US"/>
        </w:rPr>
      </w:pPr>
      <w:r>
        <w:rPr>
          <w:lang w:val="en-US"/>
        </w:rPr>
        <w:t>4.3.</w:t>
      </w:r>
      <w:r>
        <w:rPr>
          <w:lang w:val="en-US"/>
        </w:rPr>
        <w:tab/>
      </w:r>
      <w:r w:rsidRPr="00EE542E">
        <w:rPr>
          <w:lang w:val="en-US"/>
        </w:rPr>
        <w:t>Contracting parties will understand that the orderly implementation of new sunroof glazing designs to address this guidance must be in</w:t>
      </w:r>
      <w:r>
        <w:rPr>
          <w:lang w:val="en-US"/>
        </w:rPr>
        <w:t>troduced into the manufacturers'</w:t>
      </w:r>
      <w:r w:rsidRPr="00EE542E">
        <w:rPr>
          <w:lang w:val="en-US"/>
        </w:rPr>
        <w:t xml:space="preserve"> product portfolio early in the design process. </w:t>
      </w:r>
    </w:p>
    <w:p w14:paraId="3D2C2260" w14:textId="77777777" w:rsidR="00861894" w:rsidRDefault="00861894" w:rsidP="00861894">
      <w:pPr>
        <w:pStyle w:val="SingleTxtG"/>
        <w:ind w:left="2268" w:hanging="1134"/>
        <w:rPr>
          <w:lang w:val="en-US"/>
        </w:rPr>
      </w:pPr>
      <w:r>
        <w:rPr>
          <w:lang w:val="en-US"/>
        </w:rPr>
        <w:t>4.4.</w:t>
      </w:r>
      <w:r>
        <w:rPr>
          <w:lang w:val="en-US"/>
        </w:rPr>
        <w:tab/>
      </w:r>
      <w:r w:rsidRPr="00EE542E">
        <w:rPr>
          <w:lang w:val="en-US"/>
        </w:rPr>
        <w:t>Worldwide vehicle manufacturers, component suppliers and sub-suppliers will require ample design time t</w:t>
      </w:r>
      <w:r>
        <w:rPr>
          <w:lang w:val="en-US"/>
        </w:rPr>
        <w:t>o integrate this Mutual Resolution</w:t>
      </w:r>
      <w:r w:rsidRPr="00EE542E">
        <w:rPr>
          <w:lang w:val="en-US"/>
        </w:rPr>
        <w:t xml:space="preserve"> into the vehicle application successfully. </w:t>
      </w:r>
    </w:p>
    <w:p w14:paraId="612F96DD" w14:textId="77777777" w:rsidR="00861894" w:rsidRDefault="00861894" w:rsidP="00861894">
      <w:pPr>
        <w:pStyle w:val="SingleTxtG"/>
        <w:ind w:left="2268" w:hanging="1134"/>
        <w:rPr>
          <w:lang w:val="en-US"/>
        </w:rPr>
      </w:pPr>
      <w:r>
        <w:rPr>
          <w:lang w:val="en-US"/>
        </w:rPr>
        <w:t>4.5.</w:t>
      </w:r>
      <w:r>
        <w:rPr>
          <w:lang w:val="en-US"/>
        </w:rPr>
        <w:tab/>
      </w:r>
      <w:r w:rsidRPr="00EE542E">
        <w:rPr>
          <w:lang w:val="en-US"/>
        </w:rPr>
        <w:t>Therefore</w:t>
      </w:r>
      <w:r>
        <w:rPr>
          <w:lang w:val="en-US"/>
        </w:rPr>
        <w:t>,</w:t>
      </w:r>
      <w:r w:rsidRPr="00EE542E">
        <w:rPr>
          <w:lang w:val="en-US"/>
        </w:rPr>
        <w:t xml:space="preserve"> the IWG also recommends that contracting parties implementing the provisions should not mandate full compliance upon publication of these provisions but allow a minimum 3 </w:t>
      </w:r>
      <w:r>
        <w:rPr>
          <w:lang w:val="en-US"/>
        </w:rPr>
        <w:t xml:space="preserve">(three) </w:t>
      </w:r>
      <w:r w:rsidRPr="00EE542E">
        <w:rPr>
          <w:lang w:val="en-US"/>
        </w:rPr>
        <w:t xml:space="preserve">year phase in process to accommodate the natural vehicle design cycle. </w:t>
      </w:r>
    </w:p>
    <w:p w14:paraId="79BB7BE4" w14:textId="77777777" w:rsidR="00861894" w:rsidRPr="007103DC" w:rsidRDefault="00861894" w:rsidP="00861894">
      <w:pPr>
        <w:pStyle w:val="SingleTxtG"/>
        <w:ind w:left="2268" w:hanging="1134"/>
      </w:pPr>
      <w:r>
        <w:rPr>
          <w:lang w:val="en-US"/>
        </w:rPr>
        <w:t>4.6.</w:t>
      </w:r>
      <w:r>
        <w:rPr>
          <w:lang w:val="en-US"/>
        </w:rPr>
        <w:tab/>
      </w:r>
      <w:r w:rsidRPr="00EE542E">
        <w:rPr>
          <w:lang w:val="en-US"/>
        </w:rPr>
        <w:t>In addition, vehicles types already in the specific markets at the time of publication should be unaffected by the new provisions and allo</w:t>
      </w:r>
      <w:r>
        <w:rPr>
          <w:lang w:val="en-US"/>
        </w:rPr>
        <w:t>wed to continue being marketed.</w:t>
      </w:r>
    </w:p>
    <w:p w14:paraId="288CD157" w14:textId="77777777" w:rsidR="00861894" w:rsidRDefault="00861894" w:rsidP="00861894">
      <w:pPr>
        <w:pStyle w:val="HChG"/>
        <w:ind w:left="2268"/>
      </w:pPr>
      <w:bookmarkStart w:id="14" w:name="_Toc30159515"/>
      <w:bookmarkStart w:id="15" w:name="_Toc284586943"/>
      <w:bookmarkStart w:id="16" w:name="_Toc284587041"/>
      <w:bookmarkStart w:id="17" w:name="_Toc284587292"/>
      <w:bookmarkStart w:id="18" w:name="_Toc289686184"/>
      <w:r>
        <w:t>5.</w:t>
      </w:r>
      <w:r>
        <w:tab/>
      </w:r>
      <w:r w:rsidRPr="003669D5">
        <w:t>Definitions</w:t>
      </w:r>
      <w:bookmarkEnd w:id="14"/>
    </w:p>
    <w:p w14:paraId="3D47C5A8" w14:textId="77777777" w:rsidR="00861894" w:rsidRPr="003669D5" w:rsidRDefault="00861894" w:rsidP="00861894">
      <w:pPr>
        <w:pStyle w:val="SingleTxtG"/>
        <w:ind w:left="2268" w:hanging="1134"/>
        <w:rPr>
          <w:lang w:val="en-US"/>
        </w:rPr>
      </w:pPr>
      <w:r>
        <w:t>5.1.</w:t>
      </w:r>
      <w:r>
        <w:tab/>
        <w:t xml:space="preserve">For the </w:t>
      </w:r>
      <w:r w:rsidRPr="003669D5">
        <w:rPr>
          <w:lang w:val="en-US"/>
        </w:rPr>
        <w:t>purpose of this Mutual Resolution, the following definitions apply:</w:t>
      </w:r>
    </w:p>
    <w:p w14:paraId="057689B6" w14:textId="77777777" w:rsidR="00861894" w:rsidRDefault="00861894" w:rsidP="00861894">
      <w:pPr>
        <w:pStyle w:val="SingleTxtG"/>
        <w:ind w:left="2268" w:hanging="1134"/>
      </w:pPr>
      <w:r>
        <w:rPr>
          <w:lang w:val="en-US"/>
        </w:rPr>
        <w:t>5</w:t>
      </w:r>
      <w:r w:rsidRPr="003669D5">
        <w:rPr>
          <w:lang w:val="en-US"/>
        </w:rPr>
        <w:t>.</w:t>
      </w:r>
      <w:r>
        <w:rPr>
          <w:lang w:val="en-US"/>
        </w:rPr>
        <w:t>2.</w:t>
      </w:r>
      <w:r w:rsidRPr="003669D5">
        <w:rPr>
          <w:lang w:val="en-US"/>
        </w:rPr>
        <w:tab/>
        <w:t>The width of maximum 125mm is defined as the summed-up dimension of all, nearly edge parallel layouts of ceramic printed areas measured in a 90° angle from any point on the edge of each</w:t>
      </w:r>
      <w:r w:rsidRPr="003518FA">
        <w:t xml:space="preserve"> side of the respective toughened safety glass pane on the inner surface, which is outside of the 125mm cross-over corner area (green marked area below), up to the axis system which is originated in the geometric cent</w:t>
      </w:r>
      <w:r>
        <w:t xml:space="preserve">re of the glass pane (for further clarification please refer to </w:t>
      </w:r>
      <w:r w:rsidRPr="003518FA">
        <w:t xml:space="preserve">Annex IV). </w:t>
      </w:r>
    </w:p>
    <w:p w14:paraId="2F8DD021" w14:textId="77777777" w:rsidR="00861894" w:rsidRPr="00FD0D57" w:rsidRDefault="00861894" w:rsidP="00861894">
      <w:pPr>
        <w:pStyle w:val="SingleTxtG"/>
        <w:ind w:left="2268" w:hanging="1134"/>
      </w:pPr>
      <w:r>
        <w:t>5.2.1.</w:t>
      </w:r>
      <w:r>
        <w:tab/>
        <w:t>In case of measuring the width of the ceramic print, the ceramic print measurement should include the dotted area, but no markings or other ceramic prints.</w:t>
      </w:r>
    </w:p>
    <w:p w14:paraId="6E7640A0" w14:textId="77777777" w:rsidR="00861894" w:rsidRDefault="00861894" w:rsidP="00861894">
      <w:pPr>
        <w:pStyle w:val="SingleTxtG"/>
        <w:ind w:left="567" w:firstLine="141"/>
        <w:rPr>
          <w:noProof/>
          <w:lang w:eastAsia="de-DE"/>
        </w:rPr>
      </w:pPr>
      <w:r>
        <w:lastRenderedPageBreak/>
        <w:t xml:space="preserve">        </w:t>
      </w:r>
      <w:r>
        <w:rPr>
          <w:noProof/>
          <w:lang w:eastAsia="zh-CN"/>
        </w:rPr>
        <w:drawing>
          <wp:inline distT="0" distB="0" distL="0" distR="0" wp14:anchorId="12CC8887" wp14:editId="4B9E6880">
            <wp:extent cx="1777365" cy="1503229"/>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8407" cy="1521025"/>
                    </a:xfrm>
                    <a:prstGeom prst="rect">
                      <a:avLst/>
                    </a:prstGeom>
                    <a:noFill/>
                  </pic:spPr>
                </pic:pic>
              </a:graphicData>
            </a:graphic>
          </wp:inline>
        </w:drawing>
      </w:r>
      <w:r>
        <w:rPr>
          <w:noProof/>
          <w:lang w:eastAsia="de-DE"/>
        </w:rPr>
        <w:t xml:space="preserve">                                  </w:t>
      </w:r>
      <w:r>
        <w:rPr>
          <w:noProof/>
          <w:lang w:eastAsia="zh-CN"/>
        </w:rPr>
        <w:drawing>
          <wp:inline distT="0" distB="0" distL="0" distR="0" wp14:anchorId="171BDEF4" wp14:editId="2344F210">
            <wp:extent cx="1623706" cy="153035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9182" cy="1544936"/>
                    </a:xfrm>
                    <a:prstGeom prst="rect">
                      <a:avLst/>
                    </a:prstGeom>
                    <a:noFill/>
                  </pic:spPr>
                </pic:pic>
              </a:graphicData>
            </a:graphic>
          </wp:inline>
        </w:drawing>
      </w:r>
    </w:p>
    <w:p w14:paraId="499A34A2" w14:textId="77777777" w:rsidR="00861894" w:rsidRDefault="00861894" w:rsidP="00861894">
      <w:pPr>
        <w:pStyle w:val="SingleTxtG"/>
        <w:ind w:left="0" w:firstLine="708"/>
        <w:rPr>
          <w:noProof/>
          <w:sz w:val="14"/>
          <w:szCs w:val="14"/>
          <w:lang w:eastAsia="de-DE"/>
        </w:rPr>
      </w:pPr>
      <w:r>
        <w:rPr>
          <w:noProof/>
          <w:lang w:eastAsia="de-DE"/>
        </w:rPr>
        <w:t xml:space="preserve">        </w:t>
      </w:r>
      <w:r>
        <w:rPr>
          <w:noProof/>
          <w:lang w:eastAsia="zh-CN"/>
        </w:rPr>
        <w:drawing>
          <wp:inline distT="0" distB="0" distL="0" distR="0" wp14:anchorId="270704DD" wp14:editId="53525CD7">
            <wp:extent cx="1345029" cy="495300"/>
            <wp:effectExtent l="0" t="0" r="7620" b="0"/>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6494" cy="528981"/>
                    </a:xfrm>
                    <a:prstGeom prst="rect">
                      <a:avLst/>
                    </a:prstGeom>
                    <a:noFill/>
                  </pic:spPr>
                </pic:pic>
              </a:graphicData>
            </a:graphic>
          </wp:inline>
        </w:drawing>
      </w:r>
      <w:r>
        <w:rPr>
          <w:noProof/>
          <w:lang w:eastAsia="de-DE"/>
        </w:rPr>
        <w:t xml:space="preserve"> </w:t>
      </w:r>
      <w:r w:rsidRPr="00A0174C">
        <w:rPr>
          <w:noProof/>
          <w:sz w:val="14"/>
          <w:szCs w:val="14"/>
          <w:lang w:eastAsia="de-DE"/>
        </w:rPr>
        <w:t>Mx: point where the max. CPA wid</w:t>
      </w:r>
      <w:r>
        <w:rPr>
          <w:noProof/>
          <w:sz w:val="14"/>
          <w:szCs w:val="14"/>
          <w:lang w:eastAsia="de-DE"/>
        </w:rPr>
        <w:t xml:space="preserve">th is </w:t>
      </w:r>
      <w:r w:rsidRPr="003518FA">
        <w:rPr>
          <w:noProof/>
          <w:sz w:val="14"/>
          <w:szCs w:val="14"/>
          <w:lang w:eastAsia="de-DE"/>
        </w:rPr>
        <w:t xml:space="preserve">measured to be documented on the glass pane drawing </w:t>
      </w:r>
    </w:p>
    <w:p w14:paraId="3BE20417" w14:textId="77777777" w:rsidR="00861894" w:rsidRPr="00E57263" w:rsidRDefault="00861894" w:rsidP="00861894">
      <w:pPr>
        <w:pStyle w:val="SingleTxtG"/>
        <w:ind w:left="0" w:firstLine="708"/>
        <w:rPr>
          <w:noProof/>
          <w:sz w:val="14"/>
          <w:szCs w:val="14"/>
          <w:lang w:eastAsia="de-DE"/>
        </w:rPr>
      </w:pPr>
    </w:p>
    <w:p w14:paraId="68C3CD01" w14:textId="77777777" w:rsidR="00861894" w:rsidRDefault="00861894" w:rsidP="00861894">
      <w:pPr>
        <w:pStyle w:val="SingleTxtG"/>
        <w:ind w:left="0" w:firstLine="567"/>
      </w:pPr>
      <w:r>
        <w:rPr>
          <w:noProof/>
          <w:lang w:eastAsia="zh-CN"/>
        </w:rPr>
        <w:drawing>
          <wp:inline distT="0" distB="0" distL="0" distR="0" wp14:anchorId="19C073AF" wp14:editId="0722B04F">
            <wp:extent cx="5220799" cy="1685713"/>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80509" cy="1737281"/>
                    </a:xfrm>
                    <a:prstGeom prst="rect">
                      <a:avLst/>
                    </a:prstGeom>
                    <a:noFill/>
                  </pic:spPr>
                </pic:pic>
              </a:graphicData>
            </a:graphic>
          </wp:inline>
        </w:drawing>
      </w:r>
    </w:p>
    <w:p w14:paraId="3A9C99B9" w14:textId="77777777" w:rsidR="00861894" w:rsidRPr="00A0174C" w:rsidRDefault="00861894" w:rsidP="00861894">
      <w:pPr>
        <w:pStyle w:val="SingleTxtG"/>
        <w:ind w:left="2259" w:hanging="558"/>
        <w:rPr>
          <w:noProof/>
          <w:lang w:eastAsia="de-DE"/>
        </w:rPr>
      </w:pPr>
      <w:r>
        <w:t xml:space="preserve"> </w:t>
      </w:r>
      <w:r w:rsidRPr="009B2781">
        <w:rPr>
          <w:noProof/>
          <w:lang w:eastAsia="de-DE"/>
        </w:rPr>
        <w:t xml:space="preserve">       </w:t>
      </w:r>
      <w:r w:rsidRPr="00A0174C">
        <w:rPr>
          <w:noProof/>
          <w:sz w:val="14"/>
          <w:szCs w:val="14"/>
          <w:lang w:eastAsia="de-DE"/>
        </w:rPr>
        <w:tab/>
      </w:r>
      <w:r>
        <w:rPr>
          <w:noProof/>
          <w:sz w:val="14"/>
          <w:szCs w:val="14"/>
          <w:lang w:eastAsia="de-DE"/>
        </w:rPr>
        <w:t>Example of CPA measurement as complete print (left side) or as sum-up of CPA stripes (right side)</w:t>
      </w:r>
    </w:p>
    <w:p w14:paraId="24C21970" w14:textId="77777777" w:rsidR="00861894" w:rsidRDefault="00861894" w:rsidP="00861894">
      <w:pPr>
        <w:pStyle w:val="SingleTxtG"/>
        <w:ind w:left="2268" w:hanging="1134"/>
      </w:pPr>
      <w:r>
        <w:t>5.3.</w:t>
      </w:r>
      <w:r>
        <w:tab/>
      </w:r>
      <w:r w:rsidRPr="00A5621E">
        <w:t xml:space="preserve">The maximum percentage value of 45% is defined as the maximum proportion of CPA on the respective </w:t>
      </w:r>
      <w:r>
        <w:t xml:space="preserve">toughened safety </w:t>
      </w:r>
      <w:r w:rsidRPr="00A5621E">
        <w:t>glass pa</w:t>
      </w:r>
      <w:r>
        <w:t>ne in relation to the total area</w:t>
      </w:r>
      <w:r w:rsidRPr="00A5621E">
        <w:t xml:space="preserve"> of the respective glass pane, excluding any additional glass edge covering manners (e.g. Tape, Sealing, Encapsulation, etc). </w:t>
      </w:r>
    </w:p>
    <w:p w14:paraId="45569F40" w14:textId="77777777" w:rsidR="00861894" w:rsidRDefault="00861894" w:rsidP="00861894">
      <w:pPr>
        <w:pStyle w:val="SingleTxtG"/>
        <w:ind w:left="2268" w:hanging="1134"/>
      </w:pPr>
      <w:r>
        <w:t>5.3.1.</w:t>
      </w:r>
      <w:r>
        <w:tab/>
        <w:t>I</w:t>
      </w:r>
      <w:r w:rsidRPr="00FD0D57">
        <w:t xml:space="preserve">n case </w:t>
      </w:r>
      <w:r w:rsidRPr="00D91C7D">
        <w:t>of a</w:t>
      </w:r>
      <w:r w:rsidRPr="003669D5">
        <w:t xml:space="preserve"> </w:t>
      </w:r>
      <w:r w:rsidRPr="00D91C7D">
        <w:t xml:space="preserve">percentage </w:t>
      </w:r>
      <w:r w:rsidRPr="00FD0D57">
        <w:t>specific limitation of CPA</w:t>
      </w:r>
      <w:r>
        <w:t>,</w:t>
      </w:r>
      <w:r w:rsidRPr="00FD0D57">
        <w:t xml:space="preserve"> all ceramic prints should be included such as markings, dotted areas and other ceramic prints such as logos.</w:t>
      </w:r>
    </w:p>
    <w:p w14:paraId="2728319E" w14:textId="77777777" w:rsidR="00861894" w:rsidRDefault="00861894" w:rsidP="00861894">
      <w:pPr>
        <w:pStyle w:val="SingleTxtG"/>
        <w:ind w:left="2268" w:hanging="1134"/>
      </w:pPr>
      <w:r>
        <w:t>5.3.2.</w:t>
      </w:r>
      <w:r>
        <w:tab/>
      </w:r>
      <w:r w:rsidRPr="00437134">
        <w:t>For the determination of the ceramic printed %-area, CAD data should be the reference</w:t>
      </w:r>
      <w:r w:rsidRPr="0008625E">
        <w:t>.</w:t>
      </w:r>
    </w:p>
    <w:p w14:paraId="4C044C4B" w14:textId="77777777" w:rsidR="00861894" w:rsidRPr="003669D5" w:rsidRDefault="00861894" w:rsidP="00861894">
      <w:pPr>
        <w:pStyle w:val="SingleTxtG"/>
        <w:ind w:left="2268" w:hanging="1134"/>
      </w:pPr>
      <w:r>
        <w:t>5.3.3.</w:t>
      </w:r>
      <w:r>
        <w:tab/>
      </w:r>
      <w:r w:rsidRPr="00D91C7D">
        <w:t>In case of complex CPA designs and/or a dispute regarding 125mm measurement, the maximum percentage value of 45% according to CAD data shall be the relevant reference</w:t>
      </w:r>
      <w:r w:rsidRPr="003669D5">
        <w:t>.</w:t>
      </w:r>
    </w:p>
    <w:p w14:paraId="5BEFC78A" w14:textId="77777777" w:rsidR="00861894" w:rsidRDefault="00861894" w:rsidP="00861894">
      <w:pPr>
        <w:pStyle w:val="SingleTxtG"/>
        <w:ind w:left="2268" w:hanging="1134"/>
      </w:pPr>
      <w:bookmarkStart w:id="19" w:name="_Toc284587295"/>
      <w:bookmarkStart w:id="20" w:name="_Toc284587044"/>
      <w:bookmarkEnd w:id="15"/>
      <w:bookmarkEnd w:id="16"/>
      <w:bookmarkEnd w:id="17"/>
      <w:bookmarkEnd w:id="18"/>
      <w:r>
        <w:t>5.4</w:t>
      </w:r>
      <w:r w:rsidRPr="00A5621E">
        <w:t>.</w:t>
      </w:r>
      <w:r w:rsidRPr="00A5621E">
        <w:tab/>
      </w:r>
      <w:r>
        <w:t>A PS</w:t>
      </w:r>
      <w:r w:rsidRPr="0008625E">
        <w:t xml:space="preserve"> in the context of this Mutual Resolution is defined as a vehicle integrated sunroof with one or more panes, which can be applied in a fixed or moveable manner.</w:t>
      </w:r>
    </w:p>
    <w:p w14:paraId="18C6E15C" w14:textId="77777777" w:rsidR="00861894" w:rsidRDefault="00861894" w:rsidP="00861894">
      <w:pPr>
        <w:pStyle w:val="HChG"/>
        <w:ind w:left="2268"/>
      </w:pPr>
      <w:bookmarkStart w:id="21" w:name="_Toc30159516"/>
      <w:bookmarkStart w:id="22" w:name="_Toc284586946"/>
      <w:bookmarkStart w:id="23" w:name="_Toc284587064"/>
      <w:bookmarkStart w:id="24" w:name="_Toc284587315"/>
      <w:bookmarkStart w:id="25" w:name="_Toc289686187"/>
      <w:bookmarkEnd w:id="19"/>
      <w:bookmarkEnd w:id="20"/>
      <w:r>
        <w:t>6.</w:t>
      </w:r>
      <w:r>
        <w:tab/>
        <w:t>Abbreviations</w:t>
      </w:r>
      <w:bookmarkEnd w:id="21"/>
    </w:p>
    <w:tbl>
      <w:tblPr>
        <w:tblW w:w="6680" w:type="dxa"/>
        <w:tblInd w:w="2339" w:type="dxa"/>
        <w:tblLayout w:type="fixed"/>
        <w:tblCellMar>
          <w:left w:w="71" w:type="dxa"/>
          <w:right w:w="71" w:type="dxa"/>
        </w:tblCellMar>
        <w:tblLook w:val="0000" w:firstRow="0" w:lastRow="0" w:firstColumn="0" w:lastColumn="0" w:noHBand="0" w:noVBand="0"/>
      </w:tblPr>
      <w:tblGrid>
        <w:gridCol w:w="1781"/>
        <w:gridCol w:w="4899"/>
      </w:tblGrid>
      <w:tr w:rsidR="00861894" w:rsidRPr="007103DC" w14:paraId="3B4C4F90" w14:textId="77777777" w:rsidTr="00A0353C">
        <w:trPr>
          <w:trHeight w:val="322"/>
        </w:trPr>
        <w:tc>
          <w:tcPr>
            <w:tcW w:w="1781" w:type="dxa"/>
          </w:tcPr>
          <w:bookmarkEnd w:id="22"/>
          <w:bookmarkEnd w:id="23"/>
          <w:bookmarkEnd w:id="24"/>
          <w:bookmarkEnd w:id="25"/>
          <w:p w14:paraId="20C0534D" w14:textId="77777777" w:rsidR="00861894" w:rsidRDefault="00861894" w:rsidP="00A0353C">
            <w:pPr>
              <w:pStyle w:val="SingleTxtG"/>
              <w:keepNext/>
              <w:keepLines/>
              <w:ind w:left="-71" w:right="213"/>
              <w:rPr>
                <w:lang w:eastAsia="ko-KR"/>
              </w:rPr>
            </w:pPr>
            <w:r>
              <w:rPr>
                <w:rFonts w:hint="eastAsia"/>
                <w:lang w:eastAsia="ko-KR"/>
              </w:rPr>
              <w:t>PSG</w:t>
            </w:r>
          </w:p>
          <w:p w14:paraId="0D487263" w14:textId="77777777" w:rsidR="00861894" w:rsidRPr="007103DC" w:rsidRDefault="00861894" w:rsidP="00A0353C">
            <w:pPr>
              <w:pStyle w:val="SingleTxtG"/>
              <w:keepNext/>
              <w:keepLines/>
              <w:ind w:left="-71" w:right="213"/>
              <w:rPr>
                <w:lang w:eastAsia="ko-KR"/>
              </w:rPr>
            </w:pPr>
            <w:r>
              <w:rPr>
                <w:lang w:eastAsia="ko-KR"/>
              </w:rPr>
              <w:t>IWG</w:t>
            </w:r>
          </w:p>
        </w:tc>
        <w:tc>
          <w:tcPr>
            <w:tcW w:w="4899" w:type="dxa"/>
          </w:tcPr>
          <w:p w14:paraId="2F590965" w14:textId="77777777" w:rsidR="00861894" w:rsidRDefault="00861894" w:rsidP="00A0353C">
            <w:pPr>
              <w:pStyle w:val="SingleTxtG"/>
              <w:keepNext/>
              <w:keepLines/>
              <w:ind w:left="213" w:right="0"/>
              <w:rPr>
                <w:lang w:eastAsia="ko-KR"/>
              </w:rPr>
            </w:pPr>
            <w:r>
              <w:rPr>
                <w:rFonts w:hint="eastAsia"/>
                <w:lang w:eastAsia="ko-KR"/>
              </w:rPr>
              <w:t>Panoramic Sunroof Glazing</w:t>
            </w:r>
          </w:p>
          <w:p w14:paraId="05CA41D6" w14:textId="77777777" w:rsidR="00861894" w:rsidRPr="007103DC" w:rsidRDefault="00861894" w:rsidP="00A0353C">
            <w:pPr>
              <w:pStyle w:val="SingleTxtG"/>
              <w:keepNext/>
              <w:keepLines/>
              <w:ind w:left="213" w:right="0"/>
              <w:rPr>
                <w:lang w:eastAsia="ko-KR"/>
              </w:rPr>
            </w:pPr>
            <w:r>
              <w:rPr>
                <w:lang w:eastAsia="ko-KR"/>
              </w:rPr>
              <w:t>Informal Working Group</w:t>
            </w:r>
          </w:p>
        </w:tc>
      </w:tr>
      <w:tr w:rsidR="00861894" w:rsidRPr="00200D16" w14:paraId="69CCEF24" w14:textId="77777777" w:rsidTr="00A0353C">
        <w:trPr>
          <w:trHeight w:val="322"/>
        </w:trPr>
        <w:tc>
          <w:tcPr>
            <w:tcW w:w="1781" w:type="dxa"/>
          </w:tcPr>
          <w:p w14:paraId="79951037" w14:textId="77777777" w:rsidR="00861894" w:rsidRPr="00200D16" w:rsidRDefault="00861894" w:rsidP="00A0353C">
            <w:pPr>
              <w:pStyle w:val="SingleTxtG"/>
              <w:keepNext/>
              <w:keepLines/>
              <w:ind w:left="-71" w:right="213"/>
              <w:rPr>
                <w:lang w:eastAsia="ko-KR"/>
              </w:rPr>
            </w:pPr>
            <w:r w:rsidRPr="00200D16">
              <w:rPr>
                <w:rFonts w:hint="eastAsia"/>
                <w:lang w:eastAsia="ko-KR"/>
              </w:rPr>
              <w:t>CPA</w:t>
            </w:r>
          </w:p>
          <w:p w14:paraId="669C0411" w14:textId="77777777" w:rsidR="00861894" w:rsidRPr="00200D16" w:rsidRDefault="00861894" w:rsidP="00A0353C">
            <w:pPr>
              <w:pStyle w:val="SingleTxtG"/>
              <w:keepNext/>
              <w:keepLines/>
              <w:ind w:left="-71" w:right="213"/>
              <w:rPr>
                <w:color w:val="0070C0"/>
              </w:rPr>
            </w:pPr>
            <w:r w:rsidRPr="006F436F">
              <w:rPr>
                <w:lang w:eastAsia="ko-KR"/>
              </w:rPr>
              <w:t>PS</w:t>
            </w:r>
          </w:p>
        </w:tc>
        <w:tc>
          <w:tcPr>
            <w:tcW w:w="4899" w:type="dxa"/>
          </w:tcPr>
          <w:p w14:paraId="0A54E435" w14:textId="77777777" w:rsidR="00861894" w:rsidRPr="00200D16" w:rsidRDefault="00861894" w:rsidP="00A0353C">
            <w:pPr>
              <w:pStyle w:val="SingleTxtG"/>
              <w:keepNext/>
              <w:keepLines/>
              <w:ind w:left="213" w:right="0"/>
              <w:rPr>
                <w:szCs w:val="24"/>
                <w:lang w:eastAsia="ja-JP"/>
              </w:rPr>
            </w:pPr>
            <w:r w:rsidRPr="00200D16">
              <w:rPr>
                <w:szCs w:val="24"/>
                <w:lang w:eastAsia="ja-JP"/>
              </w:rPr>
              <w:t>Ceramic Printed Area</w:t>
            </w:r>
          </w:p>
          <w:p w14:paraId="75C38B89" w14:textId="77777777" w:rsidR="00861894" w:rsidRPr="00200D16" w:rsidRDefault="00861894" w:rsidP="00A0353C">
            <w:pPr>
              <w:pStyle w:val="SingleTxtG"/>
              <w:keepNext/>
              <w:keepLines/>
              <w:ind w:left="213" w:right="0"/>
              <w:rPr>
                <w:color w:val="0070C0"/>
                <w:szCs w:val="24"/>
                <w:lang w:eastAsia="ja-JP"/>
              </w:rPr>
            </w:pPr>
            <w:r w:rsidRPr="006F436F">
              <w:rPr>
                <w:szCs w:val="24"/>
                <w:lang w:eastAsia="ja-JP"/>
              </w:rPr>
              <w:t>Panoramic Sunroof</w:t>
            </w:r>
          </w:p>
        </w:tc>
      </w:tr>
    </w:tbl>
    <w:p w14:paraId="75FF3954" w14:textId="77777777" w:rsidR="00861894" w:rsidRDefault="00861894" w:rsidP="00861894">
      <w:pPr>
        <w:pStyle w:val="HChG"/>
        <w:ind w:left="567" w:firstLine="0"/>
      </w:pPr>
      <w:bookmarkStart w:id="26" w:name="_Toc30159517"/>
      <w:bookmarkStart w:id="27" w:name="_Toc528835419"/>
      <w:r>
        <w:br w:type="page"/>
      </w:r>
    </w:p>
    <w:p w14:paraId="5B473204" w14:textId="77777777" w:rsidR="00861894" w:rsidRDefault="00861894" w:rsidP="00861894">
      <w:pPr>
        <w:pStyle w:val="HChG"/>
      </w:pPr>
      <w:r w:rsidRPr="0043634D">
        <w:lastRenderedPageBreak/>
        <w:t>Annex </w:t>
      </w:r>
      <w:r>
        <w:t>I</w:t>
      </w:r>
    </w:p>
    <w:p w14:paraId="5556AFE0" w14:textId="77777777" w:rsidR="00861894" w:rsidRDefault="00861894" w:rsidP="00861894">
      <w:pPr>
        <w:pStyle w:val="HChG"/>
      </w:pPr>
      <w:r>
        <w:tab/>
      </w:r>
      <w:r>
        <w:tab/>
        <w:t>PSG breakage data from Korea and USA</w:t>
      </w:r>
      <w:bookmarkEnd w:id="26"/>
    </w:p>
    <w:p w14:paraId="79A5F7D8" w14:textId="77777777" w:rsidR="00861894" w:rsidRPr="007702CC" w:rsidRDefault="002102A0" w:rsidP="00861894">
      <w:pPr>
        <w:pStyle w:val="SingleTxtG"/>
      </w:pPr>
      <w:hyperlink r:id="rId16" w:history="1">
        <w:r w:rsidR="00861894" w:rsidRPr="007702CC">
          <w:rPr>
            <w:rStyle w:val="Hyperlink"/>
            <w:color w:val="auto"/>
          </w:rPr>
          <w:t>https://wiki.unece.org/download/attachments/26902754/PSG-02-04-Overall_Review_of_CPA.pdf?api=v2</w:t>
        </w:r>
      </w:hyperlink>
    </w:p>
    <w:p w14:paraId="6F2200A4" w14:textId="77777777" w:rsidR="00861894" w:rsidRPr="007702CC" w:rsidRDefault="002102A0" w:rsidP="00861894">
      <w:pPr>
        <w:pStyle w:val="SingleTxtG"/>
      </w:pPr>
      <w:hyperlink r:id="rId17" w:history="1">
        <w:r w:rsidR="00861894" w:rsidRPr="007702CC">
          <w:rPr>
            <w:rStyle w:val="Hyperlink"/>
            <w:color w:val="auto"/>
          </w:rPr>
          <w:t>https://wiki.unece.org/download/attachments/28213736/PSG-03-09_NHTSA%20panoromic%20sunroof%20incidents%20%283rd%20GRSG%20IWG%20on%20PSG%20-%2024Feb2016%29.pdf?api=v2</w:t>
        </w:r>
      </w:hyperlink>
    </w:p>
    <w:p w14:paraId="067F986E" w14:textId="77777777" w:rsidR="00861894" w:rsidRDefault="00861894" w:rsidP="00861894">
      <w:pPr>
        <w:pStyle w:val="HChG"/>
        <w:ind w:right="-1" w:hanging="567"/>
      </w:pPr>
      <w:bookmarkStart w:id="28" w:name="_Toc30159518"/>
      <w:r>
        <w:br w:type="page"/>
      </w:r>
    </w:p>
    <w:p w14:paraId="68076962" w14:textId="77777777" w:rsidR="00861894" w:rsidRDefault="00861894" w:rsidP="00861894">
      <w:pPr>
        <w:pStyle w:val="HChG"/>
        <w:ind w:right="-1"/>
      </w:pPr>
      <w:r w:rsidRPr="0043634D">
        <w:lastRenderedPageBreak/>
        <w:t>Annex </w:t>
      </w:r>
      <w:r>
        <w:t>I</w:t>
      </w:r>
      <w:bookmarkEnd w:id="27"/>
      <w:r>
        <w:t>I</w:t>
      </w:r>
    </w:p>
    <w:p w14:paraId="7F62C1FE" w14:textId="77777777" w:rsidR="00861894" w:rsidRDefault="00861894" w:rsidP="00861894">
      <w:pPr>
        <w:pStyle w:val="HChG"/>
        <w:ind w:right="-1" w:hanging="567"/>
      </w:pPr>
      <w:r>
        <w:tab/>
      </w:r>
      <w:r>
        <w:tab/>
        <w:t>Data analysis</w:t>
      </w:r>
      <w:r w:rsidRPr="00882CB8">
        <w:t xml:space="preserve"> of Panoramic Sunr</w:t>
      </w:r>
      <w:r>
        <w:t>oof Glazing CPA</w:t>
      </w:r>
      <w:bookmarkEnd w:id="28"/>
    </w:p>
    <w:p w14:paraId="0AB934F9" w14:textId="77777777" w:rsidR="00861894" w:rsidRPr="007702CC" w:rsidRDefault="002102A0" w:rsidP="00861894">
      <w:pPr>
        <w:pStyle w:val="SingleTxtG"/>
      </w:pPr>
      <w:hyperlink r:id="rId18" w:history="1">
        <w:r w:rsidR="00861894" w:rsidRPr="007702CC">
          <w:rPr>
            <w:rStyle w:val="Hyperlink"/>
            <w:color w:val="auto"/>
          </w:rPr>
          <w:t>https://wiki.unece.org/download/attachments/87621864/PSG-WEBEX%202019-02%20CPA%20data%20review-V2.pdf?api=v2</w:t>
        </w:r>
      </w:hyperlink>
    </w:p>
    <w:p w14:paraId="7E31E622" w14:textId="77777777" w:rsidR="00861894" w:rsidRPr="007702CC" w:rsidRDefault="002102A0" w:rsidP="00861894">
      <w:pPr>
        <w:pStyle w:val="SingleTxtG"/>
      </w:pPr>
      <w:hyperlink r:id="rId19" w:history="1">
        <w:r w:rsidR="00861894" w:rsidRPr="007702CC">
          <w:rPr>
            <w:rStyle w:val="Hyperlink"/>
            <w:color w:val="auto"/>
          </w:rPr>
          <w:t>https://wiki.unece.org/download/attachments/80381010/PSG-11-05%20Analysis%20on%20Ceramic%20Printed%20Area%20data%20by%20ROK.pdf?api=v2</w:t>
        </w:r>
      </w:hyperlink>
    </w:p>
    <w:p w14:paraId="5B569099" w14:textId="77777777" w:rsidR="00861894" w:rsidRDefault="00861894" w:rsidP="00861894">
      <w:pPr>
        <w:pStyle w:val="HChG"/>
        <w:ind w:hanging="567"/>
      </w:pPr>
      <w:bookmarkStart w:id="29" w:name="_Toc30159519"/>
      <w:r>
        <w:br w:type="page"/>
      </w:r>
    </w:p>
    <w:p w14:paraId="22F62D4D" w14:textId="77777777" w:rsidR="00861894" w:rsidRDefault="00861894" w:rsidP="00861894">
      <w:pPr>
        <w:pStyle w:val="HChG"/>
      </w:pPr>
      <w:r w:rsidRPr="0043634D">
        <w:lastRenderedPageBreak/>
        <w:t>Annex </w:t>
      </w:r>
      <w:r>
        <w:t>III</w:t>
      </w:r>
    </w:p>
    <w:p w14:paraId="5934B624" w14:textId="77777777" w:rsidR="00861894" w:rsidRDefault="00861894" w:rsidP="00861894">
      <w:pPr>
        <w:pStyle w:val="HChG"/>
        <w:ind w:hanging="567"/>
      </w:pPr>
      <w:r>
        <w:tab/>
      </w:r>
      <w:r>
        <w:tab/>
        <w:t>Cases of CPA changes in Korea</w:t>
      </w:r>
      <w:bookmarkEnd w:id="29"/>
    </w:p>
    <w:p w14:paraId="563C74BE" w14:textId="77777777" w:rsidR="00861894" w:rsidRPr="007702CC" w:rsidRDefault="002102A0" w:rsidP="00861894">
      <w:pPr>
        <w:pStyle w:val="SingleTxtG"/>
        <w:rPr>
          <w:rStyle w:val="Hyperlink"/>
          <w:color w:val="auto"/>
        </w:rPr>
      </w:pPr>
      <w:hyperlink r:id="rId20" w:history="1">
        <w:r w:rsidR="00861894" w:rsidRPr="007702CC">
          <w:rPr>
            <w:rStyle w:val="Hyperlink"/>
            <w:color w:val="auto"/>
          </w:rPr>
          <w:t>https://wiki.unece.org/download/attachments/62226910/PSG-10-02_Ceramic%20printed%20area%20changes%20cases%20in%20Korea%288Oct%29.pdf?api=v2</w:t>
        </w:r>
      </w:hyperlink>
    </w:p>
    <w:p w14:paraId="68578BEA" w14:textId="77777777" w:rsidR="00861894" w:rsidRDefault="00861894" w:rsidP="00861894">
      <w:pPr>
        <w:pStyle w:val="HChG"/>
        <w:ind w:hanging="567"/>
      </w:pPr>
      <w:bookmarkStart w:id="30" w:name="_Toc30159520"/>
      <w:r>
        <w:br w:type="page"/>
      </w:r>
    </w:p>
    <w:p w14:paraId="019F899F" w14:textId="77777777" w:rsidR="00861894" w:rsidRDefault="00861894" w:rsidP="00861894">
      <w:pPr>
        <w:pStyle w:val="HChG"/>
      </w:pPr>
      <w:r w:rsidRPr="0043634D">
        <w:lastRenderedPageBreak/>
        <w:t>Annex </w:t>
      </w:r>
      <w:r>
        <w:t>IV</w:t>
      </w:r>
    </w:p>
    <w:p w14:paraId="606F44AB" w14:textId="77777777" w:rsidR="00861894" w:rsidRDefault="00861894" w:rsidP="00861894">
      <w:pPr>
        <w:pStyle w:val="HChG"/>
        <w:ind w:hanging="567"/>
      </w:pPr>
      <w:r>
        <w:tab/>
      </w:r>
      <w:r>
        <w:tab/>
        <w:t>Examples of CPA measurements</w:t>
      </w:r>
      <w:bookmarkEnd w:id="30"/>
    </w:p>
    <w:p w14:paraId="27AA3EE6" w14:textId="33332093" w:rsidR="00861894" w:rsidRPr="007702CC" w:rsidRDefault="002102A0" w:rsidP="00861894">
      <w:pPr>
        <w:pStyle w:val="SingleTxtG"/>
      </w:pPr>
      <w:hyperlink r:id="rId21" w:history="1">
        <w:r w:rsidR="00861894" w:rsidRPr="007702CC">
          <w:rPr>
            <w:rStyle w:val="Hyperlink"/>
            <w:color w:val="auto"/>
          </w:rPr>
          <w:t>https://wiki.unece.org/download/attachments/92013560/Roof%20CPA%20Examples_CLEPA.pdf?api=v2</w:t>
        </w:r>
      </w:hyperlink>
    </w:p>
    <w:p w14:paraId="493BB646" w14:textId="77777777" w:rsidR="00861894" w:rsidRPr="0062199B" w:rsidRDefault="00861894" w:rsidP="00861894">
      <w:pPr>
        <w:spacing w:before="240"/>
        <w:jc w:val="center"/>
        <w:rPr>
          <w:u w:val="single"/>
        </w:rPr>
      </w:pPr>
      <w:r>
        <w:rPr>
          <w:u w:val="single"/>
        </w:rPr>
        <w:tab/>
      </w:r>
      <w:r>
        <w:rPr>
          <w:u w:val="single"/>
        </w:rPr>
        <w:tab/>
      </w:r>
      <w:r>
        <w:rPr>
          <w:u w:val="single"/>
        </w:rPr>
        <w:tab/>
      </w:r>
    </w:p>
    <w:sectPr w:rsidR="00861894" w:rsidRPr="0062199B" w:rsidSect="00772D17">
      <w:headerReference w:type="even" r:id="rId22"/>
      <w:headerReference w:type="default" r:id="rId23"/>
      <w:footerReference w:type="even" r:id="rId24"/>
      <w:footerReference w:type="default" r:id="rId25"/>
      <w:footerReference w:type="first" r:id="rId2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27BA1" w14:textId="77777777" w:rsidR="00B827E1" w:rsidRDefault="00B827E1"/>
  </w:endnote>
  <w:endnote w:type="continuationSeparator" w:id="0">
    <w:p w14:paraId="18BBC8FF" w14:textId="77777777" w:rsidR="00B827E1" w:rsidRDefault="00B827E1"/>
  </w:endnote>
  <w:endnote w:type="continuationNotice" w:id="1">
    <w:p w14:paraId="51DFCEA5" w14:textId="77777777" w:rsidR="00B827E1" w:rsidRDefault="00B82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CEA2" w14:textId="31302D95" w:rsidR="00F71504" w:rsidRDefault="00F71504" w:rsidP="00F71504">
    <w:pPr>
      <w:pStyle w:val="Footer"/>
    </w:pPr>
    <w:r w:rsidRPr="0027112F">
      <w:rPr>
        <w:noProof/>
        <w:lang w:val="en-US"/>
      </w:rPr>
      <w:drawing>
        <wp:anchor distT="0" distB="0" distL="114300" distR="114300" simplePos="0" relativeHeight="251659264" behindDoc="0" locked="1" layoutInCell="1" allowOverlap="1" wp14:anchorId="4AF40680" wp14:editId="0EAA2A9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051815A" w14:textId="040F1110" w:rsidR="00F71504" w:rsidRPr="00F71504" w:rsidRDefault="00F71504" w:rsidP="00F71504">
    <w:pPr>
      <w:pStyle w:val="Footer"/>
      <w:ind w:right="1134"/>
      <w:rPr>
        <w:sz w:val="20"/>
      </w:rPr>
    </w:pPr>
    <w:r>
      <w:rPr>
        <w:sz w:val="20"/>
      </w:rPr>
      <w:t>GE.20-17518(E)</w:t>
    </w:r>
    <w:r>
      <w:rPr>
        <w:noProof/>
        <w:sz w:val="20"/>
      </w:rPr>
      <w:drawing>
        <wp:anchor distT="0" distB="0" distL="114300" distR="114300" simplePos="0" relativeHeight="251660288" behindDoc="0" locked="0" layoutInCell="1" allowOverlap="1" wp14:anchorId="183BDD13" wp14:editId="08998C3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6CB47" w14:textId="77777777" w:rsidR="00B827E1" w:rsidRPr="000B175B" w:rsidRDefault="00B827E1" w:rsidP="000B175B">
      <w:pPr>
        <w:tabs>
          <w:tab w:val="right" w:pos="2155"/>
        </w:tabs>
        <w:spacing w:after="80"/>
        <w:ind w:left="680"/>
        <w:rPr>
          <w:u w:val="single"/>
        </w:rPr>
      </w:pPr>
      <w:r>
        <w:rPr>
          <w:u w:val="single"/>
        </w:rPr>
        <w:tab/>
      </w:r>
    </w:p>
  </w:footnote>
  <w:footnote w:type="continuationSeparator" w:id="0">
    <w:p w14:paraId="6308B5CB" w14:textId="77777777" w:rsidR="00B827E1" w:rsidRPr="00FC68B7" w:rsidRDefault="00B827E1" w:rsidP="00FC68B7">
      <w:pPr>
        <w:tabs>
          <w:tab w:val="left" w:pos="2155"/>
        </w:tabs>
        <w:spacing w:after="80"/>
        <w:ind w:left="680"/>
        <w:rPr>
          <w:u w:val="single"/>
        </w:rPr>
      </w:pPr>
      <w:r>
        <w:rPr>
          <w:u w:val="single"/>
        </w:rPr>
        <w:tab/>
      </w:r>
    </w:p>
  </w:footnote>
  <w:footnote w:type="continuationNotice" w:id="1">
    <w:p w14:paraId="25D49D83" w14:textId="77777777" w:rsidR="00B827E1" w:rsidRDefault="00B827E1"/>
  </w:footnote>
  <w:footnote w:id="2">
    <w:p w14:paraId="13F6BF3D" w14:textId="77777777" w:rsidR="00DB276D" w:rsidRPr="00DC2C16" w:rsidRDefault="00DB276D" w:rsidP="00DB276D">
      <w:pPr>
        <w:pStyle w:val="FootnoteText"/>
      </w:pPr>
      <w:r>
        <w:rPr>
          <w:sz w:val="20"/>
        </w:rPr>
        <w:tab/>
      </w:r>
      <w:r w:rsidRPr="008C700B">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32235E62" w14:textId="4EF88598" w:rsidR="008C700B" w:rsidRPr="008C700B" w:rsidRDefault="008C700B" w:rsidP="008C700B">
      <w:pPr>
        <w:pStyle w:val="FootnoteText"/>
        <w:rPr>
          <w:lang w:val="fr-CH"/>
        </w:rPr>
      </w:pPr>
      <w:r>
        <w:rPr>
          <w:rStyle w:val="FootnoteReference"/>
        </w:rPr>
        <w:tab/>
      </w:r>
      <w:r w:rsidRPr="008C700B">
        <w:rPr>
          <w:rStyle w:val="FootnoteReference"/>
          <w:sz w:val="20"/>
          <w:vertAlign w:val="baseline"/>
        </w:rPr>
        <w:t>**</w:t>
      </w:r>
      <w:r>
        <w:rPr>
          <w:rStyle w:val="FootnoteReference"/>
          <w:sz w:val="20"/>
          <w:vertAlign w:val="baseline"/>
        </w:rPr>
        <w:tab/>
      </w:r>
      <w:r w:rsidRPr="008C700B">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4536522F" w:rsidR="00772D17" w:rsidRPr="00772D17" w:rsidRDefault="00772D17">
    <w:pPr>
      <w:pStyle w:val="Header"/>
    </w:pPr>
    <w:r>
      <w:t>ECE/TRANS/WP.29/202</w:t>
    </w:r>
    <w:r w:rsidR="00EE5A92">
      <w:t>1</w:t>
    </w:r>
    <w:r>
      <w:t>/</w:t>
    </w:r>
    <w:r w:rsidR="0075684C">
      <w:t>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063B4FA1" w:rsidR="00772D17" w:rsidRPr="00772D17" w:rsidRDefault="00772D17" w:rsidP="00772D17">
    <w:pPr>
      <w:pStyle w:val="Header"/>
      <w:jc w:val="right"/>
    </w:pPr>
    <w:r>
      <w:t>ECE/TRANS/WP.29/202</w:t>
    </w:r>
    <w:r w:rsidR="00EE5A92">
      <w:t>1</w:t>
    </w:r>
    <w:r>
      <w:t>/</w:t>
    </w:r>
    <w:r w:rsidR="0075684C">
      <w:t>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D6245E"/>
    <w:multiLevelType w:val="hybridMultilevel"/>
    <w:tmpl w:val="CD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B82C072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A0AC80F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2"/>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32C5C"/>
    <w:rsid w:val="00050F6B"/>
    <w:rsid w:val="000678CD"/>
    <w:rsid w:val="00072C8C"/>
    <w:rsid w:val="00074A85"/>
    <w:rsid w:val="00081CE0"/>
    <w:rsid w:val="00084D30"/>
    <w:rsid w:val="00090320"/>
    <w:rsid w:val="000931C0"/>
    <w:rsid w:val="00097003"/>
    <w:rsid w:val="000A2E09"/>
    <w:rsid w:val="000B175B"/>
    <w:rsid w:val="000B3A0F"/>
    <w:rsid w:val="000E0415"/>
    <w:rsid w:val="000F7715"/>
    <w:rsid w:val="00141DAF"/>
    <w:rsid w:val="00156B99"/>
    <w:rsid w:val="00166124"/>
    <w:rsid w:val="00184DDA"/>
    <w:rsid w:val="001900CD"/>
    <w:rsid w:val="001A0452"/>
    <w:rsid w:val="001A68E2"/>
    <w:rsid w:val="001B4B04"/>
    <w:rsid w:val="001B5875"/>
    <w:rsid w:val="001C4B9C"/>
    <w:rsid w:val="001C6663"/>
    <w:rsid w:val="001C7895"/>
    <w:rsid w:val="001D26DF"/>
    <w:rsid w:val="001E6C3D"/>
    <w:rsid w:val="001F1599"/>
    <w:rsid w:val="001F19C4"/>
    <w:rsid w:val="002043F0"/>
    <w:rsid w:val="002102A0"/>
    <w:rsid w:val="00211E0B"/>
    <w:rsid w:val="00232575"/>
    <w:rsid w:val="00247258"/>
    <w:rsid w:val="00257CAC"/>
    <w:rsid w:val="0027237A"/>
    <w:rsid w:val="002974E9"/>
    <w:rsid w:val="002A306B"/>
    <w:rsid w:val="002A7F94"/>
    <w:rsid w:val="002B109A"/>
    <w:rsid w:val="002C5E01"/>
    <w:rsid w:val="002C6D45"/>
    <w:rsid w:val="002D6E53"/>
    <w:rsid w:val="002E6F87"/>
    <w:rsid w:val="002F046D"/>
    <w:rsid w:val="002F3023"/>
    <w:rsid w:val="00301764"/>
    <w:rsid w:val="003229D8"/>
    <w:rsid w:val="00336C97"/>
    <w:rsid w:val="00337F88"/>
    <w:rsid w:val="00342432"/>
    <w:rsid w:val="00342839"/>
    <w:rsid w:val="0035223F"/>
    <w:rsid w:val="00352D4B"/>
    <w:rsid w:val="0035638C"/>
    <w:rsid w:val="003A46BB"/>
    <w:rsid w:val="003A4EC7"/>
    <w:rsid w:val="003A7295"/>
    <w:rsid w:val="003B1F60"/>
    <w:rsid w:val="003B437E"/>
    <w:rsid w:val="003C2CC4"/>
    <w:rsid w:val="003D4B23"/>
    <w:rsid w:val="003E278A"/>
    <w:rsid w:val="00413520"/>
    <w:rsid w:val="004325CB"/>
    <w:rsid w:val="00440A07"/>
    <w:rsid w:val="00454AF6"/>
    <w:rsid w:val="00462880"/>
    <w:rsid w:val="00476F24"/>
    <w:rsid w:val="004A5D33"/>
    <w:rsid w:val="004C55B0"/>
    <w:rsid w:val="004D5BDD"/>
    <w:rsid w:val="004D5CF1"/>
    <w:rsid w:val="004F36FB"/>
    <w:rsid w:val="004F6BA0"/>
    <w:rsid w:val="00503BEA"/>
    <w:rsid w:val="00505484"/>
    <w:rsid w:val="00533616"/>
    <w:rsid w:val="00535ABA"/>
    <w:rsid w:val="0053768B"/>
    <w:rsid w:val="005420F2"/>
    <w:rsid w:val="0054285C"/>
    <w:rsid w:val="00544DD1"/>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22C28"/>
    <w:rsid w:val="00630B84"/>
    <w:rsid w:val="00630FCB"/>
    <w:rsid w:val="00640B26"/>
    <w:rsid w:val="0065766B"/>
    <w:rsid w:val="006770B2"/>
    <w:rsid w:val="00686A48"/>
    <w:rsid w:val="0068763C"/>
    <w:rsid w:val="006940E1"/>
    <w:rsid w:val="00697715"/>
    <w:rsid w:val="006A2B77"/>
    <w:rsid w:val="006A3C72"/>
    <w:rsid w:val="006A7392"/>
    <w:rsid w:val="006B03A1"/>
    <w:rsid w:val="006B67D9"/>
    <w:rsid w:val="006C5535"/>
    <w:rsid w:val="006D0589"/>
    <w:rsid w:val="006E564B"/>
    <w:rsid w:val="006E7154"/>
    <w:rsid w:val="006F781C"/>
    <w:rsid w:val="007003CD"/>
    <w:rsid w:val="0070701E"/>
    <w:rsid w:val="0072632A"/>
    <w:rsid w:val="007358E8"/>
    <w:rsid w:val="00736ECE"/>
    <w:rsid w:val="007408CA"/>
    <w:rsid w:val="0074533B"/>
    <w:rsid w:val="00747965"/>
    <w:rsid w:val="0075684C"/>
    <w:rsid w:val="007643BC"/>
    <w:rsid w:val="007702CC"/>
    <w:rsid w:val="00772D17"/>
    <w:rsid w:val="00773C39"/>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1894"/>
    <w:rsid w:val="00866893"/>
    <w:rsid w:val="00866F02"/>
    <w:rsid w:val="00867D18"/>
    <w:rsid w:val="00871F9A"/>
    <w:rsid w:val="00871FD5"/>
    <w:rsid w:val="0088172E"/>
    <w:rsid w:val="00881EFA"/>
    <w:rsid w:val="008879CB"/>
    <w:rsid w:val="00896554"/>
    <w:rsid w:val="008979B1"/>
    <w:rsid w:val="008A6B25"/>
    <w:rsid w:val="008A6C4F"/>
    <w:rsid w:val="008B389E"/>
    <w:rsid w:val="008C700B"/>
    <w:rsid w:val="008D00EC"/>
    <w:rsid w:val="008D045E"/>
    <w:rsid w:val="008D3F25"/>
    <w:rsid w:val="008D4D82"/>
    <w:rsid w:val="008E0E46"/>
    <w:rsid w:val="008E7116"/>
    <w:rsid w:val="008F143B"/>
    <w:rsid w:val="008F355C"/>
    <w:rsid w:val="008F3764"/>
    <w:rsid w:val="008F3882"/>
    <w:rsid w:val="008F4B7C"/>
    <w:rsid w:val="0092066E"/>
    <w:rsid w:val="00926E47"/>
    <w:rsid w:val="00947162"/>
    <w:rsid w:val="00953690"/>
    <w:rsid w:val="009610D0"/>
    <w:rsid w:val="0096375C"/>
    <w:rsid w:val="009662E6"/>
    <w:rsid w:val="009707AB"/>
    <w:rsid w:val="0097095E"/>
    <w:rsid w:val="0098592B"/>
    <w:rsid w:val="00985FC4"/>
    <w:rsid w:val="00990766"/>
    <w:rsid w:val="00991261"/>
    <w:rsid w:val="009964C4"/>
    <w:rsid w:val="009A7B81"/>
    <w:rsid w:val="009B7EB7"/>
    <w:rsid w:val="009C5ED0"/>
    <w:rsid w:val="009D01C0"/>
    <w:rsid w:val="009D6A08"/>
    <w:rsid w:val="009D6B66"/>
    <w:rsid w:val="009E0A16"/>
    <w:rsid w:val="009E6CB7"/>
    <w:rsid w:val="009E7970"/>
    <w:rsid w:val="009F2EAC"/>
    <w:rsid w:val="009F57E3"/>
    <w:rsid w:val="00A0353C"/>
    <w:rsid w:val="00A10F4F"/>
    <w:rsid w:val="00A11067"/>
    <w:rsid w:val="00A1704A"/>
    <w:rsid w:val="00A32555"/>
    <w:rsid w:val="00A36AC2"/>
    <w:rsid w:val="00A425EB"/>
    <w:rsid w:val="00A72F22"/>
    <w:rsid w:val="00A733BC"/>
    <w:rsid w:val="00A748A6"/>
    <w:rsid w:val="00A76A69"/>
    <w:rsid w:val="00A879A4"/>
    <w:rsid w:val="00AA0FF8"/>
    <w:rsid w:val="00AC0F2C"/>
    <w:rsid w:val="00AC502A"/>
    <w:rsid w:val="00AC702A"/>
    <w:rsid w:val="00AE1E26"/>
    <w:rsid w:val="00AE5D86"/>
    <w:rsid w:val="00AF58C1"/>
    <w:rsid w:val="00B04A3F"/>
    <w:rsid w:val="00B06643"/>
    <w:rsid w:val="00B15055"/>
    <w:rsid w:val="00B16647"/>
    <w:rsid w:val="00B20551"/>
    <w:rsid w:val="00B30179"/>
    <w:rsid w:val="00B31E0B"/>
    <w:rsid w:val="00B33FC7"/>
    <w:rsid w:val="00B37B15"/>
    <w:rsid w:val="00B4162A"/>
    <w:rsid w:val="00B45C02"/>
    <w:rsid w:val="00B70B63"/>
    <w:rsid w:val="00B72025"/>
    <w:rsid w:val="00B72071"/>
    <w:rsid w:val="00B72A1E"/>
    <w:rsid w:val="00B81E12"/>
    <w:rsid w:val="00B827E1"/>
    <w:rsid w:val="00B841BA"/>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07DFA"/>
    <w:rsid w:val="00C42BFD"/>
    <w:rsid w:val="00C463DD"/>
    <w:rsid w:val="00C56CFF"/>
    <w:rsid w:val="00C745C3"/>
    <w:rsid w:val="00C978F5"/>
    <w:rsid w:val="00CA24A4"/>
    <w:rsid w:val="00CB348D"/>
    <w:rsid w:val="00CD46F5"/>
    <w:rsid w:val="00CE4A8F"/>
    <w:rsid w:val="00CF071D"/>
    <w:rsid w:val="00CF7F16"/>
    <w:rsid w:val="00D0123D"/>
    <w:rsid w:val="00D15B04"/>
    <w:rsid w:val="00D2031B"/>
    <w:rsid w:val="00D25FE2"/>
    <w:rsid w:val="00D271DB"/>
    <w:rsid w:val="00D32314"/>
    <w:rsid w:val="00D37DA9"/>
    <w:rsid w:val="00D406A7"/>
    <w:rsid w:val="00D43252"/>
    <w:rsid w:val="00D44D86"/>
    <w:rsid w:val="00D50B7D"/>
    <w:rsid w:val="00D52012"/>
    <w:rsid w:val="00D704E5"/>
    <w:rsid w:val="00D72727"/>
    <w:rsid w:val="00D978C6"/>
    <w:rsid w:val="00DA0956"/>
    <w:rsid w:val="00DA2D97"/>
    <w:rsid w:val="00DA357F"/>
    <w:rsid w:val="00DA3E12"/>
    <w:rsid w:val="00DB276D"/>
    <w:rsid w:val="00DC18AD"/>
    <w:rsid w:val="00DF7CAE"/>
    <w:rsid w:val="00E042AA"/>
    <w:rsid w:val="00E075B3"/>
    <w:rsid w:val="00E152F4"/>
    <w:rsid w:val="00E423C0"/>
    <w:rsid w:val="00E46734"/>
    <w:rsid w:val="00E627C6"/>
    <w:rsid w:val="00E6414C"/>
    <w:rsid w:val="00E7260F"/>
    <w:rsid w:val="00E8702D"/>
    <w:rsid w:val="00E905F4"/>
    <w:rsid w:val="00E916A9"/>
    <w:rsid w:val="00E916DE"/>
    <w:rsid w:val="00E925AD"/>
    <w:rsid w:val="00E96630"/>
    <w:rsid w:val="00ED18DC"/>
    <w:rsid w:val="00ED6201"/>
    <w:rsid w:val="00ED7A2A"/>
    <w:rsid w:val="00EE5A92"/>
    <w:rsid w:val="00EF1D7F"/>
    <w:rsid w:val="00F0137E"/>
    <w:rsid w:val="00F04E44"/>
    <w:rsid w:val="00F21786"/>
    <w:rsid w:val="00F25D06"/>
    <w:rsid w:val="00F31CFF"/>
    <w:rsid w:val="00F3742B"/>
    <w:rsid w:val="00F41FDB"/>
    <w:rsid w:val="00F50597"/>
    <w:rsid w:val="00F56D63"/>
    <w:rsid w:val="00F609A9"/>
    <w:rsid w:val="00F71504"/>
    <w:rsid w:val="00F737F2"/>
    <w:rsid w:val="00F77CAA"/>
    <w:rsid w:val="00F80C99"/>
    <w:rsid w:val="00F82B8C"/>
    <w:rsid w:val="00F867EC"/>
    <w:rsid w:val="00F91B2B"/>
    <w:rsid w:val="00FB1122"/>
    <w:rsid w:val="00FC03CD"/>
    <w:rsid w:val="00FC0646"/>
    <w:rsid w:val="00FC68B7"/>
    <w:rsid w:val="00FE6985"/>
    <w:rsid w:val="03C5BD3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4:docId w14:val="75564B11"/>
  <w15:docId w15:val="{1D838AF9-AC7D-4794-886F-4BC55E9D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link w:val="Heading9Char"/>
    <w:uiPriority w:val="99"/>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eading9Char">
    <w:name w:val="Heading 9 Char"/>
    <w:link w:val="Heading9"/>
    <w:uiPriority w:val="99"/>
    <w:rsid w:val="008D00EC"/>
    <w:rPr>
      <w:lang w:val="en-GB"/>
    </w:rPr>
  </w:style>
  <w:style w:type="character" w:customStyle="1" w:styleId="HChGChar">
    <w:name w:val="_ H _Ch_G Char"/>
    <w:link w:val="HChG"/>
    <w:locked/>
    <w:rsid w:val="00E627C6"/>
    <w:rPr>
      <w:b/>
      <w:sz w:val="28"/>
      <w:lang w:val="en-GB"/>
    </w:rPr>
  </w:style>
  <w:style w:type="character" w:styleId="CommentReference">
    <w:name w:val="annotation reference"/>
    <w:basedOn w:val="DefaultParagraphFont"/>
    <w:semiHidden/>
    <w:unhideWhenUsed/>
    <w:rsid w:val="00141DAF"/>
    <w:rPr>
      <w:sz w:val="16"/>
      <w:szCs w:val="16"/>
    </w:rPr>
  </w:style>
  <w:style w:type="paragraph" w:styleId="CommentText">
    <w:name w:val="annotation text"/>
    <w:basedOn w:val="Normal"/>
    <w:link w:val="CommentTextChar"/>
    <w:semiHidden/>
    <w:unhideWhenUsed/>
    <w:rsid w:val="00141DAF"/>
    <w:pPr>
      <w:spacing w:line="240" w:lineRule="auto"/>
    </w:pPr>
  </w:style>
  <w:style w:type="character" w:customStyle="1" w:styleId="CommentTextChar">
    <w:name w:val="Comment Text Char"/>
    <w:basedOn w:val="DefaultParagraphFont"/>
    <w:link w:val="CommentText"/>
    <w:semiHidden/>
    <w:rsid w:val="00141DAF"/>
    <w:rPr>
      <w:lang w:val="en-GB"/>
    </w:rPr>
  </w:style>
  <w:style w:type="paragraph" w:styleId="CommentSubject">
    <w:name w:val="annotation subject"/>
    <w:basedOn w:val="CommentText"/>
    <w:next w:val="CommentText"/>
    <w:link w:val="CommentSubjectChar"/>
    <w:semiHidden/>
    <w:unhideWhenUsed/>
    <w:rsid w:val="00141DAF"/>
    <w:rPr>
      <w:b/>
      <w:bCs/>
    </w:rPr>
  </w:style>
  <w:style w:type="character" w:customStyle="1" w:styleId="CommentSubjectChar">
    <w:name w:val="Comment Subject Char"/>
    <w:basedOn w:val="CommentTextChar"/>
    <w:link w:val="CommentSubject"/>
    <w:semiHidden/>
    <w:rsid w:val="00141DAF"/>
    <w:rPr>
      <w:b/>
      <w:bCs/>
      <w:lang w:val="en-GB"/>
    </w:rPr>
  </w:style>
  <w:style w:type="character" w:customStyle="1" w:styleId="SingleTxtGChar">
    <w:name w:val="_ Single Txt_G Char"/>
    <w:link w:val="SingleTxtG"/>
    <w:locked/>
    <w:rsid w:val="0086189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iki.unece.org/download/attachments/87621864/PSG-WEBEX%202019-02%20CPA%20data%20review-V2.pdf?api=v2"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iki.unece.org/download/attachments/92013560/Roof%20CPA%20Examples_CLEPA.pdf?api=v2"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iki.unece.org/download/attachments/28213736/PSG-03-09_NHTSA%20panoromic%20sunroof%20incidents%20%283rd%20GRSG%20IWG%20on%20PSG%20-%2024Feb2016%29.pdf?api=v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iki.unece.org/download/attachments/26902754/PSG-02-04-Overall_Review_of_CPA.pdf?api=v2" TargetMode="External"/><Relationship Id="rId20" Type="http://schemas.openxmlformats.org/officeDocument/2006/relationships/hyperlink" Target="https://wiki.unece.org/download/attachments/62226910/PSG-10-02_Ceramic%20printed%20area%20changes%20cases%20in%20Korea%288Oct%29.pdf?api=v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iki.unece.org/download/attachments/80381010/PSG-11-05%20Analysis%20on%20Ceramic%20Printed%20Area%20data%20by%20ROK.pdf?api=v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757F4-3E46-40DA-8DF1-D3C9B4EA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A0EA4-F85D-42E0-9E19-90E574BC043F}">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4.xml><?xml version="1.0" encoding="utf-8"?>
<ds:datastoreItem xmlns:ds="http://schemas.openxmlformats.org/officeDocument/2006/customXml" ds:itemID="{672B850A-9D0A-4FA5-88A2-CF4D924E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2545</Words>
  <Characters>13939</Characters>
  <Application>Microsoft Office Word</Application>
  <DocSecurity>0</DocSecurity>
  <Lines>289</Lines>
  <Paragraphs>126</Paragraphs>
  <ScaleCrop>false</ScaleCrop>
  <Company>CSD</Company>
  <LinksUpToDate>false</LinksUpToDate>
  <CharactersWithSpaces>16524</CharactersWithSpaces>
  <SharedDoc>false</SharedDoc>
  <HLinks>
    <vt:vector size="36" baseType="variant">
      <vt:variant>
        <vt:i4>7340098</vt:i4>
      </vt:variant>
      <vt:variant>
        <vt:i4>15</vt:i4>
      </vt:variant>
      <vt:variant>
        <vt:i4>0</vt:i4>
      </vt:variant>
      <vt:variant>
        <vt:i4>5</vt:i4>
      </vt:variant>
      <vt:variant>
        <vt:lpwstr>https://wiki.unece.org/download/attachments/92013560/Roof CPA Examples_CLEPA.pdf?api=v2</vt:lpwstr>
      </vt:variant>
      <vt:variant>
        <vt:lpwstr/>
      </vt:variant>
      <vt:variant>
        <vt:i4>7340048</vt:i4>
      </vt:variant>
      <vt:variant>
        <vt:i4>12</vt:i4>
      </vt:variant>
      <vt:variant>
        <vt:i4>0</vt:i4>
      </vt:variant>
      <vt:variant>
        <vt:i4>5</vt:i4>
      </vt:variant>
      <vt:variant>
        <vt:lpwstr>https://wiki.unece.org/download/attachments/62226910/PSG-10-02_Ceramic printed area changes cases in Korea%288Oct%29.pdf?api=v2</vt:lpwstr>
      </vt:variant>
      <vt:variant>
        <vt:lpwstr/>
      </vt:variant>
      <vt:variant>
        <vt:i4>6488105</vt:i4>
      </vt:variant>
      <vt:variant>
        <vt:i4>9</vt:i4>
      </vt:variant>
      <vt:variant>
        <vt:i4>0</vt:i4>
      </vt:variant>
      <vt:variant>
        <vt:i4>5</vt:i4>
      </vt:variant>
      <vt:variant>
        <vt:lpwstr>https://wiki.unece.org/download/attachments/80381010/PSG-11-05 Analysis on Ceramic Printed Area data by ROK.pdf?api=v2</vt:lpwstr>
      </vt:variant>
      <vt:variant>
        <vt:lpwstr/>
      </vt:variant>
      <vt:variant>
        <vt:i4>4456455</vt:i4>
      </vt:variant>
      <vt:variant>
        <vt:i4>6</vt:i4>
      </vt:variant>
      <vt:variant>
        <vt:i4>0</vt:i4>
      </vt:variant>
      <vt:variant>
        <vt:i4>5</vt:i4>
      </vt:variant>
      <vt:variant>
        <vt:lpwstr>https://wiki.unece.org/download/attachments/87621864/PSG-WEBEX 2019-02 CPA data review-V2.pdf?api=v2</vt:lpwstr>
      </vt:variant>
      <vt:variant>
        <vt:lpwstr/>
      </vt:variant>
      <vt:variant>
        <vt:i4>1376296</vt:i4>
      </vt:variant>
      <vt:variant>
        <vt:i4>3</vt:i4>
      </vt:variant>
      <vt:variant>
        <vt:i4>0</vt:i4>
      </vt:variant>
      <vt:variant>
        <vt:i4>5</vt:i4>
      </vt:variant>
      <vt:variant>
        <vt:lpwstr>https://wiki.unece.org/download/attachments/28213736/PSG-03-09_NHTSA panoromic sunroof incidents %283rd GRSG IWG on PSG - 24Feb2016%29.pdf?api=v2</vt:lpwstr>
      </vt:variant>
      <vt:variant>
        <vt:lpwstr/>
      </vt:variant>
      <vt:variant>
        <vt:i4>1048678</vt:i4>
      </vt:variant>
      <vt:variant>
        <vt:i4>0</vt:i4>
      </vt:variant>
      <vt:variant>
        <vt:i4>0</vt:i4>
      </vt:variant>
      <vt:variant>
        <vt:i4>5</vt:i4>
      </vt:variant>
      <vt:variant>
        <vt:lpwstr>https://wiki.unece.org/download/attachments/26902754/PSG-02-04-Overall_Review_of_CPA.pdf?api=v2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ECE/TRANS/WP.29/2021/52</dc:title>
  <dc:subject>2017518</dc:subject>
  <dc:creator>Lucille</dc:creator>
  <cp:keywords/>
  <dc:description/>
  <cp:lastModifiedBy>Maria Rosario Corazon Gatmaytan</cp:lastModifiedBy>
  <cp:revision>2</cp:revision>
  <cp:lastPrinted>2009-02-18T09:36:00Z</cp:lastPrinted>
  <dcterms:created xsi:type="dcterms:W3CDTF">2020-12-22T07:55:00Z</dcterms:created>
  <dcterms:modified xsi:type="dcterms:W3CDTF">2020-12-22T07:55:00Z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