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251905"/>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51905" w:rsidP="00251905">
            <w:pPr>
              <w:jc w:val="right"/>
            </w:pPr>
            <w:r w:rsidRPr="00251905">
              <w:rPr>
                <w:sz w:val="40"/>
              </w:rPr>
              <w:t>ECE</w:t>
            </w:r>
            <w:r>
              <w:t>/TRANS/WP.29/2021/26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51905" w:rsidP="00C97039">
            <w:pPr>
              <w:spacing w:before="240"/>
            </w:pPr>
            <w:r>
              <w:t>Distr. générale</w:t>
            </w:r>
          </w:p>
          <w:p w:rsidR="00251905" w:rsidRDefault="00251905" w:rsidP="00251905">
            <w:pPr>
              <w:spacing w:line="240" w:lineRule="exact"/>
            </w:pPr>
            <w:r>
              <w:t>21 décembre 2020</w:t>
            </w:r>
          </w:p>
          <w:p w:rsidR="00251905" w:rsidRDefault="00251905" w:rsidP="00251905">
            <w:pPr>
              <w:spacing w:line="240" w:lineRule="exact"/>
            </w:pPr>
            <w:r>
              <w:t>Français</w:t>
            </w:r>
          </w:p>
          <w:p w:rsidR="00251905" w:rsidRPr="00DB58B5" w:rsidRDefault="00251905" w:rsidP="00251905">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251905">
      <w:pPr>
        <w:spacing w:before="120" w:after="120"/>
        <w:rPr>
          <w:sz w:val="28"/>
          <w:szCs w:val="28"/>
        </w:rPr>
      </w:pPr>
      <w:r w:rsidRPr="00685843">
        <w:rPr>
          <w:sz w:val="28"/>
          <w:szCs w:val="28"/>
        </w:rPr>
        <w:t>Comité des transports intérieurs</w:t>
      </w:r>
    </w:p>
    <w:p w:rsidR="00251905" w:rsidRPr="004243AA" w:rsidRDefault="00251905" w:rsidP="00251905">
      <w:pPr>
        <w:suppressAutoHyphens w:val="0"/>
        <w:spacing w:after="200" w:line="276" w:lineRule="auto"/>
        <w:rPr>
          <w:b/>
          <w:bCs/>
          <w:sz w:val="24"/>
          <w:szCs w:val="24"/>
          <w:lang w:val="fr-FR"/>
        </w:rPr>
      </w:pPr>
      <w:r w:rsidRPr="004243AA">
        <w:rPr>
          <w:b/>
          <w:bCs/>
          <w:sz w:val="24"/>
          <w:szCs w:val="24"/>
          <w:lang w:val="fr-FR"/>
        </w:rPr>
        <w:t xml:space="preserve">Forum mondial de l’harmonisation </w:t>
      </w:r>
      <w:r w:rsidRPr="004243AA">
        <w:rPr>
          <w:b/>
          <w:bCs/>
          <w:sz w:val="24"/>
          <w:szCs w:val="24"/>
          <w:lang w:val="fr-FR"/>
        </w:rPr>
        <w:br/>
        <w:t>des Règlements concernant les véhicules</w:t>
      </w:r>
    </w:p>
    <w:p w:rsidR="00251905" w:rsidRPr="004243AA" w:rsidRDefault="00251905" w:rsidP="00251905">
      <w:pPr>
        <w:spacing w:before="120" w:line="240" w:lineRule="exact"/>
        <w:rPr>
          <w:b/>
          <w:bCs/>
          <w:lang w:val="fr-FR"/>
        </w:rPr>
      </w:pPr>
      <w:r w:rsidRPr="004243AA">
        <w:rPr>
          <w:b/>
          <w:bCs/>
          <w:lang w:val="fr-FR"/>
        </w:rPr>
        <w:t>183</w:t>
      </w:r>
      <w:r w:rsidRPr="004243AA">
        <w:rPr>
          <w:b/>
          <w:bCs/>
          <w:vertAlign w:val="superscript"/>
          <w:lang w:val="fr-FR"/>
        </w:rPr>
        <w:t>e</w:t>
      </w:r>
      <w:r w:rsidRPr="004243AA">
        <w:rPr>
          <w:b/>
          <w:bCs/>
          <w:lang w:val="fr-FR"/>
        </w:rPr>
        <w:t> session</w:t>
      </w:r>
    </w:p>
    <w:p w:rsidR="00251905" w:rsidRPr="004243AA" w:rsidRDefault="00251905" w:rsidP="00251905">
      <w:pPr>
        <w:spacing w:line="240" w:lineRule="exact"/>
        <w:rPr>
          <w:lang w:val="fr-FR"/>
        </w:rPr>
      </w:pPr>
      <w:r w:rsidRPr="004243AA">
        <w:rPr>
          <w:lang w:val="fr-FR"/>
        </w:rPr>
        <w:t>Genève, 9-11 mars 2021</w:t>
      </w:r>
    </w:p>
    <w:p w:rsidR="00251905" w:rsidRPr="004243AA" w:rsidRDefault="00251905" w:rsidP="00251905">
      <w:pPr>
        <w:spacing w:line="240" w:lineRule="exact"/>
        <w:rPr>
          <w:lang w:val="fr-FR"/>
        </w:rPr>
      </w:pPr>
      <w:r w:rsidRPr="004243AA">
        <w:rPr>
          <w:lang w:val="fr-FR"/>
        </w:rPr>
        <w:t>Point 4.8.8 de l’ordre du jour provisoire</w:t>
      </w:r>
    </w:p>
    <w:p w:rsidR="00251905" w:rsidRPr="004243AA" w:rsidRDefault="00251905" w:rsidP="00251905">
      <w:pPr>
        <w:suppressAutoHyphens w:val="0"/>
        <w:spacing w:after="200" w:line="276" w:lineRule="auto"/>
        <w:rPr>
          <w:b/>
          <w:bCs/>
          <w:lang w:val="fr-FR"/>
        </w:rPr>
      </w:pPr>
      <w:r w:rsidRPr="004243AA">
        <w:rPr>
          <w:b/>
          <w:bCs/>
          <w:lang w:val="fr-FR"/>
        </w:rPr>
        <w:t>Accord de 1958</w:t>
      </w:r>
      <w:r>
        <w:rPr>
          <w:b/>
          <w:bCs/>
          <w:lang w:val="fr-FR"/>
        </w:rPr>
        <w:t> </w:t>
      </w:r>
      <w:r w:rsidRPr="004243AA">
        <w:rPr>
          <w:b/>
          <w:bCs/>
          <w:lang w:val="fr-FR"/>
        </w:rPr>
        <w:t>:</w:t>
      </w:r>
      <w:r>
        <w:rPr>
          <w:b/>
          <w:bCs/>
          <w:lang w:val="fr-FR"/>
        </w:rPr>
        <w:t xml:space="preserve"> </w:t>
      </w:r>
      <w:r w:rsidRPr="004243AA">
        <w:rPr>
          <w:b/>
          <w:bCs/>
          <w:lang w:val="fr-FR"/>
        </w:rPr>
        <w:t xml:space="preserve">Examen de projets d’amendements </w:t>
      </w:r>
      <w:r>
        <w:rPr>
          <w:b/>
          <w:bCs/>
          <w:lang w:val="fr-FR"/>
        </w:rPr>
        <w:br/>
      </w:r>
      <w:r w:rsidRPr="004243AA">
        <w:rPr>
          <w:b/>
          <w:bCs/>
          <w:lang w:val="fr-FR"/>
        </w:rPr>
        <w:t>à des Règlements ONU existants, soumis par le GRSG</w:t>
      </w:r>
    </w:p>
    <w:p w:rsidR="00251905" w:rsidRPr="004243AA" w:rsidRDefault="00251905" w:rsidP="00251905">
      <w:pPr>
        <w:pStyle w:val="HChG"/>
        <w:ind w:firstLine="0"/>
        <w:rPr>
          <w:lang w:val="fr-FR"/>
        </w:rPr>
      </w:pPr>
      <w:r w:rsidRPr="004243AA">
        <w:rPr>
          <w:lang w:val="fr-FR"/>
        </w:rPr>
        <w:tab/>
      </w:r>
      <w:r w:rsidRPr="004243AA">
        <w:rPr>
          <w:rFonts w:asciiTheme="majorBidi" w:hAnsiTheme="majorBidi" w:cstheme="majorBidi"/>
          <w:lang w:val="fr-FR"/>
        </w:rPr>
        <w:t>Proposition de série 09 d’amendements au Règlement ONU</w:t>
      </w:r>
      <w:r>
        <w:rPr>
          <w:rFonts w:asciiTheme="majorBidi" w:hAnsiTheme="majorBidi" w:cstheme="majorBidi"/>
          <w:lang w:val="fr-FR"/>
        </w:rPr>
        <w:t> </w:t>
      </w:r>
      <w:r w:rsidRPr="00251905">
        <w:rPr>
          <w:rFonts w:asciiTheme="majorBidi" w:eastAsia="MS Mincho" w:hAnsiTheme="majorBidi" w:cstheme="majorBidi"/>
          <w:lang w:val="fr-FR"/>
        </w:rPr>
        <w:t>n</w:t>
      </w:r>
      <w:r w:rsidRPr="00251905">
        <w:rPr>
          <w:rFonts w:asciiTheme="majorBidi" w:eastAsia="MS Mincho" w:hAnsiTheme="majorBidi" w:cstheme="majorBidi"/>
          <w:vertAlign w:val="superscript"/>
          <w:lang w:val="fr-FR"/>
        </w:rPr>
        <w:t>o</w:t>
      </w:r>
      <w:r w:rsidRPr="004243AA">
        <w:rPr>
          <w:rFonts w:asciiTheme="majorBidi" w:hAnsiTheme="majorBidi" w:cstheme="majorBidi"/>
          <w:lang w:val="fr-FR"/>
        </w:rPr>
        <w:t xml:space="preserve"> 107 (Véhicules des catégories</w:t>
      </w:r>
      <w:r>
        <w:rPr>
          <w:rFonts w:asciiTheme="majorBidi" w:hAnsiTheme="majorBidi" w:cstheme="majorBidi"/>
          <w:lang w:val="fr-FR"/>
        </w:rPr>
        <w:t xml:space="preserve"> </w:t>
      </w:r>
      <w:r w:rsidRPr="004243AA">
        <w:rPr>
          <w:rFonts w:asciiTheme="majorBidi" w:hAnsiTheme="majorBidi" w:cstheme="majorBidi"/>
          <w:lang w:val="fr-FR"/>
        </w:rPr>
        <w:t>M</w:t>
      </w:r>
      <w:r w:rsidRPr="00C76D55">
        <w:rPr>
          <w:rFonts w:asciiTheme="majorBidi" w:hAnsiTheme="majorBidi" w:cstheme="majorBidi"/>
          <w:vertAlign w:val="subscript"/>
          <w:lang w:val="fr-FR"/>
        </w:rPr>
        <w:t>2</w:t>
      </w:r>
      <w:r>
        <w:rPr>
          <w:rFonts w:asciiTheme="majorBidi" w:hAnsiTheme="majorBidi" w:cstheme="majorBidi"/>
          <w:lang w:val="fr-FR"/>
        </w:rPr>
        <w:t xml:space="preserve"> </w:t>
      </w:r>
      <w:r w:rsidRPr="004243AA">
        <w:rPr>
          <w:rFonts w:asciiTheme="majorBidi" w:hAnsiTheme="majorBidi" w:cstheme="majorBidi"/>
          <w:lang w:val="fr-FR"/>
        </w:rPr>
        <w:t>et M</w:t>
      </w:r>
      <w:r w:rsidRPr="00C76D55">
        <w:rPr>
          <w:rFonts w:asciiTheme="majorBidi" w:hAnsiTheme="majorBidi" w:cstheme="majorBidi"/>
          <w:vertAlign w:val="subscript"/>
          <w:lang w:val="fr-FR"/>
        </w:rPr>
        <w:t>3</w:t>
      </w:r>
      <w:r w:rsidRPr="004243AA">
        <w:rPr>
          <w:rFonts w:asciiTheme="majorBidi" w:hAnsiTheme="majorBidi" w:cstheme="majorBidi"/>
          <w:lang w:val="fr-FR"/>
        </w:rPr>
        <w:t>)</w:t>
      </w:r>
    </w:p>
    <w:p w:rsidR="00251905" w:rsidRPr="004243AA" w:rsidRDefault="00251905" w:rsidP="00251905">
      <w:pPr>
        <w:pStyle w:val="H1G"/>
        <w:rPr>
          <w:szCs w:val="24"/>
          <w:lang w:val="fr-FR"/>
        </w:rPr>
      </w:pPr>
      <w:r w:rsidRPr="004243AA">
        <w:rPr>
          <w:lang w:val="fr-FR"/>
        </w:rPr>
        <w:tab/>
      </w:r>
      <w:r w:rsidRPr="004243AA">
        <w:rPr>
          <w:lang w:val="fr-FR"/>
        </w:rPr>
        <w:tab/>
      </w:r>
      <w:r w:rsidRPr="004243AA">
        <w:rPr>
          <w:bCs/>
          <w:szCs w:val="24"/>
          <w:lang w:val="fr-FR"/>
        </w:rPr>
        <w:t xml:space="preserve">Communication </w:t>
      </w:r>
      <w:r w:rsidRPr="004243AA">
        <w:rPr>
          <w:szCs w:val="24"/>
          <w:lang w:val="fr-FR"/>
        </w:rPr>
        <w:t xml:space="preserve">du Groupe de travail des dispositions générales </w:t>
      </w:r>
      <w:r>
        <w:rPr>
          <w:szCs w:val="24"/>
          <w:lang w:val="fr-FR"/>
        </w:rPr>
        <w:br/>
      </w:r>
      <w:r w:rsidRPr="004243AA">
        <w:rPr>
          <w:szCs w:val="24"/>
          <w:lang w:val="fr-FR"/>
        </w:rPr>
        <w:t>de sécurité</w:t>
      </w:r>
      <w:r w:rsidRPr="00251905">
        <w:rPr>
          <w:b w:val="0"/>
          <w:sz w:val="20"/>
          <w:lang w:val="fr-FR"/>
        </w:rPr>
        <w:footnoteReference w:customMarkFollows="1" w:id="2"/>
        <w:t>*</w:t>
      </w:r>
      <w:r w:rsidRPr="00251905">
        <w:rPr>
          <w:b w:val="0"/>
          <w:sz w:val="20"/>
          <w:vertAlign w:val="superscript"/>
          <w:lang w:val="fr-FR"/>
        </w:rPr>
        <w:t>,</w:t>
      </w:r>
      <w:r w:rsidRPr="00251905">
        <w:rPr>
          <w:b w:val="0"/>
          <w:sz w:val="20"/>
          <w:lang w:val="fr-FR"/>
        </w:rPr>
        <w:t xml:space="preserve"> </w:t>
      </w:r>
      <w:r w:rsidRPr="00251905">
        <w:rPr>
          <w:b w:val="0"/>
          <w:sz w:val="20"/>
          <w:lang w:val="fr-FR"/>
        </w:rPr>
        <w:footnoteReference w:customMarkFollows="1" w:id="3"/>
        <w:t>**</w:t>
      </w:r>
    </w:p>
    <w:p w:rsidR="00251905" w:rsidRPr="004243AA" w:rsidRDefault="00251905" w:rsidP="00251905">
      <w:pPr>
        <w:pStyle w:val="SingleTxtG"/>
        <w:ind w:firstLine="567"/>
        <w:rPr>
          <w:lang w:val="fr-FR"/>
        </w:rPr>
      </w:pPr>
      <w:bookmarkStart w:id="0" w:name="_Hlk62051441"/>
      <w:r w:rsidRPr="004243AA">
        <w:rPr>
          <w:lang w:val="fr-FR"/>
        </w:rPr>
        <w:t xml:space="preserve">Le texte ci-après a été </w:t>
      </w:r>
      <w:r>
        <w:rPr>
          <w:lang w:val="fr-FR"/>
        </w:rPr>
        <w:t>adopté</w:t>
      </w:r>
      <w:r w:rsidRPr="004243AA">
        <w:rPr>
          <w:lang w:val="fr-FR"/>
        </w:rPr>
        <w:t xml:space="preserve"> par le Groupe de travail des dispositions générales de sécurité à sa 119</w:t>
      </w:r>
      <w:r w:rsidRPr="004243AA">
        <w:rPr>
          <w:vertAlign w:val="superscript"/>
          <w:lang w:val="fr-FR"/>
        </w:rPr>
        <w:t>e</w:t>
      </w:r>
      <w:r w:rsidRPr="004243AA">
        <w:rPr>
          <w:lang w:val="fr-FR"/>
        </w:rPr>
        <w:t xml:space="preserve"> session, en octobre 2020 (</w:t>
      </w:r>
      <w:r w:rsidRPr="004243AA">
        <w:rPr>
          <w:bCs/>
          <w:lang w:val="fr-FR"/>
        </w:rPr>
        <w:t>ECE/TRANS/WP.29/GRSG/98, par. 13). Il est fondé sur les documents</w:t>
      </w:r>
      <w:bookmarkStart w:id="1" w:name="_GoBack"/>
      <w:bookmarkEnd w:id="1"/>
      <w:r w:rsidRPr="004243AA">
        <w:rPr>
          <w:bCs/>
          <w:lang w:val="fr-FR"/>
        </w:rPr>
        <w:t xml:space="preserve"> ECE/TRANS/WP.29/GRSG/2020/19, tel que modifié par le</w:t>
      </w:r>
      <w:r>
        <w:rPr>
          <w:bCs/>
          <w:lang w:val="fr-FR"/>
        </w:rPr>
        <w:t>s</w:t>
      </w:r>
      <w:r w:rsidRPr="004243AA">
        <w:rPr>
          <w:bCs/>
          <w:lang w:val="fr-FR"/>
        </w:rPr>
        <w:t xml:space="preserve"> document</w:t>
      </w:r>
      <w:r>
        <w:rPr>
          <w:bCs/>
          <w:lang w:val="fr-FR"/>
        </w:rPr>
        <w:t>s</w:t>
      </w:r>
      <w:r w:rsidRPr="004243AA">
        <w:rPr>
          <w:bCs/>
          <w:lang w:val="fr-FR"/>
        </w:rPr>
        <w:t xml:space="preserve"> informel</w:t>
      </w:r>
      <w:r>
        <w:rPr>
          <w:bCs/>
          <w:lang w:val="fr-FR"/>
        </w:rPr>
        <w:t>s</w:t>
      </w:r>
      <w:r w:rsidRPr="004243AA">
        <w:rPr>
          <w:bCs/>
          <w:lang w:val="fr-FR"/>
        </w:rPr>
        <w:t xml:space="preserve"> GRSG-119-</w:t>
      </w:r>
      <w:r w:rsidRPr="001C0455">
        <w:rPr>
          <w:bCs/>
          <w:lang w:val="fr-FR"/>
        </w:rPr>
        <w:t>09</w:t>
      </w:r>
      <w:r w:rsidRPr="001C0455">
        <w:rPr>
          <w:bCs/>
          <w:lang w:val="fr-FR"/>
        </w:rPr>
        <w:t xml:space="preserve"> et </w:t>
      </w:r>
      <w:r w:rsidRPr="001C0455">
        <w:rPr>
          <w:color w:val="000000"/>
        </w:rPr>
        <w:t>GRSG-119-18</w:t>
      </w:r>
      <w:r w:rsidRPr="001C0455">
        <w:rPr>
          <w:bCs/>
          <w:lang w:val="fr-FR"/>
        </w:rPr>
        <w:t>, et</w:t>
      </w:r>
      <w:r w:rsidRPr="001C0455">
        <w:rPr>
          <w:lang w:val="fr-FR"/>
        </w:rPr>
        <w:t xml:space="preserve"> ECE/TRANS/WP.29/GRSG/</w:t>
      </w:r>
      <w:r w:rsidR="00D1347C" w:rsidRPr="001C0455">
        <w:rPr>
          <w:lang w:val="fr-FR"/>
        </w:rPr>
        <w:br/>
      </w:r>
      <w:r w:rsidRPr="001C0455">
        <w:rPr>
          <w:lang w:val="fr-FR"/>
        </w:rPr>
        <w:t xml:space="preserve">2020/20, </w:t>
      </w:r>
      <w:r w:rsidRPr="001C0455">
        <w:rPr>
          <w:bCs/>
          <w:lang w:val="fr-FR"/>
        </w:rPr>
        <w:t>tel que modifié par le document informel</w:t>
      </w:r>
      <w:r w:rsidRPr="001C0455">
        <w:rPr>
          <w:lang w:val="fr-FR"/>
        </w:rPr>
        <w:t xml:space="preserve"> GRSG-119</w:t>
      </w:r>
      <w:r w:rsidRPr="004243AA">
        <w:rPr>
          <w:lang w:val="fr-FR"/>
        </w:rPr>
        <w:t xml:space="preserve">-19. </w:t>
      </w:r>
      <w:r w:rsidRPr="004243AA">
        <w:rPr>
          <w:szCs w:val="24"/>
          <w:lang w:val="fr-FR"/>
        </w:rPr>
        <w:t>Il est soumis au Forum mondial de l’harmonisation des Règlements concernant les véhicules (WP.29) et au Comité d’administration de l’Accord de 1958 (AC.1) pour examen et mise aux voix à leurs sessions de mars 2021.</w:t>
      </w:r>
    </w:p>
    <w:bookmarkEnd w:id="0"/>
    <w:p w:rsidR="00251905" w:rsidRPr="004243AA" w:rsidRDefault="00251905" w:rsidP="00251905">
      <w:pPr>
        <w:pStyle w:val="SingleTxtG"/>
        <w:ind w:firstLine="567"/>
        <w:rPr>
          <w:lang w:val="fr-FR"/>
        </w:rPr>
      </w:pPr>
      <w:r w:rsidRPr="004243AA">
        <w:rPr>
          <w:lang w:val="fr-FR"/>
        </w:rPr>
        <w:br w:type="page"/>
      </w:r>
    </w:p>
    <w:p w:rsidR="00251905" w:rsidRPr="004243AA" w:rsidRDefault="00251905" w:rsidP="00251905">
      <w:pPr>
        <w:pStyle w:val="SingleTxtG"/>
        <w:rPr>
          <w:rFonts w:asciiTheme="majorBidi" w:hAnsiTheme="majorBidi" w:cstheme="majorBidi"/>
          <w:i/>
          <w:iCs/>
          <w:lang w:val="fr-FR"/>
        </w:rPr>
      </w:pPr>
      <w:r w:rsidRPr="004243AA">
        <w:rPr>
          <w:i/>
          <w:iCs/>
          <w:lang w:val="fr-FR"/>
        </w:rPr>
        <w:lastRenderedPageBreak/>
        <w:t>Ajouter les nouveaux paragraphes 10.25 à 10.2</w:t>
      </w:r>
      <w:r w:rsidRPr="004243AA">
        <w:rPr>
          <w:rFonts w:asciiTheme="majorBidi" w:hAnsiTheme="majorBidi" w:cstheme="majorBidi"/>
          <w:i/>
          <w:iCs/>
          <w:lang w:val="fr-FR"/>
        </w:rPr>
        <w:t>9</w:t>
      </w:r>
      <w:r w:rsidRPr="004243AA">
        <w:rPr>
          <w:lang w:val="fr-FR"/>
        </w:rPr>
        <w:t>, libellés comme suit :</w:t>
      </w:r>
    </w:p>
    <w:p w:rsidR="00251905" w:rsidRPr="004243AA" w:rsidRDefault="00251905" w:rsidP="00251905">
      <w:pPr>
        <w:pStyle w:val="SingleTxtG"/>
        <w:ind w:left="2268" w:hanging="1134"/>
        <w:rPr>
          <w:lang w:val="fr-FR"/>
        </w:rPr>
      </w:pPr>
      <w:r w:rsidRPr="004243AA">
        <w:rPr>
          <w:rFonts w:asciiTheme="majorBidi" w:hAnsiTheme="majorBidi" w:cstheme="majorBidi"/>
          <w:bCs/>
          <w:iCs/>
          <w:lang w:val="fr-FR"/>
        </w:rPr>
        <w:t>« </w:t>
      </w:r>
      <w:r w:rsidRPr="004243AA">
        <w:rPr>
          <w:lang w:val="fr-FR"/>
        </w:rPr>
        <w:t>10.25</w:t>
      </w:r>
      <w:r w:rsidRPr="004243AA">
        <w:rPr>
          <w:lang w:val="fr-FR"/>
        </w:rPr>
        <w:tab/>
        <w:t>À compter de la date officielle d’entrée en vigueur de la série 09 d’amendements, aucune Partie contractante appliquant le présent Règlement ne pourra refuser d’accorder ou d’accepter une homologation de type en vertu dudit Règlement tel que modifié par la série 09 d’amendements.</w:t>
      </w:r>
    </w:p>
    <w:p w:rsidR="00251905" w:rsidRPr="004243AA" w:rsidRDefault="00251905" w:rsidP="00251905">
      <w:pPr>
        <w:pStyle w:val="SingleTxtG"/>
        <w:ind w:left="2268" w:hanging="1134"/>
        <w:rPr>
          <w:lang w:val="fr-FR"/>
        </w:rPr>
      </w:pPr>
      <w:r w:rsidRPr="004243AA">
        <w:rPr>
          <w:lang w:val="fr-FR"/>
        </w:rPr>
        <w:t>10.26</w:t>
      </w:r>
      <w:r w:rsidRPr="004243AA">
        <w:rPr>
          <w:lang w:val="fr-FR"/>
        </w:rPr>
        <w:tab/>
        <w:t>À compter du 1</w:t>
      </w:r>
      <w:r w:rsidRPr="004243AA">
        <w:rPr>
          <w:vertAlign w:val="superscript"/>
          <w:lang w:val="fr-FR"/>
        </w:rPr>
        <w:t>er</w:t>
      </w:r>
      <w:r w:rsidRPr="004243AA">
        <w:rPr>
          <w:lang w:val="fr-FR"/>
        </w:rPr>
        <w:t xml:space="preserve"> septembre</w:t>
      </w:r>
      <w:r>
        <w:rPr>
          <w:lang w:val="fr-FR"/>
        </w:rPr>
        <w:t xml:space="preserve"> </w:t>
      </w:r>
      <w:r w:rsidRPr="004243AA">
        <w:rPr>
          <w:lang w:val="fr-FR"/>
        </w:rPr>
        <w:t xml:space="preserve">2023, </w:t>
      </w:r>
      <w:r w:rsidRPr="004243AA">
        <w:rPr>
          <w:rFonts w:eastAsia="Calibri"/>
          <w:lang w:val="fr-FR"/>
        </w:rPr>
        <w:t>les Parties contractantes appliquant le présent Règlement ne seront plus tenues d’accepter les homologations de type établies conformément aux précédentes séries d’amendements et délivrées pour la première fois après le 1</w:t>
      </w:r>
      <w:r w:rsidRPr="004243AA">
        <w:rPr>
          <w:rFonts w:eastAsia="Calibri"/>
          <w:vertAlign w:val="superscript"/>
          <w:lang w:val="fr-FR"/>
        </w:rPr>
        <w:t>er</w:t>
      </w:r>
      <w:r w:rsidRPr="004243AA">
        <w:rPr>
          <w:rFonts w:eastAsia="Calibri"/>
          <w:lang w:val="fr-FR"/>
        </w:rPr>
        <w:t> septembre</w:t>
      </w:r>
      <w:r w:rsidRPr="004243AA">
        <w:rPr>
          <w:lang w:val="fr-FR"/>
        </w:rPr>
        <w:t xml:space="preserve"> 2023.</w:t>
      </w:r>
    </w:p>
    <w:p w:rsidR="00251905" w:rsidRPr="004243AA" w:rsidRDefault="00251905" w:rsidP="00251905">
      <w:pPr>
        <w:pStyle w:val="SingleTxtG"/>
        <w:ind w:left="2268" w:hanging="1134"/>
        <w:rPr>
          <w:lang w:val="fr-FR"/>
        </w:rPr>
      </w:pPr>
      <w:r w:rsidRPr="004243AA">
        <w:rPr>
          <w:lang w:val="fr-FR"/>
        </w:rPr>
        <w:t>10.27</w:t>
      </w:r>
      <w:r w:rsidRPr="004243AA">
        <w:rPr>
          <w:lang w:val="fr-FR"/>
        </w:rPr>
        <w:tab/>
        <w:t>Jusqu’au 1</w:t>
      </w:r>
      <w:r w:rsidRPr="004243AA">
        <w:rPr>
          <w:vertAlign w:val="superscript"/>
          <w:lang w:val="fr-FR"/>
        </w:rPr>
        <w:t>er</w:t>
      </w:r>
      <w:r w:rsidRPr="004243AA">
        <w:rPr>
          <w:lang w:val="fr-FR"/>
        </w:rPr>
        <w:t xml:space="preserve"> septembre 2025, </w:t>
      </w:r>
      <w:r w:rsidRPr="004243AA">
        <w:rPr>
          <w:rFonts w:eastAsia="Calibri"/>
          <w:lang w:val="fr-FR"/>
        </w:rPr>
        <w:t xml:space="preserve">les Parties contractantes appliquant le présent Règlement seront tenues d’accepter les homologations de type établies conformément aux précédentes séries d’amendements </w:t>
      </w:r>
      <w:r>
        <w:rPr>
          <w:rFonts w:eastAsia="Calibri"/>
          <w:lang w:val="fr-FR"/>
        </w:rPr>
        <w:t xml:space="preserve">et </w:t>
      </w:r>
      <w:r w:rsidRPr="004243AA">
        <w:rPr>
          <w:rFonts w:eastAsia="Calibri"/>
          <w:lang w:val="fr-FR"/>
        </w:rPr>
        <w:t>délivrées pour la première fois avant le 1</w:t>
      </w:r>
      <w:r w:rsidRPr="004243AA">
        <w:rPr>
          <w:rFonts w:eastAsia="Calibri"/>
          <w:vertAlign w:val="superscript"/>
          <w:lang w:val="fr-FR"/>
        </w:rPr>
        <w:t>er</w:t>
      </w:r>
      <w:r w:rsidRPr="004243AA">
        <w:rPr>
          <w:rFonts w:eastAsia="Calibri"/>
          <w:lang w:val="fr-FR"/>
        </w:rPr>
        <w:t> septembre 2023</w:t>
      </w:r>
      <w:r w:rsidRPr="004243AA">
        <w:rPr>
          <w:lang w:val="fr-FR"/>
        </w:rPr>
        <w:t>.</w:t>
      </w:r>
    </w:p>
    <w:p w:rsidR="00251905" w:rsidRPr="004243AA" w:rsidRDefault="00251905" w:rsidP="00251905">
      <w:pPr>
        <w:pStyle w:val="SingleTxtG"/>
        <w:ind w:left="2268" w:hanging="1134"/>
        <w:rPr>
          <w:lang w:val="fr-FR"/>
        </w:rPr>
      </w:pPr>
      <w:r w:rsidRPr="004243AA">
        <w:rPr>
          <w:lang w:val="fr-FR"/>
        </w:rPr>
        <w:t>10.28</w:t>
      </w:r>
      <w:r w:rsidRPr="004243AA">
        <w:rPr>
          <w:lang w:val="fr-FR"/>
        </w:rPr>
        <w:tab/>
        <w:t>À compter du 1</w:t>
      </w:r>
      <w:r w:rsidRPr="004243AA">
        <w:rPr>
          <w:vertAlign w:val="superscript"/>
          <w:lang w:val="fr-FR"/>
        </w:rPr>
        <w:t>er</w:t>
      </w:r>
      <w:r w:rsidRPr="004243AA">
        <w:rPr>
          <w:lang w:val="fr-FR"/>
        </w:rPr>
        <w:t> septembre 2025, les Parties contractantes appliquant le présent Règlement ne seront plus tenues d’accepter les homologations de type délivrées au titre des précédentes séries d’amendements audit Règlement.</w:t>
      </w:r>
    </w:p>
    <w:p w:rsidR="00251905" w:rsidRPr="004243AA" w:rsidRDefault="00251905" w:rsidP="00251905">
      <w:pPr>
        <w:pStyle w:val="SingleTxtG"/>
        <w:ind w:left="2268" w:hanging="1134"/>
        <w:rPr>
          <w:lang w:val="fr-FR"/>
        </w:rPr>
      </w:pPr>
      <w:r w:rsidRPr="004243AA">
        <w:rPr>
          <w:lang w:val="fr-FR"/>
        </w:rPr>
        <w:t>10.29</w:t>
      </w:r>
      <w:r w:rsidRPr="004243AA">
        <w:rPr>
          <w:lang w:val="fr-FR"/>
        </w:rPr>
        <w:tab/>
        <w:t xml:space="preserve">Nonobstant les paragraphes 10.26 et 10.28, les Parties contractantes appliquant le présent Règlement doivent continuer d’accepter les homologations de type délivrées conformément aux séries 06, 07 et 08 d’amendements </w:t>
      </w:r>
      <w:r>
        <w:rPr>
          <w:lang w:val="fr-FR"/>
        </w:rPr>
        <w:t xml:space="preserve">pour les </w:t>
      </w:r>
      <w:r w:rsidRPr="004243AA">
        <w:rPr>
          <w:lang w:val="fr-FR"/>
        </w:rPr>
        <w:t>véhicules qui ne sont pas visés par la série 09 d’amendements.</w:t>
      </w:r>
      <w:r w:rsidRPr="004243AA">
        <w:rPr>
          <w:rFonts w:asciiTheme="majorBidi" w:hAnsiTheme="majorBidi" w:cstheme="majorBidi"/>
          <w:bCs/>
          <w:iCs/>
          <w:lang w:val="fr-FR"/>
        </w:rPr>
        <w:t> ».</w:t>
      </w:r>
    </w:p>
    <w:p w:rsidR="00251905" w:rsidRPr="004243AA" w:rsidRDefault="00251905" w:rsidP="00251905">
      <w:pPr>
        <w:pStyle w:val="SingleTxtG"/>
        <w:spacing w:before="240"/>
        <w:rPr>
          <w:rFonts w:asciiTheme="majorBidi" w:hAnsiTheme="majorBidi" w:cstheme="majorBidi"/>
          <w:i/>
          <w:lang w:val="fr-FR"/>
        </w:rPr>
      </w:pPr>
      <w:r w:rsidRPr="004243AA">
        <w:rPr>
          <w:i/>
          <w:lang w:val="fr-FR"/>
        </w:rPr>
        <w:t>Annexe 1, partie 1, appendice 1, ajouter le nouveau paragraphe 4.4</w:t>
      </w:r>
      <w:bookmarkStart w:id="2" w:name="_Hlk47165502"/>
      <w:r w:rsidRPr="004243AA">
        <w:rPr>
          <w:i/>
          <w:lang w:val="fr-FR"/>
        </w:rPr>
        <w:t>,</w:t>
      </w:r>
      <w:r w:rsidRPr="004243AA">
        <w:rPr>
          <w:lang w:val="fr-FR"/>
        </w:rPr>
        <w:t xml:space="preserve"> libellé comme suit :</w:t>
      </w:r>
      <w:bookmarkEnd w:id="2"/>
    </w:p>
    <w:p w:rsidR="00251905" w:rsidRPr="004243AA" w:rsidRDefault="00251905" w:rsidP="00251905">
      <w:pPr>
        <w:pStyle w:val="SingleTxtG"/>
        <w:ind w:left="2268" w:hanging="1134"/>
        <w:rPr>
          <w:rFonts w:asciiTheme="majorBidi" w:hAnsiTheme="majorBidi" w:cstheme="majorBidi"/>
          <w:bCs/>
          <w:iCs/>
          <w:lang w:val="fr-FR"/>
        </w:rPr>
      </w:pPr>
      <w:bookmarkStart w:id="3" w:name="_Hlk33794674"/>
      <w:r w:rsidRPr="004243AA">
        <w:rPr>
          <w:rFonts w:asciiTheme="majorBidi" w:hAnsiTheme="majorBidi" w:cstheme="majorBidi"/>
          <w:bCs/>
          <w:iCs/>
          <w:lang w:val="fr-FR"/>
        </w:rPr>
        <w:t>« 4.4</w:t>
      </w:r>
      <w:r w:rsidRPr="004243AA">
        <w:rPr>
          <w:rFonts w:asciiTheme="majorBidi" w:hAnsiTheme="majorBidi" w:cstheme="majorBidi"/>
          <w:bCs/>
          <w:iCs/>
          <w:lang w:val="fr-FR"/>
        </w:rPr>
        <w:tab/>
        <w:t>Température de référence pour le système de détection (conformément au paragraphe 7.5.1.5.1)</w:t>
      </w:r>
      <w:bookmarkEnd w:id="3"/>
      <w:r w:rsidRPr="004243AA">
        <w:rPr>
          <w:rFonts w:asciiTheme="majorBidi" w:hAnsiTheme="majorBidi" w:cstheme="majorBidi"/>
          <w:bCs/>
          <w:iCs/>
          <w:lang w:val="fr-FR"/>
        </w:rPr>
        <w:t> : ... ».</w:t>
      </w:r>
    </w:p>
    <w:p w:rsidR="00251905" w:rsidRPr="004243AA" w:rsidRDefault="00251905" w:rsidP="00251905">
      <w:pPr>
        <w:pStyle w:val="SingleTxtG"/>
        <w:tabs>
          <w:tab w:val="left" w:pos="8505"/>
        </w:tabs>
        <w:spacing w:before="240"/>
        <w:ind w:right="1133"/>
        <w:rPr>
          <w:rFonts w:asciiTheme="majorBidi" w:hAnsiTheme="majorBidi" w:cstheme="majorBidi"/>
          <w:lang w:val="fr-FR"/>
        </w:rPr>
      </w:pPr>
      <w:r w:rsidRPr="004243AA">
        <w:rPr>
          <w:i/>
          <w:lang w:val="fr-FR"/>
        </w:rPr>
        <w:t xml:space="preserve">Annexe 1, partie 1, appendice 3, </w:t>
      </w:r>
      <w:r w:rsidRPr="004243AA">
        <w:rPr>
          <w:i/>
          <w:iCs/>
          <w:lang w:val="fr-FR"/>
        </w:rPr>
        <w:t>ajouter le nouveau paragraphe 5,</w:t>
      </w:r>
      <w:r w:rsidRPr="004243AA">
        <w:rPr>
          <w:lang w:val="fr-FR"/>
        </w:rPr>
        <w:t xml:space="preserve"> libellé comme suit :</w:t>
      </w:r>
    </w:p>
    <w:p w:rsidR="00251905" w:rsidRPr="004243AA" w:rsidRDefault="00251905" w:rsidP="00251905">
      <w:pPr>
        <w:tabs>
          <w:tab w:val="left" w:pos="1418"/>
          <w:tab w:val="left" w:pos="2268"/>
          <w:tab w:val="left" w:pos="8505"/>
        </w:tabs>
        <w:spacing w:line="240" w:lineRule="auto"/>
        <w:ind w:left="2268" w:right="1133" w:hanging="1134"/>
        <w:jc w:val="both"/>
        <w:rPr>
          <w:rFonts w:asciiTheme="majorBidi" w:hAnsiTheme="majorBidi" w:cstheme="majorBidi"/>
          <w:bCs/>
          <w:i/>
          <w:lang w:val="fr-FR"/>
        </w:rPr>
      </w:pPr>
      <w:r w:rsidRPr="004243AA">
        <w:rPr>
          <w:iCs/>
          <w:lang w:val="fr-FR"/>
        </w:rPr>
        <w:t>« 5.</w:t>
      </w:r>
      <w:r w:rsidRPr="004243AA">
        <w:rPr>
          <w:iCs/>
          <w:lang w:val="fr-FR"/>
        </w:rPr>
        <w:tab/>
        <w:t>Température de référence pour le système de détection (conformément au paragraphe 7.5.1.5.1) : ... ».</w:t>
      </w:r>
    </w:p>
    <w:p w:rsidR="00251905" w:rsidRPr="004243AA" w:rsidRDefault="00251905" w:rsidP="00251905">
      <w:pPr>
        <w:pStyle w:val="SingleTxtG"/>
        <w:spacing w:before="240"/>
        <w:rPr>
          <w:lang w:val="fr-FR"/>
        </w:rPr>
      </w:pPr>
      <w:r w:rsidRPr="004243AA">
        <w:rPr>
          <w:i/>
          <w:iCs/>
          <w:lang w:val="fr-FR"/>
        </w:rPr>
        <w:t xml:space="preserve">Annexe 2, </w:t>
      </w:r>
      <w:r w:rsidRPr="004243AA">
        <w:rPr>
          <w:lang w:val="fr-FR"/>
        </w:rPr>
        <w:t>lire :</w:t>
      </w:r>
    </w:p>
    <w:p w:rsidR="00251905" w:rsidRPr="004243AA" w:rsidRDefault="00251905" w:rsidP="00251905">
      <w:pPr>
        <w:pStyle w:val="HChG"/>
        <w:ind w:left="0" w:firstLine="0"/>
        <w:rPr>
          <w:lang w:val="fr-FR"/>
        </w:rPr>
      </w:pPr>
      <w:bookmarkStart w:id="4" w:name="_Toc381693798"/>
      <w:r w:rsidRPr="003336EE">
        <w:rPr>
          <w:b w:val="0"/>
          <w:bCs/>
          <w:sz w:val="20"/>
          <w:lang w:val="fr-FR"/>
        </w:rPr>
        <w:t>«</w:t>
      </w:r>
      <w:r>
        <w:rPr>
          <w:b w:val="0"/>
          <w:bCs/>
          <w:lang w:val="fr-FR"/>
        </w:rPr>
        <w:t> </w:t>
      </w:r>
      <w:r w:rsidRPr="004243AA">
        <w:rPr>
          <w:lang w:val="fr-FR"/>
        </w:rPr>
        <w:t>Annexe 2</w:t>
      </w:r>
      <w:bookmarkEnd w:id="4"/>
    </w:p>
    <w:p w:rsidR="00251905" w:rsidRPr="004243AA" w:rsidRDefault="00251905" w:rsidP="00251905">
      <w:pPr>
        <w:pStyle w:val="HChG"/>
        <w:ind w:firstLine="0"/>
        <w:rPr>
          <w:lang w:val="fr-FR"/>
        </w:rPr>
      </w:pPr>
      <w:r w:rsidRPr="004243AA">
        <w:rPr>
          <w:lang w:val="fr-FR"/>
        </w:rPr>
        <w:tab/>
        <w:t>Exemples de marque</w:t>
      </w:r>
      <w:r>
        <w:rPr>
          <w:lang w:val="fr-FR"/>
        </w:rPr>
        <w:t>s</w:t>
      </w:r>
      <w:r w:rsidRPr="004243AA">
        <w:rPr>
          <w:lang w:val="fr-FR"/>
        </w:rPr>
        <w:t xml:space="preserve"> d’homologation</w:t>
      </w:r>
    </w:p>
    <w:p w:rsidR="00251905" w:rsidRPr="004243AA" w:rsidRDefault="00251905" w:rsidP="00251905">
      <w:pPr>
        <w:pStyle w:val="SingleTxtG"/>
        <w:keepNext/>
        <w:keepLines/>
        <w:jc w:val="left"/>
        <w:rPr>
          <w:lang w:val="fr-FR"/>
        </w:rPr>
      </w:pPr>
      <w:bookmarkStart w:id="5" w:name="_Toc381693800"/>
      <w:r w:rsidRPr="004243AA">
        <w:rPr>
          <w:lang w:val="fr-FR"/>
        </w:rPr>
        <w:t>Modèle A</w:t>
      </w:r>
      <w:bookmarkEnd w:id="5"/>
      <w:r>
        <w:rPr>
          <w:lang w:val="fr-FR"/>
        </w:rPr>
        <w:br/>
      </w:r>
      <w:r w:rsidRPr="004243AA">
        <w:rPr>
          <w:lang w:val="fr-FR"/>
        </w:rPr>
        <w:t>(Voir par. 4.4 du présent Règlement)</w:t>
      </w:r>
    </w:p>
    <w:p w:rsidR="00251905" w:rsidRPr="004243AA" w:rsidRDefault="00251905" w:rsidP="00251905">
      <w:pPr>
        <w:pStyle w:val="SingleTxtG"/>
        <w:tabs>
          <w:tab w:val="left" w:pos="6800"/>
        </w:tabs>
        <w:rPr>
          <w:caps/>
          <w:lang w:val="fr-FR"/>
        </w:rPr>
      </w:pPr>
      <w:r w:rsidRPr="004243AA">
        <w:rPr>
          <w:caps/>
          <w:noProof/>
          <w:lang w:val="fr-FR"/>
        </w:rPr>
        <mc:AlternateContent>
          <mc:Choice Requires="wps">
            <w:drawing>
              <wp:anchor distT="45720" distB="45720" distL="114300" distR="114300" simplePos="0" relativeHeight="251659264" behindDoc="0" locked="0" layoutInCell="1" allowOverlap="1" wp14:anchorId="2B360A6B" wp14:editId="533A7D11">
                <wp:simplePos x="0" y="0"/>
                <wp:positionH relativeFrom="column">
                  <wp:posOffset>3776847</wp:posOffset>
                </wp:positionH>
                <wp:positionV relativeFrom="paragraph">
                  <wp:posOffset>312325</wp:posOffset>
                </wp:positionV>
                <wp:extent cx="1235123" cy="1404620"/>
                <wp:effectExtent l="0" t="0" r="3175"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123" cy="1404620"/>
                        </a:xfrm>
                        <a:prstGeom prst="rect">
                          <a:avLst/>
                        </a:prstGeom>
                        <a:solidFill>
                          <a:srgbClr val="FFFFFF"/>
                        </a:solidFill>
                        <a:ln w="9525">
                          <a:noFill/>
                          <a:miter lim="800000"/>
                          <a:headEnd/>
                          <a:tailEnd/>
                        </a:ln>
                      </wps:spPr>
                      <wps:txbx>
                        <w:txbxContent>
                          <w:p w:rsidR="00251905" w:rsidRPr="006B40F3" w:rsidRDefault="00251905" w:rsidP="00251905">
                            <w:pPr>
                              <w:bidi/>
                              <w:spacing w:line="0" w:lineRule="atLeast"/>
                              <w:jc w:val="center"/>
                              <w:rPr>
                                <w:rFonts w:asciiTheme="minorBidi" w:hAnsiTheme="minorBidi" w:cstheme="minorBidi"/>
                                <w:sz w:val="48"/>
                                <w:szCs w:val="48"/>
                              </w:rPr>
                            </w:pPr>
                            <w:r w:rsidRPr="006B40F3">
                              <w:rPr>
                                <w:rFonts w:asciiTheme="minorBidi" w:hAnsiTheme="minorBidi" w:cstheme="minorBidi"/>
                                <w:sz w:val="48"/>
                                <w:szCs w:val="48"/>
                              </w:rPr>
                              <w:t>09243</w:t>
                            </w:r>
                            <w:r>
                              <w:rPr>
                                <w:rFonts w:asciiTheme="minorBidi" w:hAnsiTheme="minorBidi" w:cstheme="minorBidi"/>
                                <w:sz w:val="48"/>
                                <w:szCs w:val="48"/>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360A6B" id="_x0000_t202" coordsize="21600,21600" o:spt="202" path="m,l,21600r21600,l21600,xe">
                <v:stroke joinstyle="miter"/>
                <v:path gradientshapeok="t" o:connecttype="rect"/>
              </v:shapetype>
              <v:shape id="Text Box 2" o:spid="_x0000_s1026" type="#_x0000_t202" style="position:absolute;left:0;text-align:left;margin-left:297.4pt;margin-top:24.6pt;width:97.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" stroked="f">
                <v:textbox style="mso-fit-shape-to-text:t">
                  <w:txbxContent>
                    <w:p w:rsidR="00251905" w:rsidRPr="006B40F3" w:rsidRDefault="00251905" w:rsidP="00251905">
                      <w:pPr>
                        <w:bidi/>
                        <w:spacing w:line="0" w:lineRule="atLeast"/>
                        <w:jc w:val="center"/>
                        <w:rPr>
                          <w:rFonts w:asciiTheme="minorBidi" w:hAnsiTheme="minorBidi" w:cstheme="minorBidi"/>
                          <w:sz w:val="48"/>
                          <w:szCs w:val="48"/>
                        </w:rPr>
                      </w:pPr>
                      <w:r w:rsidRPr="006B40F3">
                        <w:rPr>
                          <w:rFonts w:asciiTheme="minorBidi" w:hAnsiTheme="minorBidi" w:cstheme="minorBidi"/>
                          <w:sz w:val="48"/>
                          <w:szCs w:val="48"/>
                        </w:rPr>
                        <w:t>09243</w:t>
                      </w:r>
                      <w:r>
                        <w:rPr>
                          <w:rFonts w:asciiTheme="minorBidi" w:hAnsiTheme="minorBidi" w:cstheme="minorBidi"/>
                          <w:sz w:val="48"/>
                          <w:szCs w:val="48"/>
                        </w:rPr>
                        <w:t>9</w:t>
                      </w:r>
                    </w:p>
                  </w:txbxContent>
                </v:textbox>
              </v:shape>
            </w:pict>
          </mc:Fallback>
        </mc:AlternateContent>
      </w:r>
      <w:r w:rsidRPr="004243AA">
        <w:rPr>
          <w:caps/>
          <w:noProof/>
          <w:lang w:val="fr-FR"/>
        </w:rPr>
        <w:drawing>
          <wp:inline distT="0" distB="0" distL="0" distR="0" wp14:anchorId="05DCD8FC" wp14:editId="047CECEE">
            <wp:extent cx="4676775" cy="914400"/>
            <wp:effectExtent l="0" t="0" r="9525" b="0"/>
            <wp:docPr id="4" name="Picture 4" descr="Reg107 Annex2 Model A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107 Annex2 Model A fr"/>
                    <pic:cNvPicPr>
                      <a:picLocks noChangeAspect="1" noChangeArrowheads="1"/>
                    </pic:cNvPicPr>
                  </pic:nvPicPr>
                  <pic:blipFill>
                    <a:blip r:embed="rId8" cstate="print">
                      <a:extLst>
                        <a:ext uri="{28A0092B-C50C-407E-A947-70E740481C1C}">
                          <a14:useLocalDpi xmlns:a14="http://schemas.microsoft.com/office/drawing/2010/main" val="0"/>
                        </a:ext>
                      </a:extLst>
                    </a:blip>
                    <a:srcRect t="17282"/>
                    <a:stretch>
                      <a:fillRect/>
                    </a:stretch>
                  </pic:blipFill>
                  <pic:spPr bwMode="auto">
                    <a:xfrm>
                      <a:off x="0" y="0"/>
                      <a:ext cx="4676775" cy="914400"/>
                    </a:xfrm>
                    <a:prstGeom prst="rect">
                      <a:avLst/>
                    </a:prstGeom>
                    <a:noFill/>
                    <a:ln>
                      <a:noFill/>
                    </a:ln>
                  </pic:spPr>
                </pic:pic>
              </a:graphicData>
            </a:graphic>
          </wp:inline>
        </w:drawing>
      </w:r>
    </w:p>
    <w:p w:rsidR="00251905" w:rsidRPr="004243AA" w:rsidRDefault="00251905" w:rsidP="00251905">
      <w:pPr>
        <w:pStyle w:val="SingleTxtG"/>
        <w:tabs>
          <w:tab w:val="left" w:pos="6800"/>
        </w:tabs>
        <w:jc w:val="right"/>
        <w:rPr>
          <w:caps/>
          <w:lang w:val="fr-FR"/>
        </w:rPr>
      </w:pPr>
      <w:r w:rsidRPr="004243AA">
        <w:rPr>
          <w:lang w:val="fr-FR"/>
        </w:rPr>
        <w:t>a = 8 mm min</w:t>
      </w:r>
    </w:p>
    <w:p w:rsidR="00251905" w:rsidRPr="004243AA" w:rsidRDefault="00251905" w:rsidP="00251905">
      <w:pPr>
        <w:pStyle w:val="SingleTxtG"/>
        <w:tabs>
          <w:tab w:val="left" w:pos="6800"/>
        </w:tabs>
        <w:rPr>
          <w:sz w:val="2"/>
          <w:szCs w:val="2"/>
          <w:lang w:val="fr-FR"/>
        </w:rPr>
      </w:pPr>
    </w:p>
    <w:p w:rsidR="00251905" w:rsidRPr="004243AA" w:rsidRDefault="00251905" w:rsidP="00251905">
      <w:pPr>
        <w:pStyle w:val="SingleTxtG"/>
        <w:spacing w:before="120"/>
        <w:rPr>
          <w:lang w:val="fr-FR"/>
        </w:rPr>
      </w:pPr>
      <w:r w:rsidRPr="004243AA">
        <w:rPr>
          <w:lang w:val="fr-FR"/>
        </w:rPr>
        <w:tab/>
      </w:r>
      <w:r w:rsidRPr="004243AA">
        <w:rPr>
          <w:lang w:val="fr-FR"/>
        </w:rPr>
        <w:tab/>
        <w:t xml:space="preserve">La marque d’homologation ci-dessus, apposée sur un véhicule, indique que le type de ce véhicule a été homologué aux Pays-Bas (E4) </w:t>
      </w:r>
      <w:r w:rsidRPr="005778BB">
        <w:rPr>
          <w:lang w:val="fr-FR"/>
        </w:rPr>
        <w:t>en ce qui concerne les caractéristiques générales de construction pour les véhicules de la classe III</w:t>
      </w:r>
      <w:r w:rsidRPr="004243AA">
        <w:rPr>
          <w:lang w:val="fr-FR"/>
        </w:rPr>
        <w:t>, en application du Règlement ONU n</w:t>
      </w:r>
      <w:r w:rsidRPr="004243AA">
        <w:rPr>
          <w:vertAlign w:val="superscript"/>
          <w:lang w:val="fr-FR"/>
        </w:rPr>
        <w:t>o</w:t>
      </w:r>
      <w:r>
        <w:rPr>
          <w:vertAlign w:val="superscript"/>
          <w:lang w:val="fr-FR"/>
        </w:rPr>
        <w:t> </w:t>
      </w:r>
      <w:r w:rsidRPr="004243AA">
        <w:rPr>
          <w:lang w:val="fr-FR"/>
        </w:rPr>
        <w:t>107, sous le numéro</w:t>
      </w:r>
      <w:r>
        <w:rPr>
          <w:lang w:val="fr-FR"/>
        </w:rPr>
        <w:t xml:space="preserve"> d’homologation</w:t>
      </w:r>
      <w:r w:rsidRPr="004243AA">
        <w:rPr>
          <w:lang w:val="fr-FR"/>
        </w:rPr>
        <w:t xml:space="preserve"> 092439. </w:t>
      </w:r>
      <w:r w:rsidRPr="005778BB">
        <w:rPr>
          <w:lang w:val="fr-FR"/>
        </w:rPr>
        <w:t xml:space="preserve">Le numéro d’homologation indique que l’homologation a été accordée conformément aux dispositions </w:t>
      </w:r>
      <w:r w:rsidRPr="004243AA">
        <w:rPr>
          <w:lang w:val="fr-FR"/>
        </w:rPr>
        <w:t xml:space="preserve">du Règlement ONU </w:t>
      </w:r>
      <w:r w:rsidRPr="00251905">
        <w:rPr>
          <w:rFonts w:eastAsia="MS Mincho"/>
          <w:lang w:val="fr-FR"/>
        </w:rPr>
        <w:t>n</w:t>
      </w:r>
      <w:r w:rsidRPr="00251905">
        <w:rPr>
          <w:rFonts w:eastAsia="MS Mincho"/>
          <w:vertAlign w:val="superscript"/>
          <w:lang w:val="fr-FR"/>
        </w:rPr>
        <w:t>o</w:t>
      </w:r>
      <w:r w:rsidRPr="00251905">
        <w:rPr>
          <w:rFonts w:eastAsia="MS Mincho"/>
          <w:lang w:val="fr-FR"/>
        </w:rPr>
        <w:t> </w:t>
      </w:r>
      <w:r w:rsidRPr="004243AA">
        <w:rPr>
          <w:lang w:val="fr-FR"/>
        </w:rPr>
        <w:t xml:space="preserve">107 tel que modifié par la série 09 d’amendements. </w:t>
      </w:r>
      <w:r>
        <w:rPr>
          <w:lang w:val="fr-FR"/>
        </w:rPr>
        <w:t xml:space="preserve"> </w:t>
      </w:r>
    </w:p>
    <w:p w:rsidR="00251905" w:rsidRPr="004243AA" w:rsidRDefault="00251905" w:rsidP="00251905">
      <w:pPr>
        <w:pStyle w:val="SingleTxtG"/>
        <w:keepNext/>
        <w:keepLines/>
        <w:jc w:val="left"/>
        <w:rPr>
          <w:lang w:val="fr-FR"/>
        </w:rPr>
      </w:pPr>
      <w:bookmarkStart w:id="6" w:name="_Toc381693801"/>
      <w:r w:rsidRPr="004243AA">
        <w:rPr>
          <w:lang w:val="fr-FR"/>
        </w:rPr>
        <w:lastRenderedPageBreak/>
        <w:t>Modèle B</w:t>
      </w:r>
      <w:bookmarkEnd w:id="6"/>
      <w:r>
        <w:rPr>
          <w:lang w:val="fr-FR"/>
        </w:rPr>
        <w:br/>
      </w:r>
      <w:r w:rsidRPr="004243AA">
        <w:rPr>
          <w:lang w:val="fr-FR"/>
        </w:rPr>
        <w:t>(Voir par.</w:t>
      </w:r>
      <w:r>
        <w:rPr>
          <w:lang w:val="fr-FR"/>
        </w:rPr>
        <w:t xml:space="preserve"> </w:t>
      </w:r>
      <w:r w:rsidRPr="004243AA">
        <w:rPr>
          <w:lang w:val="fr-FR"/>
        </w:rPr>
        <w:t>4.5 du présent Règlement)</w:t>
      </w:r>
    </w:p>
    <w:p w:rsidR="00251905" w:rsidRPr="004243AA" w:rsidRDefault="00251905" w:rsidP="00251905">
      <w:pPr>
        <w:rPr>
          <w:sz w:val="2"/>
          <w:szCs w:val="2"/>
          <w:lang w:val="fr-FR"/>
        </w:rPr>
      </w:pPr>
    </w:p>
    <w:p w:rsidR="00251905" w:rsidRPr="004243AA" w:rsidRDefault="00251905" w:rsidP="00251905">
      <w:pPr>
        <w:ind w:left="1134"/>
        <w:rPr>
          <w:sz w:val="2"/>
          <w:szCs w:val="2"/>
          <w:lang w:val="fr-FR"/>
        </w:rPr>
      </w:pPr>
      <w:r w:rsidRPr="004243AA">
        <w:rPr>
          <w:noProof/>
          <w:lang w:val="fr-FR"/>
        </w:rPr>
        <w:drawing>
          <wp:anchor distT="0" distB="0" distL="114300" distR="114300" simplePos="0" relativeHeight="251660288" behindDoc="0" locked="0" layoutInCell="1" allowOverlap="1" wp14:anchorId="479A0E79" wp14:editId="7C2A11A5">
            <wp:simplePos x="0" y="0"/>
            <wp:positionH relativeFrom="column">
              <wp:posOffset>3829050</wp:posOffset>
            </wp:positionH>
            <wp:positionV relativeFrom="paragraph">
              <wp:posOffset>304800</wp:posOffset>
            </wp:positionV>
            <wp:extent cx="1047750" cy="285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47750" cy="285750"/>
                    </a:xfrm>
                    <a:prstGeom prst="rect">
                      <a:avLst/>
                    </a:prstGeom>
                  </pic:spPr>
                </pic:pic>
              </a:graphicData>
            </a:graphic>
          </wp:anchor>
        </w:drawing>
      </w:r>
      <w:r w:rsidRPr="004243AA">
        <w:rPr>
          <w:noProof/>
          <w:lang w:val="fr-FR"/>
        </w:rPr>
        <w:drawing>
          <wp:inline distT="0" distB="0" distL="0" distR="0" wp14:anchorId="74F3D109" wp14:editId="48A74E44">
            <wp:extent cx="5029200" cy="1009650"/>
            <wp:effectExtent l="0" t="0" r="0" b="0"/>
            <wp:docPr id="5" name="Picture 3" descr="Reg107 Annex2 Model B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107 Annex2 Model B fr"/>
                    <pic:cNvPicPr>
                      <a:picLocks noChangeAspect="1" noChangeArrowheads="1"/>
                    </pic:cNvPicPr>
                  </pic:nvPicPr>
                  <pic:blipFill>
                    <a:blip r:embed="rId10" cstate="print">
                      <a:extLst>
                        <a:ext uri="{28A0092B-C50C-407E-A947-70E740481C1C}">
                          <a14:useLocalDpi xmlns:a14="http://schemas.microsoft.com/office/drawing/2010/main" val="0"/>
                        </a:ext>
                      </a:extLst>
                    </a:blip>
                    <a:srcRect t="12053"/>
                    <a:stretch>
                      <a:fillRect/>
                    </a:stretch>
                  </pic:blipFill>
                  <pic:spPr bwMode="auto">
                    <a:xfrm>
                      <a:off x="0" y="0"/>
                      <a:ext cx="5029200" cy="1009650"/>
                    </a:xfrm>
                    <a:prstGeom prst="rect">
                      <a:avLst/>
                    </a:prstGeom>
                    <a:noFill/>
                    <a:ln>
                      <a:noFill/>
                    </a:ln>
                  </pic:spPr>
                </pic:pic>
              </a:graphicData>
            </a:graphic>
          </wp:inline>
        </w:drawing>
      </w:r>
    </w:p>
    <w:p w:rsidR="00251905" w:rsidRPr="004243AA" w:rsidRDefault="00251905" w:rsidP="00251905">
      <w:pPr>
        <w:pStyle w:val="SingleTxtG"/>
        <w:jc w:val="right"/>
        <w:rPr>
          <w:lang w:val="fr-FR"/>
        </w:rPr>
      </w:pPr>
      <w:r w:rsidRPr="004243AA">
        <w:rPr>
          <w:lang w:val="fr-FR"/>
        </w:rPr>
        <w:t xml:space="preserve">a = 8 mm min </w:t>
      </w:r>
    </w:p>
    <w:p w:rsidR="00251905" w:rsidRPr="004243AA" w:rsidRDefault="00251905" w:rsidP="00251905">
      <w:pPr>
        <w:pStyle w:val="SingleTxtG"/>
        <w:jc w:val="right"/>
        <w:rPr>
          <w:sz w:val="2"/>
          <w:szCs w:val="2"/>
          <w:lang w:val="fr-FR"/>
        </w:rPr>
      </w:pPr>
    </w:p>
    <w:p w:rsidR="00251905" w:rsidRPr="004243AA" w:rsidRDefault="00251905" w:rsidP="00251905">
      <w:pPr>
        <w:pStyle w:val="SingleTxtG"/>
        <w:rPr>
          <w:lang w:val="fr-FR"/>
        </w:rPr>
      </w:pPr>
      <w:r w:rsidRPr="004243AA">
        <w:rPr>
          <w:lang w:val="fr-FR"/>
        </w:rPr>
        <w:tab/>
      </w:r>
      <w:r w:rsidRPr="004243AA">
        <w:rPr>
          <w:lang w:val="fr-FR"/>
        </w:rPr>
        <w:tab/>
        <w:t>La marque d’homologation ci-dessus, apposée sur un véhicule, indique que le type de ce véhicule a été homologué aux Pays-Bas (E4) en application des Règlements ONU n</w:t>
      </w:r>
      <w:r w:rsidRPr="004243AA">
        <w:rPr>
          <w:vertAlign w:val="superscript"/>
          <w:lang w:val="fr-FR"/>
        </w:rPr>
        <w:t>os</w:t>
      </w:r>
      <w:r w:rsidRPr="004243AA">
        <w:rPr>
          <w:lang w:val="fr-FR"/>
        </w:rPr>
        <w:t xml:space="preserve"> 107 et 43</w:t>
      </w:r>
      <w:r w:rsidRPr="00251905">
        <w:rPr>
          <w:rStyle w:val="Appelnotedebasdep"/>
          <w:sz w:val="20"/>
          <w:vertAlign w:val="baseline"/>
          <w:lang w:val="fr-FR"/>
        </w:rPr>
        <w:footnoteReference w:customMarkFollows="1" w:id="4"/>
        <w:t>*</w:t>
      </w:r>
      <w:r w:rsidRPr="004243AA">
        <w:rPr>
          <w:lang w:val="fr-FR"/>
        </w:rPr>
        <w:t xml:space="preserve">. Les deux premiers chiffres </w:t>
      </w:r>
      <w:r>
        <w:rPr>
          <w:lang w:val="fr-FR"/>
        </w:rPr>
        <w:t>du</w:t>
      </w:r>
      <w:r w:rsidRPr="004243AA">
        <w:rPr>
          <w:lang w:val="fr-FR"/>
        </w:rPr>
        <w:t xml:space="preserve"> numéro d’homologation </w:t>
      </w:r>
      <w:r w:rsidRPr="00132012">
        <w:rPr>
          <w:lang w:val="fr-FR"/>
        </w:rPr>
        <w:t>signifient qu</w:t>
      </w:r>
      <w:r>
        <w:rPr>
          <w:lang w:val="fr-FR"/>
        </w:rPr>
        <w:t>’</w:t>
      </w:r>
      <w:r w:rsidRPr="00132012">
        <w:rPr>
          <w:lang w:val="fr-FR"/>
        </w:rPr>
        <w:t>aux dates de délivrance des homologations respectives</w:t>
      </w:r>
      <w:r w:rsidRPr="004243AA">
        <w:rPr>
          <w:lang w:val="fr-FR"/>
        </w:rPr>
        <w:t>, le Règlement ONU n</w:t>
      </w:r>
      <w:r w:rsidRPr="004243AA">
        <w:rPr>
          <w:vertAlign w:val="superscript"/>
          <w:lang w:val="fr-FR"/>
        </w:rPr>
        <w:t>o</w:t>
      </w:r>
      <w:r w:rsidRPr="004243AA">
        <w:rPr>
          <w:lang w:val="fr-FR"/>
        </w:rPr>
        <w:t xml:space="preserve"> 107 </w:t>
      </w:r>
      <w:r>
        <w:rPr>
          <w:lang w:val="fr-FR"/>
        </w:rPr>
        <w:t>comprenait</w:t>
      </w:r>
      <w:r w:rsidRPr="004243AA">
        <w:rPr>
          <w:lang w:val="fr-FR"/>
        </w:rPr>
        <w:t xml:space="preserve"> la série 09 d’amendements et le Règlement ONU n</w:t>
      </w:r>
      <w:r w:rsidRPr="004243AA">
        <w:rPr>
          <w:vertAlign w:val="superscript"/>
          <w:lang w:val="fr-FR"/>
        </w:rPr>
        <w:t>o</w:t>
      </w:r>
      <w:r w:rsidRPr="004243AA">
        <w:rPr>
          <w:lang w:val="fr-FR"/>
        </w:rPr>
        <w:t xml:space="preserve"> 43 était sous sa forme </w:t>
      </w:r>
      <w:r>
        <w:rPr>
          <w:lang w:val="fr-FR"/>
        </w:rPr>
        <w:t>initiale</w:t>
      </w:r>
      <w:r w:rsidRPr="004243AA">
        <w:rPr>
          <w:lang w:val="fr-FR"/>
        </w:rPr>
        <w:t>.</w:t>
      </w:r>
      <w:r>
        <w:rPr>
          <w:lang w:val="fr-FR"/>
        </w:rPr>
        <w:t xml:space="preserve"> </w:t>
      </w:r>
    </w:p>
    <w:p w:rsidR="00251905" w:rsidRPr="004243AA" w:rsidRDefault="00251905" w:rsidP="00251905">
      <w:pPr>
        <w:pStyle w:val="SingleTxtG"/>
        <w:keepNext/>
        <w:keepLines/>
        <w:jc w:val="left"/>
        <w:rPr>
          <w:lang w:val="fr-FR"/>
        </w:rPr>
      </w:pPr>
      <w:bookmarkStart w:id="7" w:name="_Toc381693802"/>
      <w:r w:rsidRPr="004243AA">
        <w:rPr>
          <w:lang w:val="fr-FR"/>
        </w:rPr>
        <w:t>Modèle C</w:t>
      </w:r>
      <w:bookmarkEnd w:id="7"/>
      <w:r>
        <w:rPr>
          <w:lang w:val="fr-FR"/>
        </w:rPr>
        <w:br/>
      </w:r>
      <w:r w:rsidRPr="004243AA">
        <w:rPr>
          <w:lang w:val="fr-FR"/>
        </w:rPr>
        <w:t>(Voir par.</w:t>
      </w:r>
      <w:r>
        <w:rPr>
          <w:lang w:val="fr-FR"/>
        </w:rPr>
        <w:t xml:space="preserve"> </w:t>
      </w:r>
      <w:r w:rsidRPr="004243AA">
        <w:rPr>
          <w:lang w:val="fr-FR"/>
        </w:rPr>
        <w:t>4.4.3 du présent Règlement)</w:t>
      </w:r>
    </w:p>
    <w:p w:rsidR="00251905" w:rsidRPr="004243AA" w:rsidRDefault="00251905" w:rsidP="00251905">
      <w:pPr>
        <w:pStyle w:val="SingleTxtG"/>
        <w:keepNext/>
        <w:keepLines/>
        <w:spacing w:after="0"/>
        <w:rPr>
          <w:sz w:val="2"/>
          <w:szCs w:val="2"/>
          <w:lang w:val="fr-FR"/>
        </w:rPr>
      </w:pPr>
    </w:p>
    <w:p w:rsidR="00251905" w:rsidRPr="004243AA" w:rsidRDefault="00251905" w:rsidP="00251905">
      <w:pPr>
        <w:pStyle w:val="SingleTxtG"/>
        <w:rPr>
          <w:lang w:val="fr-FR"/>
        </w:rPr>
      </w:pPr>
      <w:r w:rsidRPr="004243AA">
        <w:rPr>
          <w:noProof/>
          <w:lang w:val="fr-FR"/>
        </w:rPr>
        <w:drawing>
          <wp:anchor distT="0" distB="0" distL="114300" distR="114300" simplePos="0" relativeHeight="251661312" behindDoc="0" locked="0" layoutInCell="1" allowOverlap="1" wp14:anchorId="55725441" wp14:editId="1E171B61">
            <wp:simplePos x="0" y="0"/>
            <wp:positionH relativeFrom="column">
              <wp:posOffset>3966210</wp:posOffset>
            </wp:positionH>
            <wp:positionV relativeFrom="paragraph">
              <wp:posOffset>302895</wp:posOffset>
            </wp:positionV>
            <wp:extent cx="1047750" cy="285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47750" cy="285750"/>
                    </a:xfrm>
                    <a:prstGeom prst="rect">
                      <a:avLst/>
                    </a:prstGeom>
                  </pic:spPr>
                </pic:pic>
              </a:graphicData>
            </a:graphic>
          </wp:anchor>
        </w:drawing>
      </w:r>
      <w:r w:rsidRPr="004243AA">
        <w:rPr>
          <w:noProof/>
          <w:spacing w:val="-2"/>
          <w:lang w:val="fr-FR"/>
        </w:rPr>
        <w:drawing>
          <wp:inline distT="0" distB="0" distL="0" distR="0" wp14:anchorId="778222F0" wp14:editId="5683550F">
            <wp:extent cx="4724400" cy="800100"/>
            <wp:effectExtent l="0" t="0" r="0" b="0"/>
            <wp:docPr id="8" name="Picture 2" descr="Reg107 Annex2 Model C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107 Annex2 Model C fr"/>
                    <pic:cNvPicPr>
                      <a:picLocks noChangeAspect="1" noChangeArrowheads="1"/>
                    </pic:cNvPicPr>
                  </pic:nvPicPr>
                  <pic:blipFill>
                    <a:blip r:embed="rId11" cstate="print">
                      <a:extLst>
                        <a:ext uri="{28A0092B-C50C-407E-A947-70E740481C1C}">
                          <a14:useLocalDpi xmlns:a14="http://schemas.microsoft.com/office/drawing/2010/main" val="0"/>
                        </a:ext>
                      </a:extLst>
                    </a:blip>
                    <a:srcRect t="23636"/>
                    <a:stretch>
                      <a:fillRect/>
                    </a:stretch>
                  </pic:blipFill>
                  <pic:spPr bwMode="auto">
                    <a:xfrm>
                      <a:off x="0" y="0"/>
                      <a:ext cx="4724400" cy="800100"/>
                    </a:xfrm>
                    <a:prstGeom prst="rect">
                      <a:avLst/>
                    </a:prstGeom>
                    <a:noFill/>
                    <a:ln>
                      <a:noFill/>
                    </a:ln>
                  </pic:spPr>
                </pic:pic>
              </a:graphicData>
            </a:graphic>
          </wp:inline>
        </w:drawing>
      </w:r>
    </w:p>
    <w:p w:rsidR="00251905" w:rsidRPr="004243AA" w:rsidRDefault="00251905" w:rsidP="00251905">
      <w:pPr>
        <w:pStyle w:val="SingleTxtG"/>
        <w:tabs>
          <w:tab w:val="left" w:pos="6800"/>
        </w:tabs>
        <w:jc w:val="right"/>
        <w:rPr>
          <w:caps/>
          <w:lang w:val="fr-FR"/>
        </w:rPr>
      </w:pPr>
      <w:r w:rsidRPr="004243AA">
        <w:rPr>
          <w:lang w:val="fr-FR"/>
        </w:rPr>
        <w:t>a = 8 mm min</w:t>
      </w:r>
    </w:p>
    <w:p w:rsidR="00251905" w:rsidRPr="004243AA" w:rsidRDefault="00251905" w:rsidP="00251905">
      <w:pPr>
        <w:pStyle w:val="SingleTxtG"/>
        <w:spacing w:after="0"/>
        <w:rPr>
          <w:sz w:val="2"/>
          <w:szCs w:val="2"/>
          <w:lang w:val="fr-FR"/>
        </w:rPr>
      </w:pPr>
    </w:p>
    <w:p w:rsidR="00251905" w:rsidRPr="004243AA" w:rsidRDefault="00251905" w:rsidP="00251905">
      <w:pPr>
        <w:pStyle w:val="SingleTxtG"/>
        <w:rPr>
          <w:lang w:val="fr-FR"/>
        </w:rPr>
      </w:pPr>
      <w:r w:rsidRPr="004243AA">
        <w:rPr>
          <w:lang w:val="fr-FR"/>
        </w:rPr>
        <w:tab/>
      </w:r>
      <w:r w:rsidRPr="004243AA">
        <w:rPr>
          <w:lang w:val="fr-FR"/>
        </w:rPr>
        <w:tab/>
        <w:t>La</w:t>
      </w:r>
      <w:r>
        <w:rPr>
          <w:lang w:val="fr-FR"/>
        </w:rPr>
        <w:t xml:space="preserve"> </w:t>
      </w:r>
      <w:r w:rsidRPr="004243AA">
        <w:rPr>
          <w:lang w:val="fr-FR"/>
        </w:rPr>
        <w:t>marque</w:t>
      </w:r>
      <w:r>
        <w:rPr>
          <w:lang w:val="fr-FR"/>
        </w:rPr>
        <w:t xml:space="preserve"> </w:t>
      </w:r>
      <w:r w:rsidRPr="004243AA">
        <w:rPr>
          <w:lang w:val="fr-FR"/>
        </w:rPr>
        <w:t>d’homologation</w:t>
      </w:r>
      <w:r>
        <w:rPr>
          <w:lang w:val="fr-FR"/>
        </w:rPr>
        <w:t xml:space="preserve"> </w:t>
      </w:r>
      <w:r w:rsidRPr="004243AA">
        <w:rPr>
          <w:lang w:val="fr-FR"/>
        </w:rPr>
        <w:t>ci-dessus,</w:t>
      </w:r>
      <w:r>
        <w:rPr>
          <w:lang w:val="fr-FR"/>
        </w:rPr>
        <w:t xml:space="preserve"> </w:t>
      </w:r>
      <w:r w:rsidRPr="004243AA">
        <w:rPr>
          <w:lang w:val="fr-FR"/>
        </w:rPr>
        <w:t>apposée</w:t>
      </w:r>
      <w:r>
        <w:rPr>
          <w:lang w:val="fr-FR"/>
        </w:rPr>
        <w:t xml:space="preserve"> </w:t>
      </w:r>
      <w:r w:rsidRPr="004243AA">
        <w:rPr>
          <w:lang w:val="fr-FR"/>
        </w:rPr>
        <w:t>sur</w:t>
      </w:r>
      <w:r>
        <w:rPr>
          <w:lang w:val="fr-FR"/>
        </w:rPr>
        <w:t xml:space="preserve"> </w:t>
      </w:r>
      <w:r w:rsidRPr="004243AA">
        <w:rPr>
          <w:lang w:val="fr-FR"/>
        </w:rPr>
        <w:t>la</w:t>
      </w:r>
      <w:r>
        <w:rPr>
          <w:lang w:val="fr-FR"/>
        </w:rPr>
        <w:t xml:space="preserve"> </w:t>
      </w:r>
      <w:r w:rsidRPr="004243AA">
        <w:rPr>
          <w:lang w:val="fr-FR"/>
        </w:rPr>
        <w:t>caisse</w:t>
      </w:r>
      <w:r>
        <w:rPr>
          <w:lang w:val="fr-FR"/>
        </w:rPr>
        <w:t xml:space="preserve"> </w:t>
      </w:r>
      <w:r w:rsidRPr="004243AA">
        <w:rPr>
          <w:lang w:val="fr-FR"/>
        </w:rPr>
        <w:t>d’un</w:t>
      </w:r>
      <w:r>
        <w:rPr>
          <w:lang w:val="fr-FR"/>
        </w:rPr>
        <w:t xml:space="preserve"> </w:t>
      </w:r>
      <w:r w:rsidRPr="004243AA">
        <w:rPr>
          <w:lang w:val="fr-FR"/>
        </w:rPr>
        <w:t>véhicule,</w:t>
      </w:r>
      <w:r>
        <w:rPr>
          <w:lang w:val="fr-FR"/>
        </w:rPr>
        <w:t xml:space="preserve"> </w:t>
      </w:r>
      <w:r w:rsidRPr="004243AA">
        <w:rPr>
          <w:lang w:val="fr-FR"/>
        </w:rPr>
        <w:t>indique que</w:t>
      </w:r>
      <w:r>
        <w:rPr>
          <w:lang w:val="fr-FR"/>
        </w:rPr>
        <w:t xml:space="preserve"> </w:t>
      </w:r>
      <w:r w:rsidRPr="004243AA">
        <w:rPr>
          <w:lang w:val="fr-FR"/>
        </w:rPr>
        <w:t>le</w:t>
      </w:r>
      <w:r>
        <w:rPr>
          <w:lang w:val="fr-FR"/>
        </w:rPr>
        <w:t xml:space="preserve"> </w:t>
      </w:r>
      <w:r w:rsidRPr="004243AA">
        <w:rPr>
          <w:lang w:val="fr-FR"/>
        </w:rPr>
        <w:t>type de</w:t>
      </w:r>
      <w:r>
        <w:rPr>
          <w:lang w:val="fr-FR"/>
        </w:rPr>
        <w:t xml:space="preserve"> </w:t>
      </w:r>
      <w:r w:rsidRPr="004243AA">
        <w:rPr>
          <w:lang w:val="fr-FR"/>
        </w:rPr>
        <w:t>cette</w:t>
      </w:r>
      <w:r>
        <w:rPr>
          <w:lang w:val="fr-FR"/>
        </w:rPr>
        <w:t xml:space="preserve"> </w:t>
      </w:r>
      <w:r w:rsidRPr="004243AA">
        <w:rPr>
          <w:lang w:val="fr-FR"/>
        </w:rPr>
        <w:t>caisse</w:t>
      </w:r>
      <w:r>
        <w:rPr>
          <w:lang w:val="fr-FR"/>
        </w:rPr>
        <w:t xml:space="preserve"> </w:t>
      </w:r>
      <w:r w:rsidRPr="004243AA">
        <w:rPr>
          <w:lang w:val="fr-FR"/>
        </w:rPr>
        <w:t>a</w:t>
      </w:r>
      <w:r>
        <w:rPr>
          <w:lang w:val="fr-FR"/>
        </w:rPr>
        <w:t xml:space="preserve"> </w:t>
      </w:r>
      <w:r w:rsidRPr="004243AA">
        <w:rPr>
          <w:lang w:val="fr-FR"/>
        </w:rPr>
        <w:t>été,</w:t>
      </w:r>
      <w:r>
        <w:rPr>
          <w:lang w:val="fr-FR"/>
        </w:rPr>
        <w:t xml:space="preserve"> </w:t>
      </w:r>
      <w:r w:rsidRPr="004243AA">
        <w:rPr>
          <w:lang w:val="fr-FR"/>
        </w:rPr>
        <w:t>en</w:t>
      </w:r>
      <w:r>
        <w:rPr>
          <w:lang w:val="fr-FR"/>
        </w:rPr>
        <w:t xml:space="preserve"> </w:t>
      </w:r>
      <w:r w:rsidRPr="004243AA">
        <w:rPr>
          <w:lang w:val="fr-FR"/>
        </w:rPr>
        <w:t>ce</w:t>
      </w:r>
      <w:r>
        <w:rPr>
          <w:lang w:val="fr-FR"/>
        </w:rPr>
        <w:t xml:space="preserve"> </w:t>
      </w:r>
      <w:r w:rsidRPr="004243AA">
        <w:rPr>
          <w:lang w:val="fr-FR"/>
        </w:rPr>
        <w:t>qui</w:t>
      </w:r>
      <w:r>
        <w:rPr>
          <w:lang w:val="fr-FR"/>
        </w:rPr>
        <w:t xml:space="preserve"> </w:t>
      </w:r>
      <w:r w:rsidRPr="004243AA">
        <w:rPr>
          <w:lang w:val="fr-FR"/>
        </w:rPr>
        <w:t>concerne</w:t>
      </w:r>
      <w:r>
        <w:rPr>
          <w:lang w:val="fr-FR"/>
        </w:rPr>
        <w:t xml:space="preserve"> </w:t>
      </w:r>
      <w:r w:rsidRPr="004243AA">
        <w:rPr>
          <w:lang w:val="fr-FR"/>
        </w:rPr>
        <w:t>ses</w:t>
      </w:r>
      <w:r>
        <w:rPr>
          <w:lang w:val="fr-FR"/>
        </w:rPr>
        <w:t xml:space="preserve"> </w:t>
      </w:r>
      <w:r w:rsidRPr="004243AA">
        <w:rPr>
          <w:lang w:val="fr-FR"/>
        </w:rPr>
        <w:t>caractéristiques</w:t>
      </w:r>
      <w:r>
        <w:rPr>
          <w:lang w:val="fr-FR"/>
        </w:rPr>
        <w:t xml:space="preserve"> </w:t>
      </w:r>
      <w:r w:rsidRPr="004243AA">
        <w:rPr>
          <w:lang w:val="fr-FR"/>
        </w:rPr>
        <w:t>de</w:t>
      </w:r>
      <w:r>
        <w:rPr>
          <w:lang w:val="fr-FR"/>
        </w:rPr>
        <w:t xml:space="preserve"> </w:t>
      </w:r>
      <w:r w:rsidRPr="004243AA">
        <w:rPr>
          <w:lang w:val="fr-FR"/>
        </w:rPr>
        <w:t>construction, homologué</w:t>
      </w:r>
      <w:r>
        <w:rPr>
          <w:lang w:val="fr-FR"/>
        </w:rPr>
        <w:t xml:space="preserve"> </w:t>
      </w:r>
      <w:r w:rsidRPr="004243AA">
        <w:rPr>
          <w:lang w:val="fr-FR"/>
        </w:rPr>
        <w:t>séparément</w:t>
      </w:r>
      <w:r>
        <w:rPr>
          <w:lang w:val="fr-FR"/>
        </w:rPr>
        <w:t xml:space="preserve"> </w:t>
      </w:r>
      <w:r w:rsidRPr="004243AA">
        <w:rPr>
          <w:lang w:val="fr-FR"/>
        </w:rPr>
        <w:t>aux</w:t>
      </w:r>
      <w:r>
        <w:rPr>
          <w:lang w:val="fr-FR"/>
        </w:rPr>
        <w:t xml:space="preserve"> </w:t>
      </w:r>
      <w:r w:rsidRPr="004243AA">
        <w:rPr>
          <w:lang w:val="fr-FR"/>
        </w:rPr>
        <w:t>Pays-Bas</w:t>
      </w:r>
      <w:r>
        <w:rPr>
          <w:lang w:val="fr-FR"/>
        </w:rPr>
        <w:t xml:space="preserve"> </w:t>
      </w:r>
      <w:r w:rsidRPr="004243AA">
        <w:rPr>
          <w:lang w:val="fr-FR"/>
        </w:rPr>
        <w:t>(E4)</w:t>
      </w:r>
      <w:r>
        <w:rPr>
          <w:lang w:val="fr-FR"/>
        </w:rPr>
        <w:t xml:space="preserve"> </w:t>
      </w:r>
      <w:r w:rsidRPr="004243AA">
        <w:rPr>
          <w:lang w:val="fr-FR"/>
        </w:rPr>
        <w:t>pour</w:t>
      </w:r>
      <w:r>
        <w:rPr>
          <w:lang w:val="fr-FR"/>
        </w:rPr>
        <w:t xml:space="preserve"> </w:t>
      </w:r>
      <w:r w:rsidRPr="004243AA">
        <w:rPr>
          <w:lang w:val="fr-FR"/>
        </w:rPr>
        <w:t>la</w:t>
      </w:r>
      <w:r>
        <w:rPr>
          <w:lang w:val="fr-FR"/>
        </w:rPr>
        <w:t xml:space="preserve"> </w:t>
      </w:r>
      <w:r w:rsidRPr="004243AA">
        <w:rPr>
          <w:lang w:val="fr-FR"/>
        </w:rPr>
        <w:t>classe</w:t>
      </w:r>
      <w:r>
        <w:rPr>
          <w:lang w:val="fr-FR"/>
        </w:rPr>
        <w:t xml:space="preserve"> </w:t>
      </w:r>
      <w:r w:rsidRPr="004243AA">
        <w:rPr>
          <w:lang w:val="fr-FR"/>
        </w:rPr>
        <w:t>III</w:t>
      </w:r>
      <w:r>
        <w:rPr>
          <w:lang w:val="fr-FR"/>
        </w:rPr>
        <w:t xml:space="preserve"> </w:t>
      </w:r>
      <w:r w:rsidRPr="004243AA">
        <w:rPr>
          <w:lang w:val="fr-FR"/>
        </w:rPr>
        <w:t>en</w:t>
      </w:r>
      <w:r>
        <w:rPr>
          <w:lang w:val="fr-FR"/>
        </w:rPr>
        <w:t xml:space="preserve"> </w:t>
      </w:r>
      <w:r w:rsidRPr="004243AA">
        <w:rPr>
          <w:lang w:val="fr-FR"/>
        </w:rPr>
        <w:t>tant</w:t>
      </w:r>
      <w:r>
        <w:rPr>
          <w:lang w:val="fr-FR"/>
        </w:rPr>
        <w:t xml:space="preserve"> </w:t>
      </w:r>
      <w:r w:rsidRPr="004243AA">
        <w:rPr>
          <w:lang w:val="fr-FR"/>
        </w:rPr>
        <w:t>que</w:t>
      </w:r>
      <w:r>
        <w:rPr>
          <w:lang w:val="fr-FR"/>
        </w:rPr>
        <w:t xml:space="preserve"> </w:t>
      </w:r>
      <w:r w:rsidRPr="004243AA">
        <w:rPr>
          <w:lang w:val="fr-FR"/>
        </w:rPr>
        <w:t>caisse</w:t>
      </w:r>
      <w:r>
        <w:rPr>
          <w:lang w:val="fr-FR"/>
        </w:rPr>
        <w:t xml:space="preserve"> </w:t>
      </w:r>
      <w:r w:rsidRPr="004243AA">
        <w:rPr>
          <w:lang w:val="fr-FR"/>
        </w:rPr>
        <w:t>distincte (lettre</w:t>
      </w:r>
      <w:r>
        <w:rPr>
          <w:lang w:val="fr-FR"/>
        </w:rPr>
        <w:t> </w:t>
      </w:r>
      <w:r w:rsidRPr="004243AA">
        <w:rPr>
          <w:lang w:val="fr-FR"/>
        </w:rPr>
        <w:t>S),</w:t>
      </w:r>
      <w:r>
        <w:rPr>
          <w:lang w:val="fr-FR"/>
        </w:rPr>
        <w:t xml:space="preserve"> </w:t>
      </w:r>
      <w:r w:rsidRPr="004243AA">
        <w:rPr>
          <w:lang w:val="fr-FR"/>
        </w:rPr>
        <w:t>en</w:t>
      </w:r>
      <w:r>
        <w:rPr>
          <w:lang w:val="fr-FR"/>
        </w:rPr>
        <w:t xml:space="preserve"> </w:t>
      </w:r>
      <w:r w:rsidRPr="004243AA">
        <w:rPr>
          <w:lang w:val="fr-FR"/>
        </w:rPr>
        <w:t>application</w:t>
      </w:r>
      <w:r>
        <w:rPr>
          <w:lang w:val="fr-FR"/>
        </w:rPr>
        <w:t xml:space="preserve"> </w:t>
      </w:r>
      <w:r w:rsidRPr="004243AA">
        <w:rPr>
          <w:lang w:val="fr-FR"/>
        </w:rPr>
        <w:t>du</w:t>
      </w:r>
      <w:r>
        <w:rPr>
          <w:lang w:val="fr-FR"/>
        </w:rPr>
        <w:t xml:space="preserve"> </w:t>
      </w:r>
      <w:r w:rsidRPr="004243AA">
        <w:rPr>
          <w:lang w:val="fr-FR"/>
        </w:rPr>
        <w:t xml:space="preserve">Règlement </w:t>
      </w:r>
      <w:bookmarkStart w:id="8" w:name="_Hlk61525054"/>
      <w:r w:rsidRPr="004243AA">
        <w:rPr>
          <w:lang w:val="fr-FR"/>
        </w:rPr>
        <w:t>ONU n</w:t>
      </w:r>
      <w:r w:rsidRPr="004243AA">
        <w:rPr>
          <w:vertAlign w:val="superscript"/>
          <w:lang w:val="fr-FR"/>
        </w:rPr>
        <w:t>o</w:t>
      </w:r>
      <w:r w:rsidRPr="004243AA">
        <w:rPr>
          <w:lang w:val="fr-FR"/>
        </w:rPr>
        <w:t xml:space="preserve"> </w:t>
      </w:r>
      <w:bookmarkEnd w:id="8"/>
      <w:r w:rsidRPr="004243AA">
        <w:rPr>
          <w:lang w:val="fr-FR"/>
        </w:rPr>
        <w:t>107,</w:t>
      </w:r>
      <w:r>
        <w:rPr>
          <w:lang w:val="fr-FR"/>
        </w:rPr>
        <w:t xml:space="preserve"> </w:t>
      </w:r>
      <w:r w:rsidRPr="004243AA">
        <w:rPr>
          <w:lang w:val="fr-FR"/>
        </w:rPr>
        <w:t>sous</w:t>
      </w:r>
      <w:r>
        <w:rPr>
          <w:lang w:val="fr-FR"/>
        </w:rPr>
        <w:t xml:space="preserve"> </w:t>
      </w:r>
      <w:r w:rsidRPr="004243AA">
        <w:rPr>
          <w:lang w:val="fr-FR"/>
        </w:rPr>
        <w:t>le</w:t>
      </w:r>
      <w:r>
        <w:rPr>
          <w:lang w:val="fr-FR"/>
        </w:rPr>
        <w:t xml:space="preserve"> </w:t>
      </w:r>
      <w:r w:rsidRPr="004243AA">
        <w:rPr>
          <w:lang w:val="fr-FR"/>
        </w:rPr>
        <w:t>numéro</w:t>
      </w:r>
      <w:r>
        <w:rPr>
          <w:lang w:val="fr-FR"/>
        </w:rPr>
        <w:t xml:space="preserve"> </w:t>
      </w:r>
      <w:r w:rsidRPr="004243AA">
        <w:rPr>
          <w:lang w:val="fr-FR"/>
        </w:rPr>
        <w:t xml:space="preserve">d’homologation 092439. </w:t>
      </w:r>
      <w:r w:rsidRPr="00132012">
        <w:rPr>
          <w:lang w:val="fr-FR"/>
        </w:rPr>
        <w:t>Le</w:t>
      </w:r>
      <w:r>
        <w:rPr>
          <w:lang w:val="fr-FR"/>
        </w:rPr>
        <w:t> </w:t>
      </w:r>
      <w:r w:rsidRPr="00132012">
        <w:rPr>
          <w:lang w:val="fr-FR"/>
        </w:rPr>
        <w:t>numéro d</w:t>
      </w:r>
      <w:r>
        <w:rPr>
          <w:lang w:val="fr-FR"/>
        </w:rPr>
        <w:t>’</w:t>
      </w:r>
      <w:r w:rsidRPr="00132012">
        <w:rPr>
          <w:lang w:val="fr-FR"/>
        </w:rPr>
        <w:t>homologation indique que l</w:t>
      </w:r>
      <w:r>
        <w:rPr>
          <w:lang w:val="fr-FR"/>
        </w:rPr>
        <w:t>’</w:t>
      </w:r>
      <w:r w:rsidRPr="00132012">
        <w:rPr>
          <w:lang w:val="fr-FR"/>
        </w:rPr>
        <w:t xml:space="preserve">homologation a été accordée conformément aux dispositions </w:t>
      </w:r>
      <w:r w:rsidRPr="004243AA">
        <w:rPr>
          <w:lang w:val="fr-FR"/>
        </w:rPr>
        <w:t>du Règlement ONU n</w:t>
      </w:r>
      <w:r w:rsidRPr="004243AA">
        <w:rPr>
          <w:vertAlign w:val="superscript"/>
          <w:lang w:val="fr-FR"/>
        </w:rPr>
        <w:t>o</w:t>
      </w:r>
      <w:r w:rsidRPr="004243AA">
        <w:rPr>
          <w:lang w:val="fr-FR"/>
        </w:rPr>
        <w:t xml:space="preserve"> 107 tel que modifié par la série 09 d’amendements.</w:t>
      </w:r>
      <w:r>
        <w:rPr>
          <w:lang w:val="fr-FR"/>
        </w:rPr>
        <w:t> »</w:t>
      </w:r>
      <w:r w:rsidRPr="004243AA">
        <w:rPr>
          <w:lang w:val="fr-FR"/>
        </w:rPr>
        <w:t>.</w:t>
      </w:r>
    </w:p>
    <w:p w:rsidR="00251905" w:rsidRPr="00251905" w:rsidRDefault="00251905" w:rsidP="00251905">
      <w:pPr>
        <w:pStyle w:val="SingleTxtG"/>
        <w:tabs>
          <w:tab w:val="left" w:pos="8505"/>
        </w:tabs>
        <w:rPr>
          <w:i/>
          <w:lang w:val="fr-FR"/>
        </w:rPr>
      </w:pPr>
      <w:r w:rsidRPr="00251905">
        <w:rPr>
          <w:i/>
          <w:lang w:val="fr-FR"/>
        </w:rPr>
        <w:t>Annexe 3</w:t>
      </w:r>
    </w:p>
    <w:p w:rsidR="00251905" w:rsidRPr="004243AA" w:rsidRDefault="00251905" w:rsidP="00251905">
      <w:pPr>
        <w:pStyle w:val="SingleTxtG"/>
        <w:tabs>
          <w:tab w:val="left" w:pos="8505"/>
        </w:tabs>
        <w:rPr>
          <w:rFonts w:asciiTheme="majorBidi" w:hAnsiTheme="majorBidi" w:cstheme="majorBidi"/>
          <w:i/>
          <w:lang w:val="fr-FR"/>
        </w:rPr>
      </w:pPr>
      <w:r>
        <w:rPr>
          <w:i/>
          <w:iCs/>
          <w:lang w:val="fr-FR"/>
        </w:rPr>
        <w:t>P</w:t>
      </w:r>
      <w:r w:rsidRPr="00205A8A">
        <w:rPr>
          <w:i/>
          <w:lang w:val="fr-FR"/>
        </w:rPr>
        <w:t>aragraphe</w:t>
      </w:r>
      <w:r>
        <w:rPr>
          <w:i/>
          <w:lang w:val="fr-FR"/>
        </w:rPr>
        <w:t> </w:t>
      </w:r>
      <w:r w:rsidRPr="00205A8A">
        <w:rPr>
          <w:i/>
          <w:lang w:val="fr-FR"/>
        </w:rPr>
        <w:t>7.5.1.5.1</w:t>
      </w:r>
      <w:r>
        <w:rPr>
          <w:i/>
          <w:lang w:val="fr-FR"/>
        </w:rPr>
        <w:t>,</w:t>
      </w:r>
      <w:r w:rsidRPr="00205A8A">
        <w:rPr>
          <w:i/>
          <w:lang w:val="fr-FR"/>
        </w:rPr>
        <w:t xml:space="preserve"> </w:t>
      </w:r>
      <w:r>
        <w:rPr>
          <w:lang w:val="fr-FR"/>
        </w:rPr>
        <w:t>lire</w:t>
      </w:r>
      <w:r>
        <w:rPr>
          <w:lang w:val="fr-FR"/>
        </w:rPr>
        <w:t> </w:t>
      </w:r>
      <w:r w:rsidRPr="004243AA">
        <w:rPr>
          <w:lang w:val="fr-FR"/>
        </w:rPr>
        <w:t>:</w:t>
      </w:r>
    </w:p>
    <w:p w:rsidR="00251905" w:rsidRPr="004243AA" w:rsidRDefault="00251905" w:rsidP="00251905">
      <w:pPr>
        <w:pStyle w:val="SingleTxtG"/>
        <w:ind w:left="2268" w:hanging="1134"/>
        <w:rPr>
          <w:lang w:val="fr-FR"/>
        </w:rPr>
      </w:pPr>
      <w:r w:rsidRPr="004243AA">
        <w:rPr>
          <w:lang w:val="fr-FR"/>
        </w:rPr>
        <w:t>« 7.5.1.5.1</w:t>
      </w:r>
      <w:r w:rsidRPr="004243AA">
        <w:rPr>
          <w:lang w:val="fr-FR"/>
        </w:rPr>
        <w:tab/>
        <w:t>Le système d’alarme et le système d’extinction, s’ils sont installés, doivent être actionnés automatiquement par un système de détection d’incendie. Le système de détection doit être conçu de manière à détecter, dans le compartiment moteur et dans chacun des compartiments où est situé un dispositif de chauffage à combustion, toute température supérieure à la</w:t>
      </w:r>
      <w:r w:rsidRPr="004243AA">
        <w:rPr>
          <w:rFonts w:asciiTheme="majorBidi" w:hAnsiTheme="majorBidi" w:cstheme="majorBidi"/>
          <w:lang w:val="fr-FR"/>
        </w:rPr>
        <w:t xml:space="preserve"> </w:t>
      </w:r>
      <w:r w:rsidRPr="004243AA">
        <w:rPr>
          <w:lang w:val="fr-FR"/>
        </w:rPr>
        <w:t>température de référence telle que déclarée par le constructeur.</w:t>
      </w:r>
    </w:p>
    <w:p w:rsidR="00251905" w:rsidRPr="004243AA" w:rsidRDefault="00251905" w:rsidP="00251905">
      <w:pPr>
        <w:pStyle w:val="SingleTxtG"/>
        <w:ind w:left="2268"/>
        <w:rPr>
          <w:lang w:val="fr-FR"/>
        </w:rPr>
      </w:pPr>
      <w:r w:rsidRPr="004243AA">
        <w:rPr>
          <w:lang w:val="fr-FR"/>
        </w:rPr>
        <w:tab/>
        <w:t>Au moment de l’homologation de type, cette détection de température est vérifiée par le service technique conformément aux recommandations du constructeur.</w:t>
      </w:r>
    </w:p>
    <w:p w:rsidR="00251905" w:rsidRPr="004243AA" w:rsidRDefault="00251905" w:rsidP="00251905">
      <w:pPr>
        <w:pStyle w:val="SingleTxtG"/>
        <w:ind w:left="2268"/>
        <w:rPr>
          <w:rFonts w:asciiTheme="majorBidi" w:hAnsiTheme="majorBidi" w:cstheme="majorBidi"/>
          <w:lang w:val="fr-FR"/>
        </w:rPr>
      </w:pPr>
      <w:r w:rsidRPr="004243AA">
        <w:rPr>
          <w:lang w:val="fr-FR"/>
        </w:rPr>
        <w:tab/>
        <w:t>Le système d’extinction d’incendie peut aussi être activé automatiquement par d’autres moyens, à condition qu’il active le système d’alarme. ».</w:t>
      </w:r>
    </w:p>
    <w:p w:rsidR="00251905" w:rsidRPr="004243AA" w:rsidRDefault="00251905" w:rsidP="00251905">
      <w:pPr>
        <w:pStyle w:val="SingleTxtG"/>
        <w:keepNext/>
        <w:tabs>
          <w:tab w:val="left" w:pos="8505"/>
        </w:tabs>
        <w:spacing w:before="240"/>
        <w:ind w:right="1133"/>
        <w:rPr>
          <w:rFonts w:asciiTheme="majorBidi" w:hAnsiTheme="majorBidi" w:cstheme="majorBidi"/>
          <w:i/>
          <w:lang w:val="fr-FR"/>
        </w:rPr>
      </w:pPr>
      <w:r w:rsidRPr="004243AA">
        <w:rPr>
          <w:i/>
          <w:lang w:val="fr-FR"/>
        </w:rPr>
        <w:lastRenderedPageBreak/>
        <w:t>A</w:t>
      </w:r>
      <w:r w:rsidRPr="004243AA">
        <w:rPr>
          <w:i/>
          <w:iCs/>
          <w:lang w:val="fr-FR"/>
        </w:rPr>
        <w:t>jouter les nouveaux paragraphes 7.5.7 et 7.5.7.1</w:t>
      </w:r>
      <w:r w:rsidRPr="004243AA">
        <w:rPr>
          <w:lang w:val="fr-FR"/>
        </w:rPr>
        <w:t>, libellés comme suit :</w:t>
      </w:r>
    </w:p>
    <w:p w:rsidR="00251905" w:rsidRPr="004243AA" w:rsidRDefault="00251905" w:rsidP="00251905">
      <w:pPr>
        <w:pStyle w:val="SingleTxtG"/>
        <w:keepNext/>
        <w:ind w:left="2268" w:hanging="1134"/>
        <w:rPr>
          <w:lang w:val="fr-FR"/>
        </w:rPr>
      </w:pPr>
      <w:r w:rsidRPr="004243AA">
        <w:rPr>
          <w:lang w:val="fr-FR"/>
        </w:rPr>
        <w:t>« 7.5.7</w:t>
      </w:r>
      <w:r w:rsidRPr="004243AA">
        <w:rPr>
          <w:lang w:val="fr-FR"/>
        </w:rPr>
        <w:tab/>
      </w:r>
      <w:r w:rsidRPr="004243AA">
        <w:rPr>
          <w:lang w:val="fr-FR"/>
        </w:rPr>
        <w:tab/>
        <w:t>Incendie</w:t>
      </w:r>
    </w:p>
    <w:p w:rsidR="00251905" w:rsidRPr="004243AA" w:rsidRDefault="00251905" w:rsidP="00251905">
      <w:pPr>
        <w:pStyle w:val="SingleTxtG"/>
        <w:ind w:left="2268" w:hanging="1134"/>
        <w:rPr>
          <w:rFonts w:asciiTheme="majorBidi" w:hAnsiTheme="majorBidi" w:cstheme="majorBidi"/>
          <w:lang w:val="fr-FR"/>
        </w:rPr>
      </w:pPr>
      <w:r w:rsidRPr="004243AA">
        <w:rPr>
          <w:lang w:val="fr-FR"/>
        </w:rPr>
        <w:t>7.5.7.1</w:t>
      </w:r>
      <w:r w:rsidRPr="004243AA">
        <w:rPr>
          <w:lang w:val="fr-FR"/>
        </w:rPr>
        <w:tab/>
        <w:t>Dans le cas des véhicules des classes</w:t>
      </w:r>
      <w:r w:rsidRPr="004243AA">
        <w:rPr>
          <w:rFonts w:asciiTheme="majorBidi" w:hAnsiTheme="majorBidi" w:cstheme="majorBidi"/>
          <w:lang w:val="fr-FR"/>
        </w:rPr>
        <w:t xml:space="preserve"> I, II, III et B dont le moteur est situé à l’arrière de la cabine du conducteur, en cas d’activation d’un système d’alarme</w:t>
      </w:r>
      <w:r>
        <w:rPr>
          <w:rFonts w:asciiTheme="majorBidi" w:hAnsiTheme="majorBidi" w:cstheme="majorBidi"/>
          <w:lang w:val="fr-FR"/>
        </w:rPr>
        <w:t> </w:t>
      </w:r>
      <w:r w:rsidRPr="004243AA">
        <w:rPr>
          <w:rFonts w:asciiTheme="majorBidi" w:hAnsiTheme="majorBidi" w:cstheme="majorBidi"/>
          <w:lang w:val="fr-FR"/>
        </w:rPr>
        <w:t>:</w:t>
      </w:r>
    </w:p>
    <w:p w:rsidR="00251905" w:rsidRPr="004243AA" w:rsidRDefault="00251905" w:rsidP="00251905">
      <w:pPr>
        <w:pStyle w:val="SingleTxtG"/>
        <w:ind w:left="2835" w:hanging="567"/>
        <w:rPr>
          <w:rFonts w:asciiTheme="majorBidi" w:hAnsiTheme="majorBidi" w:cstheme="majorBidi"/>
          <w:lang w:val="fr-FR"/>
        </w:rPr>
      </w:pPr>
      <w:r w:rsidRPr="004243AA">
        <w:rPr>
          <w:rFonts w:asciiTheme="majorBidi" w:hAnsiTheme="majorBidi" w:cstheme="majorBidi"/>
          <w:lang w:val="fr-FR"/>
        </w:rPr>
        <w:t>a)</w:t>
      </w:r>
      <w:r w:rsidRPr="004243AA">
        <w:rPr>
          <w:rFonts w:asciiTheme="majorBidi" w:hAnsiTheme="majorBidi" w:cstheme="majorBidi"/>
          <w:lang w:val="fr-FR"/>
        </w:rPr>
        <w:tab/>
        <w:t>Le système d’éclairage de secours conformément au paragraphe 7.8.3, s’il est installé, doit s’allumer automatiquement</w:t>
      </w:r>
      <w:r>
        <w:rPr>
          <w:rFonts w:asciiTheme="majorBidi" w:hAnsiTheme="majorBidi" w:cstheme="majorBidi"/>
          <w:lang w:val="fr-FR"/>
        </w:rPr>
        <w:t> </w:t>
      </w:r>
      <w:r w:rsidRPr="004243AA">
        <w:rPr>
          <w:rFonts w:asciiTheme="majorBidi" w:hAnsiTheme="majorBidi" w:cstheme="majorBidi"/>
          <w:lang w:val="fr-FR"/>
        </w:rPr>
        <w:t>;</w:t>
      </w:r>
    </w:p>
    <w:p w:rsidR="00251905" w:rsidRPr="004243AA" w:rsidRDefault="00251905" w:rsidP="00251905">
      <w:pPr>
        <w:pStyle w:val="SingleTxtG"/>
        <w:ind w:left="2835" w:hanging="567"/>
        <w:rPr>
          <w:rFonts w:asciiTheme="majorBidi" w:hAnsiTheme="majorBidi" w:cstheme="majorBidi"/>
          <w:lang w:val="fr-FR"/>
        </w:rPr>
      </w:pPr>
      <w:r w:rsidRPr="004243AA">
        <w:rPr>
          <w:rFonts w:asciiTheme="majorBidi" w:hAnsiTheme="majorBidi" w:cstheme="majorBidi"/>
          <w:lang w:val="fr-FR"/>
        </w:rPr>
        <w:t>b)</w:t>
      </w:r>
      <w:r w:rsidRPr="004243AA">
        <w:rPr>
          <w:rFonts w:asciiTheme="majorBidi" w:hAnsiTheme="majorBidi" w:cstheme="majorBidi"/>
          <w:lang w:val="fr-FR"/>
        </w:rPr>
        <w:tab/>
        <w:t>Après une seule action positive du conducteur sur l’une des commandes de porte dans la cabine du conducteur, toutes les portes à commande électrique situées sur le côté du véhicule le plus proche du côté de la route correspondant au côté de circulation pour lequel est conçu le véhicule doivent s’ouvrir et rester en position ouverte.</w:t>
      </w:r>
      <w:r>
        <w:rPr>
          <w:rFonts w:asciiTheme="majorBidi" w:hAnsiTheme="majorBidi" w:cstheme="majorBidi"/>
          <w:lang w:val="fr-FR"/>
        </w:rPr>
        <w:t xml:space="preserve"> </w:t>
      </w:r>
    </w:p>
    <w:p w:rsidR="00251905" w:rsidRPr="004243AA" w:rsidRDefault="00251905" w:rsidP="00251905">
      <w:pPr>
        <w:pStyle w:val="SingleTxtG"/>
        <w:ind w:left="2268"/>
        <w:rPr>
          <w:rFonts w:asciiTheme="majorBidi" w:hAnsiTheme="majorBidi" w:cstheme="majorBidi"/>
          <w:bCs/>
          <w:lang w:val="fr-FR"/>
        </w:rPr>
      </w:pPr>
      <w:r w:rsidRPr="004243AA">
        <w:rPr>
          <w:rFonts w:asciiTheme="majorBidi" w:hAnsiTheme="majorBidi" w:cstheme="majorBidi"/>
          <w:bCs/>
          <w:lang w:val="fr-FR"/>
        </w:rPr>
        <w:tab/>
        <w:t>Cette disposition est applicable lorsque le véhicule est à l’arrêt ou roule à une vitesse inférieure ou égale à 3 km/h.</w:t>
      </w:r>
    </w:p>
    <w:p w:rsidR="00251905" w:rsidRPr="004243AA" w:rsidRDefault="00251905" w:rsidP="00251905">
      <w:pPr>
        <w:pStyle w:val="SingleTxtG"/>
        <w:ind w:left="2268"/>
        <w:rPr>
          <w:rFonts w:asciiTheme="majorBidi" w:hAnsiTheme="majorBidi" w:cstheme="majorBidi"/>
          <w:lang w:val="fr-FR"/>
        </w:rPr>
      </w:pPr>
      <w:r w:rsidRPr="004243AA">
        <w:rPr>
          <w:rFonts w:asciiTheme="majorBidi" w:hAnsiTheme="majorBidi" w:cstheme="majorBidi"/>
          <w:bCs/>
          <w:lang w:val="fr-FR"/>
        </w:rPr>
        <w:tab/>
        <w:t>L’utilisation répétée de la commande d’ouverture ne doit pas inverser le mouvement d’ouverture des portes, afin d’éviter qu’elles se referment malencontreusement dans une situation d’urgence. ».</w:t>
      </w:r>
    </w:p>
    <w:p w:rsidR="00251905" w:rsidRPr="004243AA" w:rsidRDefault="00251905" w:rsidP="00251905">
      <w:pPr>
        <w:pStyle w:val="SingleTxtG"/>
        <w:tabs>
          <w:tab w:val="left" w:pos="8505"/>
        </w:tabs>
        <w:rPr>
          <w:rFonts w:asciiTheme="majorBidi" w:hAnsiTheme="majorBidi" w:cstheme="majorBidi"/>
          <w:i/>
          <w:lang w:val="fr-FR"/>
        </w:rPr>
      </w:pPr>
      <w:r w:rsidRPr="004243AA">
        <w:rPr>
          <w:rFonts w:asciiTheme="majorBidi" w:hAnsiTheme="majorBidi" w:cstheme="majorBidi"/>
          <w:i/>
          <w:lang w:val="fr-FR"/>
        </w:rPr>
        <w:t xml:space="preserve">Ajouter le nouveau paragraphe 7.19, </w:t>
      </w:r>
      <w:r w:rsidRPr="002A58C6">
        <w:rPr>
          <w:rFonts w:asciiTheme="majorBidi" w:hAnsiTheme="majorBidi" w:cstheme="majorBidi"/>
          <w:iCs/>
          <w:lang w:val="fr-FR"/>
        </w:rPr>
        <w:t>libellé comme suit</w:t>
      </w:r>
      <w:r w:rsidRPr="004243AA">
        <w:rPr>
          <w:rFonts w:asciiTheme="majorBidi" w:hAnsiTheme="majorBidi" w:cstheme="majorBidi"/>
          <w:i/>
          <w:lang w:val="fr-FR"/>
        </w:rPr>
        <w:t> :</w:t>
      </w:r>
    </w:p>
    <w:p w:rsidR="00251905" w:rsidRPr="004243AA" w:rsidRDefault="00251905" w:rsidP="00251905">
      <w:pPr>
        <w:pStyle w:val="SingleTxtG"/>
        <w:ind w:left="2268" w:hanging="1134"/>
        <w:rPr>
          <w:lang w:val="fr-FR"/>
        </w:rPr>
      </w:pPr>
      <w:r w:rsidRPr="004243AA">
        <w:rPr>
          <w:lang w:val="fr-FR"/>
        </w:rPr>
        <w:t>« 7.19</w:t>
      </w:r>
      <w:r w:rsidRPr="004243AA">
        <w:rPr>
          <w:lang w:val="fr-FR"/>
        </w:rPr>
        <w:tab/>
        <w:t>Consignes de sécurité</w:t>
      </w:r>
    </w:p>
    <w:p w:rsidR="00251905" w:rsidRPr="004243AA" w:rsidRDefault="00251905" w:rsidP="00251905">
      <w:pPr>
        <w:pStyle w:val="SingleTxtG"/>
        <w:ind w:left="2268"/>
        <w:rPr>
          <w:lang w:val="fr-FR"/>
        </w:rPr>
      </w:pPr>
      <w:r w:rsidRPr="004243AA">
        <w:rPr>
          <w:lang w:val="fr-FR"/>
        </w:rPr>
        <w:tab/>
        <w:t>Dans le cas des véhicules des classes II à plancher non surbaissé, III et B, les moyens de communiquer des consignes de sécurité permettant à l’exploitant, au conducteur ou à l’équipage d’informer facilement les passagers des consignes de sécurité, par exemple l’emplacement des issues de secours, l’emplacement des extincteurs ou la signalisation de sécurité, doivent être indiqués par le constructeur dans la demande d’homologation.</w:t>
      </w:r>
    </w:p>
    <w:p w:rsidR="00251905" w:rsidRPr="004243AA" w:rsidRDefault="00251905" w:rsidP="00251905">
      <w:pPr>
        <w:pStyle w:val="SingleTxtG"/>
        <w:ind w:left="2268"/>
        <w:rPr>
          <w:rFonts w:asciiTheme="majorBidi" w:hAnsiTheme="majorBidi" w:cstheme="majorBidi"/>
          <w:lang w:val="fr-FR"/>
        </w:rPr>
      </w:pPr>
      <w:r w:rsidRPr="004243AA">
        <w:rPr>
          <w:lang w:val="fr-FR"/>
        </w:rPr>
        <w:t>Ces moyens doivent être adaptés à la conception et à l’architecture du véhicule en vue de rendre les consignes de sécurité facilement accessibles et intelligibles pour tout passager. ».</w:t>
      </w:r>
    </w:p>
    <w:p w:rsidR="00251905" w:rsidRPr="004243AA" w:rsidRDefault="00251905" w:rsidP="00251905">
      <w:pPr>
        <w:pStyle w:val="SingleTxtG"/>
        <w:rPr>
          <w:lang w:val="fr-FR"/>
        </w:rPr>
      </w:pPr>
      <w:r w:rsidRPr="004243AA">
        <w:rPr>
          <w:i/>
          <w:iCs/>
          <w:lang w:val="fr-FR"/>
        </w:rPr>
        <w:t>Annexe 8</w:t>
      </w:r>
    </w:p>
    <w:p w:rsidR="00251905" w:rsidRPr="004243AA" w:rsidRDefault="00251905" w:rsidP="00251905">
      <w:pPr>
        <w:pStyle w:val="SingleTxtG"/>
        <w:rPr>
          <w:iCs/>
          <w:lang w:val="fr-FR"/>
        </w:rPr>
      </w:pPr>
      <w:r w:rsidRPr="004243AA">
        <w:rPr>
          <w:i/>
          <w:iCs/>
          <w:lang w:val="fr-FR"/>
        </w:rPr>
        <w:t>Paragraphe 3.11.3.1.1,</w:t>
      </w:r>
      <w:r w:rsidRPr="004243AA">
        <w:rPr>
          <w:lang w:val="fr-FR"/>
        </w:rPr>
        <w:t xml:space="preserve"> </w:t>
      </w:r>
      <w:r w:rsidRPr="004243AA">
        <w:rPr>
          <w:iCs/>
          <w:lang w:val="fr-FR"/>
        </w:rPr>
        <w:t>lire :</w:t>
      </w:r>
    </w:p>
    <w:p w:rsidR="00251905" w:rsidRPr="004243AA" w:rsidRDefault="00251905" w:rsidP="00251905">
      <w:pPr>
        <w:pStyle w:val="SingleTxtG"/>
        <w:ind w:left="2268" w:hanging="1134"/>
        <w:rPr>
          <w:rStyle w:val="SingleTxtGChar"/>
          <w:lang w:val="fr-FR"/>
        </w:rPr>
      </w:pPr>
      <w:r w:rsidRPr="004243AA">
        <w:rPr>
          <w:lang w:val="fr-FR"/>
        </w:rPr>
        <w:t>« 3.11.3.1.1</w:t>
      </w:r>
      <w:r w:rsidRPr="004243AA">
        <w:rPr>
          <w:lang w:val="fr-FR"/>
        </w:rPr>
        <w:tab/>
        <w:t xml:space="preserve">Les élévateurs ne doivent pouvoir fonctionner que lorsque le véhicule est à l’arrêt. </w:t>
      </w:r>
      <w:r w:rsidRPr="004243AA">
        <w:rPr>
          <w:bCs/>
          <w:lang w:val="fr-FR"/>
        </w:rPr>
        <w:t xml:space="preserve">Le véhicule doit être équipé d’un dispositif de blocage du démarrage qui reste activé jusqu’à ce que l’élévateur soit en position de rangement. Si l’élévateur donne accès au véhicule par une porte visée au paragraphe 3.6 de la présente annexe, le dispositif de blocage du démarrage doit rester activé jusqu’à ce que la porte soit complétement fermée. </w:t>
      </w:r>
      <w:r w:rsidRPr="004243AA">
        <w:rPr>
          <w:lang w:val="fr-FR"/>
        </w:rPr>
        <w:t>La plateforme doit rester totalement immobile tant qu’un dispositif conçu pour empêcher le fauteuil de tomber de la plateforme n’a pas été actionné ou n’est pas entré automatiquement en action. ».</w:t>
      </w:r>
    </w:p>
    <w:p w:rsidR="00251905" w:rsidRPr="004243AA" w:rsidRDefault="00251905" w:rsidP="00251905">
      <w:pPr>
        <w:pStyle w:val="SingleTxtG"/>
        <w:rPr>
          <w:iCs/>
          <w:lang w:val="fr-FR"/>
        </w:rPr>
      </w:pPr>
      <w:r w:rsidRPr="004243AA">
        <w:rPr>
          <w:i/>
          <w:iCs/>
          <w:lang w:val="fr-FR"/>
        </w:rPr>
        <w:t>Paragraphe 3.11.4.1.1</w:t>
      </w:r>
      <w:r w:rsidRPr="004243AA">
        <w:rPr>
          <w:lang w:val="fr-FR"/>
        </w:rPr>
        <w:t xml:space="preserve">, </w:t>
      </w:r>
      <w:r w:rsidRPr="004243AA">
        <w:rPr>
          <w:iCs/>
          <w:lang w:val="fr-FR"/>
        </w:rPr>
        <w:t>lire :</w:t>
      </w:r>
    </w:p>
    <w:p w:rsidR="00251905" w:rsidRPr="004243AA" w:rsidRDefault="00251905" w:rsidP="00251905">
      <w:pPr>
        <w:pStyle w:val="SingleTxtG"/>
        <w:ind w:left="2268" w:hanging="1134"/>
        <w:rPr>
          <w:lang w:val="fr-FR"/>
        </w:rPr>
      </w:pPr>
      <w:r w:rsidRPr="004243AA">
        <w:rPr>
          <w:lang w:val="fr-FR"/>
        </w:rPr>
        <w:t>« 3.11.4.1.1</w:t>
      </w:r>
      <w:r w:rsidRPr="004243AA">
        <w:rPr>
          <w:lang w:val="fr-FR"/>
        </w:rPr>
        <w:tab/>
        <w:t xml:space="preserve">La rampe ne doit pouvoir être utilisée que lorsque le véhicule est à l’arrêt. Le véhicule doit être équipé d’un dispositif de blocage du démarrage qui doit rester activé jusqu’à ce que la rampe soit en position de rangement ou soit </w:t>
      </w:r>
      <w:r>
        <w:rPr>
          <w:lang w:val="fr-FR"/>
        </w:rPr>
        <w:t xml:space="preserve">totalement déconnectée du </w:t>
      </w:r>
      <w:r w:rsidRPr="004243AA">
        <w:rPr>
          <w:lang w:val="fr-FR"/>
        </w:rPr>
        <w:t>véhicule. ».</w:t>
      </w:r>
    </w:p>
    <w:p w:rsidR="00251905" w:rsidRPr="004243AA" w:rsidRDefault="00251905" w:rsidP="00251905">
      <w:pPr>
        <w:spacing w:before="240"/>
        <w:jc w:val="center"/>
        <w:rPr>
          <w:u w:val="single"/>
          <w:lang w:val="fr-FR"/>
        </w:rPr>
      </w:pPr>
      <w:r w:rsidRPr="004243AA">
        <w:rPr>
          <w:u w:val="single"/>
          <w:lang w:val="fr-FR"/>
        </w:rPr>
        <w:tab/>
      </w:r>
      <w:r w:rsidRPr="004243AA">
        <w:rPr>
          <w:u w:val="single"/>
          <w:lang w:val="fr-FR"/>
        </w:rPr>
        <w:tab/>
      </w:r>
      <w:r w:rsidRPr="004243AA">
        <w:rPr>
          <w:u w:val="single"/>
          <w:lang w:val="fr-FR"/>
        </w:rPr>
        <w:tab/>
      </w:r>
    </w:p>
    <w:p w:rsidR="00F9573C" w:rsidRPr="00251905" w:rsidRDefault="00F9573C" w:rsidP="00AF0CB5">
      <w:pPr>
        <w:rPr>
          <w:lang w:val="fr-FR"/>
        </w:rPr>
      </w:pPr>
    </w:p>
    <w:sectPr w:rsidR="00F9573C" w:rsidRPr="00251905" w:rsidSect="00251905">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FD1" w:rsidRDefault="00C22FD1" w:rsidP="00F95C08">
      <w:pPr>
        <w:spacing w:line="240" w:lineRule="auto"/>
      </w:pPr>
    </w:p>
  </w:endnote>
  <w:endnote w:type="continuationSeparator" w:id="0">
    <w:p w:rsidR="00C22FD1" w:rsidRPr="00AC3823" w:rsidRDefault="00C22FD1" w:rsidP="00AC3823">
      <w:pPr>
        <w:pStyle w:val="Pieddepage"/>
      </w:pPr>
    </w:p>
  </w:endnote>
  <w:endnote w:type="continuationNotice" w:id="1">
    <w:p w:rsidR="00C22FD1" w:rsidRDefault="00C22F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905" w:rsidRPr="00251905" w:rsidRDefault="00251905" w:rsidP="00251905">
    <w:pPr>
      <w:pStyle w:val="Pieddepage"/>
      <w:tabs>
        <w:tab w:val="right" w:pos="9638"/>
      </w:tabs>
    </w:pPr>
    <w:r w:rsidRPr="00251905">
      <w:rPr>
        <w:b/>
        <w:sz w:val="18"/>
      </w:rPr>
      <w:fldChar w:fldCharType="begin"/>
    </w:r>
    <w:r w:rsidRPr="00251905">
      <w:rPr>
        <w:b/>
        <w:sz w:val="18"/>
      </w:rPr>
      <w:instrText xml:space="preserve"> PAGE  \* MERGEFORMAT </w:instrText>
    </w:r>
    <w:r w:rsidRPr="00251905">
      <w:rPr>
        <w:b/>
        <w:sz w:val="18"/>
      </w:rPr>
      <w:fldChar w:fldCharType="separate"/>
    </w:r>
    <w:r w:rsidRPr="00251905">
      <w:rPr>
        <w:b/>
        <w:noProof/>
        <w:sz w:val="18"/>
      </w:rPr>
      <w:t>2</w:t>
    </w:r>
    <w:r w:rsidRPr="00251905">
      <w:rPr>
        <w:b/>
        <w:sz w:val="18"/>
      </w:rPr>
      <w:fldChar w:fldCharType="end"/>
    </w:r>
    <w:r>
      <w:rPr>
        <w:b/>
        <w:sz w:val="18"/>
      </w:rPr>
      <w:tab/>
    </w:r>
    <w:r>
      <w:t>GE.20-17422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905" w:rsidRPr="00251905" w:rsidRDefault="00251905" w:rsidP="00251905">
    <w:pPr>
      <w:pStyle w:val="Pieddepage"/>
      <w:tabs>
        <w:tab w:val="right" w:pos="9638"/>
      </w:tabs>
      <w:rPr>
        <w:b/>
        <w:sz w:val="18"/>
      </w:rPr>
    </w:pPr>
    <w:r>
      <w:t>GE.20-17422</w:t>
    </w:r>
    <w:r>
      <w:tab/>
    </w:r>
    <w:r w:rsidRPr="00251905">
      <w:rPr>
        <w:b/>
        <w:sz w:val="18"/>
      </w:rPr>
      <w:fldChar w:fldCharType="begin"/>
    </w:r>
    <w:r w:rsidRPr="00251905">
      <w:rPr>
        <w:b/>
        <w:sz w:val="18"/>
      </w:rPr>
      <w:instrText xml:space="preserve"> PAGE  \* MERGEFORMAT </w:instrText>
    </w:r>
    <w:r w:rsidRPr="00251905">
      <w:rPr>
        <w:b/>
        <w:sz w:val="18"/>
      </w:rPr>
      <w:fldChar w:fldCharType="separate"/>
    </w:r>
    <w:r w:rsidRPr="00251905">
      <w:rPr>
        <w:b/>
        <w:noProof/>
        <w:sz w:val="18"/>
      </w:rPr>
      <w:t>3</w:t>
    </w:r>
    <w:r w:rsidRPr="002519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251905" w:rsidRDefault="00251905" w:rsidP="00251905">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20-17422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200121    200121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FD1" w:rsidRPr="00AC3823" w:rsidRDefault="00C22FD1" w:rsidP="00AC3823">
      <w:pPr>
        <w:pStyle w:val="Pieddepage"/>
        <w:tabs>
          <w:tab w:val="right" w:pos="2155"/>
        </w:tabs>
        <w:spacing w:after="80" w:line="240" w:lineRule="atLeast"/>
        <w:ind w:left="680"/>
        <w:rPr>
          <w:u w:val="single"/>
        </w:rPr>
      </w:pPr>
      <w:r>
        <w:rPr>
          <w:u w:val="single"/>
        </w:rPr>
        <w:tab/>
      </w:r>
    </w:p>
  </w:footnote>
  <w:footnote w:type="continuationSeparator" w:id="0">
    <w:p w:rsidR="00C22FD1" w:rsidRPr="00AC3823" w:rsidRDefault="00C22FD1" w:rsidP="00AC3823">
      <w:pPr>
        <w:pStyle w:val="Pieddepage"/>
        <w:tabs>
          <w:tab w:val="right" w:pos="2155"/>
        </w:tabs>
        <w:spacing w:after="80" w:line="240" w:lineRule="atLeast"/>
        <w:ind w:left="680"/>
        <w:rPr>
          <w:u w:val="single"/>
        </w:rPr>
      </w:pPr>
      <w:r>
        <w:rPr>
          <w:u w:val="single"/>
        </w:rPr>
        <w:tab/>
      </w:r>
    </w:p>
  </w:footnote>
  <w:footnote w:type="continuationNotice" w:id="1">
    <w:p w:rsidR="00C22FD1" w:rsidRPr="00AC3823" w:rsidRDefault="00C22FD1">
      <w:pPr>
        <w:spacing w:line="240" w:lineRule="auto"/>
        <w:rPr>
          <w:sz w:val="2"/>
          <w:szCs w:val="2"/>
        </w:rPr>
      </w:pPr>
    </w:p>
  </w:footnote>
  <w:footnote w:id="2">
    <w:p w:rsidR="00251905" w:rsidRPr="00477D7D" w:rsidRDefault="00251905" w:rsidP="00251905">
      <w:pPr>
        <w:pStyle w:val="Notedebasdepage"/>
        <w:rPr>
          <w:lang w:val="fr-FR"/>
        </w:rPr>
      </w:pPr>
      <w:r>
        <w:rPr>
          <w:sz w:val="20"/>
        </w:rPr>
        <w:tab/>
      </w:r>
      <w:r w:rsidRPr="00251905">
        <w:rPr>
          <w:rStyle w:val="Appelnotedebasdep"/>
          <w:sz w:val="20"/>
          <w:vertAlign w:val="baseline"/>
          <w:lang w:val="fr-FR"/>
        </w:rPr>
        <w:t>*</w:t>
      </w:r>
      <w:r w:rsidRPr="00477D7D">
        <w:rPr>
          <w:lang w:val="fr-FR"/>
        </w:rPr>
        <w:tab/>
      </w:r>
      <w:r w:rsidRPr="00477D7D">
        <w:rPr>
          <w:szCs w:val="18"/>
          <w:lang w:val="fr-FR"/>
        </w:rPr>
        <w:t xml:space="preserve">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 Le présent document est soumis en vertu de ce mandat. </w:t>
      </w:r>
    </w:p>
  </w:footnote>
  <w:footnote w:id="3">
    <w:p w:rsidR="00251905" w:rsidRPr="007B49E9" w:rsidRDefault="00251905" w:rsidP="00251905">
      <w:pPr>
        <w:pStyle w:val="Notedebasdepage"/>
      </w:pPr>
      <w:r w:rsidRPr="00251905">
        <w:rPr>
          <w:rStyle w:val="Appelnotedebasdep"/>
          <w:vertAlign w:val="baseline"/>
          <w:lang w:val="fr-FR"/>
        </w:rPr>
        <w:tab/>
      </w:r>
      <w:r w:rsidRPr="00251905">
        <w:rPr>
          <w:rStyle w:val="Appelnotedebasdep"/>
          <w:sz w:val="20"/>
          <w:vertAlign w:val="baseline"/>
          <w:lang w:val="fr-FR"/>
        </w:rPr>
        <w:t>**</w:t>
      </w:r>
      <w:r w:rsidRPr="00477D7D">
        <w:rPr>
          <w:rStyle w:val="Appelnotedebasdep"/>
          <w:sz w:val="20"/>
          <w:lang w:val="fr-FR"/>
        </w:rPr>
        <w:tab/>
      </w:r>
      <w:r w:rsidRPr="00477D7D">
        <w:rPr>
          <w:lang w:val="fr-FR"/>
        </w:rPr>
        <w:t>Il a été convenu que le présent document serait publié après la date normale de publication en raison de circonstances indépendantes de la volonté du soumetteur.</w:t>
      </w:r>
    </w:p>
  </w:footnote>
  <w:footnote w:id="4">
    <w:p w:rsidR="00251905" w:rsidRPr="00251905" w:rsidRDefault="00251905" w:rsidP="00251905">
      <w:pPr>
        <w:pStyle w:val="Notedebasdepage"/>
        <w:rPr>
          <w:rStyle w:val="Appelnotedebasdep"/>
          <w:vertAlign w:val="baseline"/>
        </w:rPr>
      </w:pPr>
      <w:r w:rsidRPr="00477D7D">
        <w:rPr>
          <w:rStyle w:val="Appelnotedebasdep"/>
          <w:lang w:val="fr-FR"/>
        </w:rPr>
        <w:tab/>
      </w:r>
      <w:r w:rsidRPr="00251905">
        <w:rPr>
          <w:rStyle w:val="Appelnotedebasdep"/>
          <w:vertAlign w:val="baseline"/>
        </w:rPr>
        <w:t>*</w:t>
      </w:r>
      <w:r w:rsidRPr="00251905">
        <w:rPr>
          <w:rStyle w:val="Appelnotedebasdep"/>
          <w:vertAlign w:val="baseline"/>
        </w:rPr>
        <w:tab/>
        <w:t>Ce numéro n’est donné qu’à titre d’exemple.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905" w:rsidRPr="00251905" w:rsidRDefault="00251905">
    <w:pPr>
      <w:pStyle w:val="En-tte"/>
    </w:pPr>
    <w:fldSimple w:instr=" TITLE  \* MERGEFORMAT ">
      <w:r>
        <w:t>ECE/TRANS/WP.29/2021/26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905" w:rsidRPr="00251905" w:rsidRDefault="00251905" w:rsidP="00251905">
    <w:pPr>
      <w:pStyle w:val="En-tte"/>
      <w:jc w:val="right"/>
    </w:pPr>
    <w:fldSimple w:instr=" TITLE  \* MERGEFORMAT ">
      <w:r>
        <w:t>ECE/TRANS/WP.29/2021/26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FD1"/>
    <w:rsid w:val="00017F94"/>
    <w:rsid w:val="00023842"/>
    <w:rsid w:val="000334F9"/>
    <w:rsid w:val="00045FEB"/>
    <w:rsid w:val="0007796D"/>
    <w:rsid w:val="000B7790"/>
    <w:rsid w:val="00111F2F"/>
    <w:rsid w:val="0014365E"/>
    <w:rsid w:val="00143C66"/>
    <w:rsid w:val="00176178"/>
    <w:rsid w:val="001C0455"/>
    <w:rsid w:val="001F525A"/>
    <w:rsid w:val="00201148"/>
    <w:rsid w:val="00223272"/>
    <w:rsid w:val="0024779E"/>
    <w:rsid w:val="00251905"/>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22FD1"/>
    <w:rsid w:val="00C97039"/>
    <w:rsid w:val="00D1347C"/>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9F0DFB"/>
  <w15:docId w15:val="{1D33BD36-D1E6-4F64-A0C7-428C2299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uiPriority w:val="99"/>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uiPriority w:val="99"/>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locked/>
    <w:rsid w:val="00251905"/>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251905"/>
    <w:rPr>
      <w:rFonts w:ascii="Times New Roman" w:eastAsiaTheme="minorHAnsi" w:hAnsi="Times New Roman" w:cs="Times New Roman"/>
      <w:sz w:val="20"/>
      <w:szCs w:val="20"/>
      <w:lang w:eastAsia="en-US"/>
    </w:rPr>
  </w:style>
  <w:style w:type="paragraph" w:styleId="Paragraphedeliste">
    <w:name w:val="List Paragraph"/>
    <w:basedOn w:val="Normal"/>
    <w:uiPriority w:val="34"/>
    <w:qFormat/>
    <w:rsid w:val="00251905"/>
    <w:pPr>
      <w:suppressAutoHyphens w:val="0"/>
      <w:kinsoku/>
      <w:overflowPunct/>
      <w:autoSpaceDE/>
      <w:autoSpaceDN/>
      <w:adjustRightInd/>
      <w:snapToGrid/>
      <w:spacing w:line="240" w:lineRule="auto"/>
      <w:ind w:left="720"/>
    </w:pPr>
    <w:rPr>
      <w:rFonts w:ascii="Calibri" w:eastAsia="Times New Roman" w:hAnsi="Calibri"/>
      <w:sz w:val="22"/>
      <w:szCs w:val="22"/>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19F1A7-D15F-4E4F-A184-DD5DBEDA37EF}"/>
</file>

<file path=customXml/itemProps2.xml><?xml version="1.0" encoding="utf-8"?>
<ds:datastoreItem xmlns:ds="http://schemas.openxmlformats.org/officeDocument/2006/customXml" ds:itemID="{360DCD29-D858-45D6-93B2-F908570666F4}"/>
</file>

<file path=customXml/itemProps3.xml><?xml version="1.0" encoding="utf-8"?>
<ds:datastoreItem xmlns:ds="http://schemas.openxmlformats.org/officeDocument/2006/customXml" ds:itemID="{2FDF2D71-6843-4F30-91D4-0DDBE6E2FA5A}"/>
</file>

<file path=docProps/app.xml><?xml version="1.0" encoding="utf-8"?>
<Properties xmlns="http://schemas.openxmlformats.org/officeDocument/2006/extended-properties" xmlns:vt="http://schemas.openxmlformats.org/officeDocument/2006/docPropsVTypes">
  <Template>ECE_TRANS.dotm</Template>
  <TotalTime>0</TotalTime>
  <Pages>4</Pages>
  <Words>1277</Words>
  <Characters>7002</Characters>
  <Application>Microsoft Office Word</Application>
  <DocSecurity>0</DocSecurity>
  <Lines>155</Lines>
  <Paragraphs>70</Paragraphs>
  <ScaleCrop>false</ScaleCrop>
  <HeadingPairs>
    <vt:vector size="2" baseType="variant">
      <vt:variant>
        <vt:lpstr>Titre</vt:lpstr>
      </vt:variant>
      <vt:variant>
        <vt:i4>1</vt:i4>
      </vt:variant>
    </vt:vector>
  </HeadingPairs>
  <TitlesOfParts>
    <vt:vector size="1" baseType="lpstr">
      <vt:lpstr>ECE/TRANS/WP.29/2021/26</vt:lpstr>
    </vt:vector>
  </TitlesOfParts>
  <Company>DCM</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ECE/TRANS/WP.29/2021/26</dc:title>
  <dc:subject/>
  <dc:creator>Sandrine CLERE</dc:creator>
  <cp:keywords/>
  <cp:lastModifiedBy>Sandrine CLERE</cp:lastModifiedBy>
  <cp:revision>2</cp:revision>
  <cp:lastPrinted>2014-05-14T10:59:00Z</cp:lastPrinted>
  <dcterms:created xsi:type="dcterms:W3CDTF">2021-01-20T15:55:00Z</dcterms:created>
  <dcterms:modified xsi:type="dcterms:W3CDTF">2021-01-20T15:55:00Z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