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340A41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007254" w14:textId="77777777" w:rsidR="00F35BAF" w:rsidRPr="00DB58B5" w:rsidRDefault="00F35BAF" w:rsidP="00DD6BC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2EC28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E98FDC" w14:textId="77777777" w:rsidR="00F35BAF" w:rsidRPr="00DB58B5" w:rsidRDefault="00DD6BC2" w:rsidP="00DD6BC2">
            <w:pPr>
              <w:jc w:val="right"/>
            </w:pPr>
            <w:r w:rsidRPr="00DD6BC2">
              <w:rPr>
                <w:sz w:val="40"/>
              </w:rPr>
              <w:t>ECE</w:t>
            </w:r>
            <w:r>
              <w:t>/TRANS/WP.29/2021/19</w:t>
            </w:r>
          </w:p>
        </w:tc>
      </w:tr>
      <w:tr w:rsidR="00F35BAF" w:rsidRPr="00DB58B5" w14:paraId="754D0A0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1E3F6E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B003987" wp14:editId="62ABBAD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83A8A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E9D301" w14:textId="77777777" w:rsidR="00F35BAF" w:rsidRDefault="00DD6BC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F50B104" w14:textId="77777777" w:rsidR="00DD6BC2" w:rsidRDefault="00DD6BC2" w:rsidP="00DD6BC2">
            <w:pPr>
              <w:spacing w:line="240" w:lineRule="exact"/>
            </w:pPr>
            <w:r>
              <w:t>21 décembre 2020</w:t>
            </w:r>
          </w:p>
          <w:p w14:paraId="05A3D6A0" w14:textId="77777777" w:rsidR="00DD6BC2" w:rsidRDefault="00DD6BC2" w:rsidP="00DD6BC2">
            <w:pPr>
              <w:spacing w:line="240" w:lineRule="exact"/>
            </w:pPr>
            <w:r>
              <w:t>Français</w:t>
            </w:r>
          </w:p>
          <w:p w14:paraId="796D6873" w14:textId="77777777" w:rsidR="00DD6BC2" w:rsidRPr="00DB58B5" w:rsidRDefault="00DD6BC2" w:rsidP="00DD6BC2">
            <w:pPr>
              <w:spacing w:line="240" w:lineRule="exact"/>
            </w:pPr>
            <w:r>
              <w:t>Original : anglais</w:t>
            </w:r>
          </w:p>
        </w:tc>
      </w:tr>
    </w:tbl>
    <w:p w14:paraId="27875B6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EC97D2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2D3A7CC" w14:textId="77777777" w:rsidR="00DD6BC2" w:rsidRPr="00DD6BC2" w:rsidRDefault="00DD6BC2" w:rsidP="00DD6BC2">
      <w:pPr>
        <w:spacing w:before="120"/>
        <w:rPr>
          <w:b/>
          <w:sz w:val="24"/>
          <w:szCs w:val="24"/>
        </w:rPr>
      </w:pPr>
      <w:r w:rsidRPr="00DD6BC2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DD6BC2">
        <w:rPr>
          <w:b/>
          <w:bCs/>
          <w:sz w:val="24"/>
          <w:szCs w:val="24"/>
          <w:lang w:val="fr-FR"/>
        </w:rPr>
        <w:t>concernant les véhicules</w:t>
      </w:r>
    </w:p>
    <w:p w14:paraId="6CD91A65" w14:textId="77777777" w:rsidR="00DD6BC2" w:rsidRPr="00DD6BC2" w:rsidRDefault="00DD6BC2" w:rsidP="00DD6BC2">
      <w:pPr>
        <w:spacing w:before="120"/>
        <w:rPr>
          <w:b/>
        </w:rPr>
      </w:pPr>
      <w:r w:rsidRPr="00DD6BC2">
        <w:rPr>
          <w:b/>
          <w:bCs/>
          <w:lang w:val="fr-FR"/>
        </w:rPr>
        <w:t>183</w:t>
      </w:r>
      <w:r w:rsidRPr="00DD6BC2">
        <w:rPr>
          <w:b/>
          <w:bCs/>
          <w:vertAlign w:val="superscript"/>
          <w:lang w:val="fr-FR"/>
        </w:rPr>
        <w:t>e</w:t>
      </w:r>
      <w:r w:rsidRPr="00DD6BC2">
        <w:rPr>
          <w:b/>
          <w:bCs/>
          <w:lang w:val="fr-FR"/>
        </w:rPr>
        <w:t xml:space="preserve"> session</w:t>
      </w:r>
    </w:p>
    <w:p w14:paraId="5FD67400" w14:textId="77777777" w:rsidR="00DD6BC2" w:rsidRPr="00DD6BC2" w:rsidRDefault="00DD6BC2" w:rsidP="00DD6BC2">
      <w:r w:rsidRPr="00DD6BC2">
        <w:rPr>
          <w:lang w:val="fr-FR"/>
        </w:rPr>
        <w:t>Genève, 9-11</w:t>
      </w:r>
      <w:r>
        <w:rPr>
          <w:lang w:val="fr-FR"/>
        </w:rPr>
        <w:t> </w:t>
      </w:r>
      <w:r w:rsidRPr="00DD6BC2">
        <w:rPr>
          <w:lang w:val="fr-FR"/>
        </w:rPr>
        <w:t>mars 2021</w:t>
      </w:r>
    </w:p>
    <w:p w14:paraId="412CFFA3" w14:textId="77777777" w:rsidR="00DD6BC2" w:rsidRPr="00DD6BC2" w:rsidRDefault="00DD6BC2" w:rsidP="00DD6BC2">
      <w:r w:rsidRPr="00DD6BC2">
        <w:rPr>
          <w:lang w:val="fr-FR"/>
        </w:rPr>
        <w:t>Point 4.8.1 de l’ordre du jour provisoire</w:t>
      </w:r>
    </w:p>
    <w:p w14:paraId="7657EFAC" w14:textId="77777777" w:rsidR="00DD6BC2" w:rsidRPr="00DD6BC2" w:rsidRDefault="00DD6BC2" w:rsidP="00DD6BC2">
      <w:pPr>
        <w:rPr>
          <w:b/>
          <w:bCs/>
          <w:lang w:val="fr-FR"/>
        </w:rPr>
      </w:pPr>
      <w:r w:rsidRPr="00DD6BC2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DD6BC2">
        <w:rPr>
          <w:b/>
          <w:bCs/>
          <w:lang w:val="fr-FR"/>
        </w:rPr>
        <w:t>:</w:t>
      </w:r>
    </w:p>
    <w:p w14:paraId="2692830F" w14:textId="77777777" w:rsidR="00DD6BC2" w:rsidRPr="00DD6BC2" w:rsidRDefault="00DD6BC2" w:rsidP="00DD6BC2">
      <w:pPr>
        <w:rPr>
          <w:b/>
        </w:rPr>
      </w:pPr>
      <w:r w:rsidRPr="00DD6BC2">
        <w:rPr>
          <w:b/>
          <w:bCs/>
          <w:lang w:val="fr-FR"/>
        </w:rPr>
        <w:t xml:space="preserve">Examen de projets d’amendements à des Règlements ONU </w:t>
      </w:r>
      <w:r>
        <w:rPr>
          <w:b/>
          <w:bCs/>
          <w:lang w:val="fr-FR"/>
        </w:rPr>
        <w:br/>
      </w:r>
      <w:r w:rsidRPr="00DD6BC2">
        <w:rPr>
          <w:b/>
          <w:bCs/>
          <w:lang w:val="fr-FR"/>
        </w:rPr>
        <w:t>existants, soumis par le GRSG</w:t>
      </w:r>
    </w:p>
    <w:p w14:paraId="5DBAADBD" w14:textId="77777777" w:rsidR="00DD6BC2" w:rsidRPr="00DD6BC2" w:rsidRDefault="00DD6BC2" w:rsidP="00DD6BC2">
      <w:pPr>
        <w:pStyle w:val="HChG"/>
      </w:pPr>
      <w:r w:rsidRPr="00DD6BC2">
        <w:rPr>
          <w:lang w:val="fr-FR"/>
        </w:rPr>
        <w:tab/>
      </w:r>
      <w:r w:rsidRPr="00DD6BC2">
        <w:rPr>
          <w:lang w:val="fr-FR"/>
        </w:rPr>
        <w:tab/>
        <w:t xml:space="preserve">Proposition de complément 9 à la série 04 d’amendements </w:t>
      </w:r>
      <w:r>
        <w:rPr>
          <w:lang w:val="fr-FR"/>
        </w:rPr>
        <w:br/>
      </w:r>
      <w:r w:rsidRPr="00DD6BC2">
        <w:rPr>
          <w:lang w:val="fr-FR"/>
        </w:rPr>
        <w:t>au Règlement ONU n</w:t>
      </w:r>
      <w:r w:rsidRPr="00DD6BC2">
        <w:rPr>
          <w:vertAlign w:val="superscript"/>
          <w:lang w:val="fr-FR"/>
        </w:rPr>
        <w:t>o </w:t>
      </w:r>
      <w:r w:rsidRPr="00DD6BC2">
        <w:rPr>
          <w:lang w:val="fr-FR"/>
        </w:rPr>
        <w:t xml:space="preserve">46 (Systèmes de vision indirecte) </w:t>
      </w:r>
    </w:p>
    <w:p w14:paraId="5DA81CF3" w14:textId="77777777" w:rsidR="00DD6BC2" w:rsidRPr="00C04362" w:rsidRDefault="00DD6BC2" w:rsidP="00DD6BC2">
      <w:pPr>
        <w:pStyle w:val="H1G"/>
      </w:pPr>
      <w:r w:rsidRPr="00C04362">
        <w:rPr>
          <w:lang w:val="fr-FR"/>
        </w:rPr>
        <w:tab/>
      </w:r>
      <w:r w:rsidRPr="00C04362">
        <w:rPr>
          <w:lang w:val="fr-FR"/>
        </w:rPr>
        <w:tab/>
        <w:t xml:space="preserve">Communication du Groupe de travail des dispositions </w:t>
      </w:r>
      <w:r>
        <w:rPr>
          <w:lang w:val="fr-FR"/>
        </w:rPr>
        <w:br/>
      </w:r>
      <w:r w:rsidRPr="00C04362">
        <w:rPr>
          <w:lang w:val="fr-FR"/>
        </w:rPr>
        <w:t>générales de sécurité</w:t>
      </w:r>
      <w:r w:rsidRPr="00DD6BC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C04362">
        <w:rPr>
          <w:lang w:val="fr-FR"/>
        </w:rPr>
        <w:t xml:space="preserve"> </w:t>
      </w:r>
    </w:p>
    <w:p w14:paraId="156B88B2" w14:textId="77777777" w:rsidR="00DD6BC2" w:rsidRDefault="00DD6BC2" w:rsidP="00DD6BC2">
      <w:pPr>
        <w:pStyle w:val="SingleTxtG"/>
        <w:ind w:firstLine="567"/>
      </w:pPr>
      <w:r w:rsidRPr="00C04362">
        <w:rPr>
          <w:lang w:val="fr-FR"/>
        </w:rPr>
        <w:t>Le texte ci-après a été adopté par le Groupe de travail des dispositions générales de sécurité (GRSG) à sa 119</w:t>
      </w:r>
      <w:r w:rsidRPr="00C04362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C04362">
        <w:rPr>
          <w:lang w:val="fr-FR"/>
        </w:rPr>
        <w:t>session, tenue en octobre 2020 (ECE/TRANS/WP.29/GRSG/98, par.</w:t>
      </w:r>
      <w:r>
        <w:rPr>
          <w:lang w:val="fr-FR"/>
        </w:rPr>
        <w:t> </w:t>
      </w:r>
      <w:r w:rsidRPr="00C04362">
        <w:rPr>
          <w:lang w:val="fr-FR"/>
        </w:rPr>
        <w:t>31). Il est fondé sur le document ECE/TRANS/WP.29/GRSG/2020/6. Il est soumis au Forum mondial de l</w:t>
      </w:r>
      <w:r>
        <w:rPr>
          <w:lang w:val="fr-FR"/>
        </w:rPr>
        <w:t>’</w:t>
      </w:r>
      <w:r w:rsidRPr="00C04362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C04362">
        <w:rPr>
          <w:lang w:val="fr-FR"/>
        </w:rPr>
        <w:t>administration de l</w:t>
      </w:r>
      <w:r>
        <w:rPr>
          <w:lang w:val="fr-FR"/>
        </w:rPr>
        <w:t>’</w:t>
      </w:r>
      <w:r w:rsidRPr="00C04362">
        <w:rPr>
          <w:lang w:val="fr-FR"/>
        </w:rPr>
        <w:t>Accord de 1958 (AC.1) pour examen et mise aux voix à leurs sessions de mars 2021.</w:t>
      </w:r>
    </w:p>
    <w:p w14:paraId="5967D626" w14:textId="77777777" w:rsidR="00DD6BC2" w:rsidRPr="00C04362" w:rsidRDefault="00DD6BC2" w:rsidP="00DD6BC2">
      <w:r w:rsidRPr="00C04362">
        <w:br w:type="page"/>
      </w:r>
    </w:p>
    <w:p w14:paraId="7F8F6690" w14:textId="77777777" w:rsidR="00DD6BC2" w:rsidRPr="00C04362" w:rsidRDefault="00DD6BC2" w:rsidP="00DD6BC2">
      <w:pPr>
        <w:pStyle w:val="SingleTxtG"/>
        <w:keepNext/>
      </w:pPr>
      <w:bookmarkStart w:id="0" w:name="__DdeLink__9642_1795226899"/>
      <w:r w:rsidRPr="00DD6BC2">
        <w:rPr>
          <w:i/>
          <w:iCs/>
          <w:lang w:val="fr-FR"/>
        </w:rPr>
        <w:lastRenderedPageBreak/>
        <w:t>Paragraphes 2.1.1.7 à 2.1.1.9</w:t>
      </w:r>
      <w:r w:rsidRPr="00C04362">
        <w:rPr>
          <w:lang w:val="fr-FR"/>
        </w:rPr>
        <w:t>, lire</w:t>
      </w:r>
      <w:r w:rsidR="0039267A">
        <w:rPr>
          <w:lang w:val="fr-FR"/>
        </w:rPr>
        <w:t> </w:t>
      </w:r>
      <w:bookmarkStart w:id="1" w:name="_GoBack"/>
      <w:bookmarkEnd w:id="1"/>
      <w:r w:rsidRPr="00C04362">
        <w:rPr>
          <w:lang w:val="fr-FR"/>
        </w:rPr>
        <w:t>:</w:t>
      </w:r>
      <w:bookmarkEnd w:id="0"/>
    </w:p>
    <w:p w14:paraId="3B5E9EB2" w14:textId="77777777" w:rsidR="00DD6BC2" w:rsidRPr="00C04362" w:rsidRDefault="00DD6BC2" w:rsidP="00DD6BC2">
      <w:pPr>
        <w:pStyle w:val="SingleTxtG"/>
        <w:ind w:left="2268" w:hanging="1134"/>
      </w:pPr>
      <w:bookmarkStart w:id="2" w:name="A0_S6_4_"/>
      <w:r w:rsidRPr="00C04362">
        <w:rPr>
          <w:lang w:val="fr-FR"/>
        </w:rPr>
        <w:t>«</w:t>
      </w:r>
      <w:r>
        <w:rPr>
          <w:lang w:val="fr-FR"/>
        </w:rPr>
        <w:t> </w:t>
      </w:r>
      <w:r w:rsidRPr="00C04362">
        <w:rPr>
          <w:lang w:val="fr-FR"/>
        </w:rPr>
        <w:t>2.1.1.7</w:t>
      </w:r>
      <w:r w:rsidRPr="00C04362">
        <w:rPr>
          <w:lang w:val="fr-FR"/>
        </w:rPr>
        <w:tab/>
        <w:t>Par “surface sphérique”, on désigne une surface convexe qui présente, dans les axes horizontal et vertical, un rayon de courbure mesuré conforme aux dispositions énoncées aux paragraphes</w:t>
      </w:r>
      <w:r>
        <w:rPr>
          <w:lang w:val="fr-FR"/>
        </w:rPr>
        <w:t> </w:t>
      </w:r>
      <w:r w:rsidRPr="00C04362">
        <w:rPr>
          <w:lang w:val="fr-FR"/>
        </w:rPr>
        <w:t>6.1.2.2.2 et 6.1.2.2.4.</w:t>
      </w:r>
      <w:bookmarkEnd w:id="2"/>
    </w:p>
    <w:p w14:paraId="37FADA39" w14:textId="77777777" w:rsidR="00DD6BC2" w:rsidRPr="00C04362" w:rsidRDefault="00DD6BC2" w:rsidP="00DD6BC2">
      <w:pPr>
        <w:pStyle w:val="SingleTxtG"/>
        <w:ind w:left="2268" w:hanging="1134"/>
      </w:pPr>
      <w:r w:rsidRPr="00C04362">
        <w:rPr>
          <w:lang w:val="fr-FR"/>
        </w:rPr>
        <w:t>2.1.1.8</w:t>
      </w:r>
      <w:r w:rsidRPr="00C04362">
        <w:rPr>
          <w:lang w:val="fr-FR"/>
        </w:rPr>
        <w:tab/>
        <w:t>Par “surface asphérique”, on désigne une surface convexe qui peut présenter un rayon de courbure variable dans les axes horizontal et vertical.</w:t>
      </w:r>
    </w:p>
    <w:p w14:paraId="2D928218" w14:textId="77777777" w:rsidR="00DD6BC2" w:rsidRPr="00C04362" w:rsidRDefault="00DD6BC2" w:rsidP="00DD6BC2">
      <w:pPr>
        <w:pStyle w:val="SingleTxtG"/>
        <w:spacing w:after="240"/>
        <w:ind w:left="2268" w:hanging="1134"/>
      </w:pPr>
      <w:bookmarkStart w:id="3" w:name="A0_S6_4_2_"/>
      <w:r w:rsidRPr="00C04362">
        <w:rPr>
          <w:lang w:val="fr-FR"/>
        </w:rPr>
        <w:t>2.1.1.9</w:t>
      </w:r>
      <w:r w:rsidRPr="00C04362">
        <w:rPr>
          <w:lang w:val="fr-FR"/>
        </w:rPr>
        <w:tab/>
        <w:t>Par “rétroviseur/</w:t>
      </w:r>
      <w:proofErr w:type="spellStart"/>
      <w:r w:rsidRPr="00C04362">
        <w:rPr>
          <w:lang w:val="fr-FR"/>
        </w:rPr>
        <w:t>antéviseur</w:t>
      </w:r>
      <w:proofErr w:type="spellEnd"/>
      <w:r w:rsidRPr="00C04362">
        <w:rPr>
          <w:lang w:val="fr-FR"/>
        </w:rPr>
        <w:t xml:space="preserve"> asphérique”, on désigne un rétroviseur/</w:t>
      </w:r>
      <w:proofErr w:type="spellStart"/>
      <w:r w:rsidRPr="00C04362">
        <w:rPr>
          <w:lang w:val="fr-FR"/>
        </w:rPr>
        <w:t>antéviseur</w:t>
      </w:r>
      <w:proofErr w:type="spellEnd"/>
      <w:r w:rsidRPr="00C04362">
        <w:rPr>
          <w:lang w:val="fr-FR"/>
        </w:rPr>
        <w:t xml:space="preserve"> composé d</w:t>
      </w:r>
      <w:r>
        <w:rPr>
          <w:lang w:val="fr-FR"/>
        </w:rPr>
        <w:t>’</w:t>
      </w:r>
      <w:r w:rsidRPr="00C04362">
        <w:rPr>
          <w:lang w:val="fr-FR"/>
        </w:rPr>
        <w:t>une portion sphérique et d</w:t>
      </w:r>
      <w:r>
        <w:rPr>
          <w:lang w:val="fr-FR"/>
        </w:rPr>
        <w:t>’</w:t>
      </w:r>
      <w:r w:rsidRPr="00C04362">
        <w:rPr>
          <w:lang w:val="fr-FR"/>
        </w:rPr>
        <w:t>une portion asphérique, au sens des paragraphes</w:t>
      </w:r>
      <w:r>
        <w:rPr>
          <w:lang w:val="fr-FR"/>
        </w:rPr>
        <w:t> </w:t>
      </w:r>
      <w:r w:rsidRPr="00C04362">
        <w:rPr>
          <w:lang w:val="fr-FR"/>
        </w:rPr>
        <w:t>2.1.1.7 et 2.1.1.8, respectivement, sur lequel la transition entre la portion sphérique et la portion asphérique de la surface réfléchissante doit être marquée. La courbure de l</w:t>
      </w:r>
      <w:r>
        <w:rPr>
          <w:lang w:val="fr-FR"/>
        </w:rPr>
        <w:t>’</w:t>
      </w:r>
      <w:r w:rsidRPr="00C04362">
        <w:rPr>
          <w:lang w:val="fr-FR"/>
        </w:rPr>
        <w:t>axe principal du rétroviseur/</w:t>
      </w:r>
      <w:proofErr w:type="spellStart"/>
      <w:r w:rsidRPr="00C04362">
        <w:rPr>
          <w:lang w:val="fr-FR"/>
        </w:rPr>
        <w:t>antéviseur</w:t>
      </w:r>
      <w:proofErr w:type="spellEnd"/>
      <w:r w:rsidRPr="00C04362">
        <w:rPr>
          <w:lang w:val="fr-FR"/>
        </w:rPr>
        <w:t xml:space="preserve"> peut ainsi être définie, dans le système de coordonnées x/y, par le rayon de la calotte sphérique primaire selon la formule</w:t>
      </w:r>
      <w:r>
        <w:rPr>
          <w:lang w:val="fr-FR"/>
        </w:rPr>
        <w:t> </w:t>
      </w:r>
      <w:r w:rsidRPr="00C04362">
        <w:rPr>
          <w:lang w:val="fr-FR"/>
        </w:rPr>
        <w:t>:</w:t>
      </w:r>
      <w:bookmarkEnd w:id="3"/>
    </w:p>
    <w:p w14:paraId="68958DD6" w14:textId="77777777" w:rsidR="00DD6BC2" w:rsidRPr="00C04362" w:rsidRDefault="00DD6BC2" w:rsidP="00DD6BC2">
      <w:pPr>
        <w:spacing w:after="240"/>
        <w:jc w:val="center"/>
      </w:pPr>
      <w:r w:rsidRPr="00C04362">
        <w:rPr>
          <w:rFonts w:ascii="Calibri" w:hAnsi="Calibri" w:cs="Calibri"/>
          <w:noProof/>
          <w:lang w:val="it-IT" w:eastAsia="it-IT"/>
        </w:rPr>
        <w:drawing>
          <wp:inline distT="0" distB="0" distL="0" distR="0" wp14:anchorId="516DCE82" wp14:editId="7C983999">
            <wp:extent cx="2145600" cy="259200"/>
            <wp:effectExtent l="0" t="0" r="7620" b="7620"/>
            <wp:docPr id="4" name="Immagine 1" descr="C:\Users\musso\AppData\Local\Temp\notes95E17C\~b3724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usso\AppData\Local\Temp\notes95E17C\~b37248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F30A5" w14:textId="77777777" w:rsidR="00DD6BC2" w:rsidRPr="00C04362" w:rsidRDefault="00DD6BC2" w:rsidP="00DD6BC2">
      <w:pPr>
        <w:pStyle w:val="SingleTxtG"/>
        <w:ind w:left="2268"/>
      </w:pPr>
      <w:r w:rsidRPr="00C04362">
        <w:rPr>
          <w:lang w:val="fr-FR"/>
        </w:rPr>
        <w:tab/>
        <w:t>où :</w:t>
      </w:r>
    </w:p>
    <w:p w14:paraId="60AA04FA" w14:textId="77777777" w:rsidR="00DD6BC2" w:rsidRPr="00C04362" w:rsidRDefault="00DD6BC2" w:rsidP="00DD6BC2">
      <w:pPr>
        <w:pStyle w:val="SingleTxtG"/>
        <w:ind w:left="2268"/>
      </w:pPr>
      <w:r w:rsidRPr="00C04362">
        <w:rPr>
          <w:lang w:val="fr-FR"/>
        </w:rPr>
        <w:tab/>
      </w:r>
      <w:r>
        <w:rPr>
          <w:lang w:val="fr-FR"/>
        </w:rPr>
        <w:t xml:space="preserve">R </w:t>
      </w:r>
      <w:r w:rsidRPr="00C04362">
        <w:rPr>
          <w:lang w:val="fr-FR"/>
        </w:rPr>
        <w:t>Rayon nominal de la partie sphérique</w:t>
      </w:r>
      <w:r>
        <w:rPr>
          <w:lang w:val="fr-FR"/>
        </w:rPr>
        <w:t> </w:t>
      </w:r>
      <w:r w:rsidRPr="00C04362">
        <w:rPr>
          <w:lang w:val="fr-FR"/>
        </w:rPr>
        <w:t>;</w:t>
      </w:r>
    </w:p>
    <w:p w14:paraId="758DDF42" w14:textId="77777777" w:rsidR="00DD6BC2" w:rsidRPr="00C04362" w:rsidRDefault="00DD6BC2" w:rsidP="00DD6BC2">
      <w:pPr>
        <w:pStyle w:val="SingleTxtG"/>
        <w:ind w:left="2268"/>
      </w:pPr>
      <w:r w:rsidRPr="00C04362">
        <w:rPr>
          <w:lang w:val="fr-FR"/>
        </w:rPr>
        <w:tab/>
        <w:t>k Constante pour la variation de la courbure</w:t>
      </w:r>
      <w:r>
        <w:rPr>
          <w:lang w:val="fr-FR"/>
        </w:rPr>
        <w:t> </w:t>
      </w:r>
      <w:r w:rsidRPr="00C04362">
        <w:rPr>
          <w:lang w:val="fr-FR"/>
        </w:rPr>
        <w:t>;</w:t>
      </w:r>
    </w:p>
    <w:p w14:paraId="5EBACB27" w14:textId="77777777" w:rsidR="00DD6BC2" w:rsidRPr="00C04362" w:rsidRDefault="00DD6BC2" w:rsidP="00DD6BC2">
      <w:pPr>
        <w:pStyle w:val="SingleTxtG"/>
        <w:ind w:left="2268"/>
      </w:pPr>
      <w:r w:rsidRPr="00C04362">
        <w:rPr>
          <w:lang w:val="fr-FR"/>
        </w:rPr>
        <w:tab/>
        <w:t>a  Constante pour la dimension sphérique de la calotte sphérique primaire.</w:t>
      </w:r>
      <w:r>
        <w:rPr>
          <w:lang w:val="fr-FR"/>
        </w:rPr>
        <w:t> ».</w:t>
      </w:r>
    </w:p>
    <w:p w14:paraId="3F1091D3" w14:textId="77777777" w:rsidR="00DD6BC2" w:rsidRPr="00C04362" w:rsidRDefault="00DD6BC2" w:rsidP="00DD6BC2">
      <w:pPr>
        <w:pStyle w:val="SingleTxtG"/>
        <w:keepNext/>
      </w:pPr>
      <w:r w:rsidRPr="00C04362">
        <w:rPr>
          <w:i/>
          <w:iCs/>
          <w:lang w:val="fr-FR"/>
        </w:rPr>
        <w:t>Paragraphe 6.1.2.2.1</w:t>
      </w:r>
      <w:r w:rsidRPr="00C04362">
        <w:rPr>
          <w:lang w:val="fr-FR"/>
        </w:rPr>
        <w:t>, lire :</w:t>
      </w:r>
    </w:p>
    <w:p w14:paraId="79B732C0" w14:textId="77777777" w:rsidR="00DD6BC2" w:rsidRDefault="00DD6BC2" w:rsidP="00DD6BC2">
      <w:pPr>
        <w:pStyle w:val="SingleTxtG"/>
        <w:ind w:left="2268" w:hanging="1134"/>
        <w:rPr>
          <w:bCs/>
          <w:lang w:val="fr-FR"/>
        </w:rPr>
      </w:pPr>
      <w:r>
        <w:rPr>
          <w:bCs/>
          <w:lang w:val="fr-FR"/>
        </w:rPr>
        <w:t>« </w:t>
      </w:r>
      <w:r w:rsidRPr="00C04362">
        <w:rPr>
          <w:bCs/>
          <w:lang w:val="fr-FR"/>
        </w:rPr>
        <w:t>6.1.2.2.1</w:t>
      </w:r>
      <w:r w:rsidRPr="00C04362">
        <w:rPr>
          <w:bCs/>
          <w:lang w:val="fr-FR"/>
        </w:rPr>
        <w:tab/>
        <w:t>La surface réfléchissante d</w:t>
      </w:r>
      <w:r>
        <w:rPr>
          <w:bCs/>
          <w:lang w:val="fr-FR"/>
        </w:rPr>
        <w:t>’</w:t>
      </w:r>
      <w:r w:rsidRPr="00C04362">
        <w:rPr>
          <w:bCs/>
          <w:lang w:val="fr-FR"/>
        </w:rPr>
        <w:t>un rétroviseur doit être plane ou convexe. Les rétroviseurs extérieurs peuvent être munis d</w:t>
      </w:r>
      <w:r>
        <w:rPr>
          <w:bCs/>
          <w:lang w:val="fr-FR"/>
        </w:rPr>
        <w:t>’</w:t>
      </w:r>
      <w:r w:rsidRPr="00C04362">
        <w:rPr>
          <w:bCs/>
          <w:lang w:val="fr-FR"/>
        </w:rPr>
        <w:t>une partie asphérique additionnelle à condition que le miroir principal satisfasse aux prescriptions concernant le champ de vision indirecte</w:t>
      </w:r>
      <w:r>
        <w:rPr>
          <w:bCs/>
          <w:lang w:val="fr-FR"/>
        </w:rPr>
        <w:t>.</w:t>
      </w:r>
      <w:r>
        <w:rPr>
          <w:bCs/>
          <w:lang w:val="fr-FR"/>
        </w:rPr>
        <w:t> </w:t>
      </w:r>
      <w:r>
        <w:rPr>
          <w:bCs/>
          <w:lang w:val="fr-FR"/>
        </w:rPr>
        <w:t>»</w:t>
      </w:r>
      <w:r w:rsidRPr="00C04362">
        <w:rPr>
          <w:bCs/>
          <w:lang w:val="fr-FR"/>
        </w:rPr>
        <w:t>.</w:t>
      </w:r>
    </w:p>
    <w:p w14:paraId="0422ED8F" w14:textId="77777777" w:rsidR="00DD6BC2" w:rsidRPr="00DD6BC2" w:rsidRDefault="00DD6BC2" w:rsidP="00DD6BC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6BC2" w:rsidRPr="00DD6BC2" w:rsidSect="00DD6BC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AB09" w14:textId="77777777" w:rsidR="00CD76ED" w:rsidRDefault="00CD76ED" w:rsidP="00F95C08">
      <w:pPr>
        <w:spacing w:line="240" w:lineRule="auto"/>
      </w:pPr>
    </w:p>
  </w:endnote>
  <w:endnote w:type="continuationSeparator" w:id="0">
    <w:p w14:paraId="025FD71A" w14:textId="77777777" w:rsidR="00CD76ED" w:rsidRPr="00AC3823" w:rsidRDefault="00CD76ED" w:rsidP="00AC3823">
      <w:pPr>
        <w:pStyle w:val="Pieddepage"/>
      </w:pPr>
    </w:p>
  </w:endnote>
  <w:endnote w:type="continuationNotice" w:id="1">
    <w:p w14:paraId="703DA556" w14:textId="77777777" w:rsidR="00CD76ED" w:rsidRDefault="00CD76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09C4" w14:textId="77777777" w:rsidR="00DD6BC2" w:rsidRPr="00DD6BC2" w:rsidRDefault="00DD6BC2" w:rsidP="00DD6BC2">
    <w:pPr>
      <w:pStyle w:val="Pieddepage"/>
      <w:tabs>
        <w:tab w:val="right" w:pos="9638"/>
      </w:tabs>
    </w:pPr>
    <w:r w:rsidRPr="00DD6BC2">
      <w:rPr>
        <w:b/>
        <w:sz w:val="18"/>
      </w:rPr>
      <w:fldChar w:fldCharType="begin"/>
    </w:r>
    <w:r w:rsidRPr="00DD6BC2">
      <w:rPr>
        <w:b/>
        <w:sz w:val="18"/>
      </w:rPr>
      <w:instrText xml:space="preserve"> PAGE  \* MERGEFORMAT </w:instrText>
    </w:r>
    <w:r w:rsidRPr="00DD6BC2">
      <w:rPr>
        <w:b/>
        <w:sz w:val="18"/>
      </w:rPr>
      <w:fldChar w:fldCharType="separate"/>
    </w:r>
    <w:r w:rsidRPr="00DD6BC2">
      <w:rPr>
        <w:b/>
        <w:noProof/>
        <w:sz w:val="18"/>
      </w:rPr>
      <w:t>2</w:t>
    </w:r>
    <w:r w:rsidRPr="00DD6BC2">
      <w:rPr>
        <w:b/>
        <w:sz w:val="18"/>
      </w:rPr>
      <w:fldChar w:fldCharType="end"/>
    </w:r>
    <w:r>
      <w:rPr>
        <w:b/>
        <w:sz w:val="18"/>
      </w:rPr>
      <w:tab/>
    </w:r>
    <w:r>
      <w:t>GE.20-17411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6D43" w14:textId="77777777" w:rsidR="00DD6BC2" w:rsidRPr="00DD6BC2" w:rsidRDefault="00DD6BC2" w:rsidP="00DD6BC2">
    <w:pPr>
      <w:pStyle w:val="Pieddepage"/>
      <w:tabs>
        <w:tab w:val="right" w:pos="9638"/>
      </w:tabs>
      <w:rPr>
        <w:b/>
        <w:sz w:val="18"/>
      </w:rPr>
    </w:pPr>
    <w:r>
      <w:t>GE.20-17411</w:t>
    </w:r>
    <w:r>
      <w:tab/>
    </w:r>
    <w:r w:rsidRPr="00DD6BC2">
      <w:rPr>
        <w:b/>
        <w:sz w:val="18"/>
      </w:rPr>
      <w:fldChar w:fldCharType="begin"/>
    </w:r>
    <w:r w:rsidRPr="00DD6BC2">
      <w:rPr>
        <w:b/>
        <w:sz w:val="18"/>
      </w:rPr>
      <w:instrText xml:space="preserve"> PAGE  \* MERGEFORMAT </w:instrText>
    </w:r>
    <w:r w:rsidRPr="00DD6BC2">
      <w:rPr>
        <w:b/>
        <w:sz w:val="18"/>
      </w:rPr>
      <w:fldChar w:fldCharType="separate"/>
    </w:r>
    <w:r w:rsidRPr="00DD6BC2">
      <w:rPr>
        <w:b/>
        <w:noProof/>
        <w:sz w:val="18"/>
      </w:rPr>
      <w:t>3</w:t>
    </w:r>
    <w:r w:rsidRPr="00DD6B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FF32" w14:textId="77777777" w:rsidR="007F20FA" w:rsidRPr="00DD6BC2" w:rsidRDefault="00DD6BC2" w:rsidP="00DD6BC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19563AD" wp14:editId="3B1DDAA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20-17411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ACFBBE" wp14:editId="6B42791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110121    110121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A3C1" w14:textId="77777777" w:rsidR="00CD76ED" w:rsidRPr="00AC3823" w:rsidRDefault="00CD76E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A32257" w14:textId="77777777" w:rsidR="00CD76ED" w:rsidRPr="00AC3823" w:rsidRDefault="00CD76E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2F6DA2" w14:textId="77777777" w:rsidR="00CD76ED" w:rsidRPr="00AC3823" w:rsidRDefault="00CD76ED">
      <w:pPr>
        <w:spacing w:line="240" w:lineRule="auto"/>
        <w:rPr>
          <w:sz w:val="2"/>
          <w:szCs w:val="2"/>
        </w:rPr>
      </w:pPr>
    </w:p>
  </w:footnote>
  <w:footnote w:id="2">
    <w:p w14:paraId="702C7C16" w14:textId="77777777" w:rsidR="00DD6BC2" w:rsidRPr="00C04362" w:rsidRDefault="00DD6BC2" w:rsidP="00DD6BC2">
      <w:pPr>
        <w:pStyle w:val="Notedebasdepage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2020 tel qu’il figure dans le projet de budget-programme pour 2020 (A/74/6 (titre</w:t>
      </w:r>
      <w:r>
        <w:rPr>
          <w:lang w:val="fr-FR"/>
        </w:rPr>
        <w:t> </w:t>
      </w:r>
      <w:r>
        <w:rPr>
          <w:lang w:val="fr-FR"/>
        </w:rPr>
        <w:t>V, chap.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F247" w14:textId="1DA66620" w:rsidR="00DD6BC2" w:rsidRPr="00DD6BC2" w:rsidRDefault="00DD6BC2">
    <w:pPr>
      <w:pStyle w:val="En-tte"/>
    </w:pPr>
    <w:fldSimple w:instr=" TITLE  \* MERGEFORMAT ">
      <w:r w:rsidR="00B375AF">
        <w:t>ECE/TRANS/WP.29/2021/19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8464" w14:textId="48C07300" w:rsidR="00DD6BC2" w:rsidRPr="00DD6BC2" w:rsidRDefault="00DD6BC2" w:rsidP="00DD6BC2">
    <w:pPr>
      <w:pStyle w:val="En-tte"/>
      <w:jc w:val="right"/>
    </w:pPr>
    <w:fldSimple w:instr=" TITLE  \* MERGEFORMAT ">
      <w:r w:rsidR="00B375AF">
        <w:t>ECE/TRANS/WP.29/2021/19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E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9267A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4E5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75AF"/>
    <w:rsid w:val="00B45F2E"/>
    <w:rsid w:val="00B765F7"/>
    <w:rsid w:val="00B77993"/>
    <w:rsid w:val="00BA0CA9"/>
    <w:rsid w:val="00C02897"/>
    <w:rsid w:val="00C97039"/>
    <w:rsid w:val="00CD76ED"/>
    <w:rsid w:val="00D3439C"/>
    <w:rsid w:val="00D7622E"/>
    <w:rsid w:val="00DB1831"/>
    <w:rsid w:val="00DD3BFD"/>
    <w:rsid w:val="00DD6BC2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9F5607"/>
  <w15:docId w15:val="{79FB0ACD-DAE5-41E2-A72D-40EA5FC7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7CA8E-C9B0-4F87-AB21-1F4C5E21EDB0}"/>
</file>

<file path=customXml/itemProps2.xml><?xml version="1.0" encoding="utf-8"?>
<ds:datastoreItem xmlns:ds="http://schemas.openxmlformats.org/officeDocument/2006/customXml" ds:itemID="{F771A41F-2560-4DAE-BD3F-3F76FE1D35E5}"/>
</file>

<file path=customXml/itemProps3.xml><?xml version="1.0" encoding="utf-8"?>
<ds:datastoreItem xmlns:ds="http://schemas.openxmlformats.org/officeDocument/2006/customXml" ds:itemID="{CAAC3548-93FC-44EE-A212-ED4E4FDAD83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371</Words>
  <Characters>2145</Characters>
  <Application>Microsoft Office Word</Application>
  <DocSecurity>0</DocSecurity>
  <Lines>55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ECE/TRANS/WP.29/2021/19</dc:title>
  <dc:subject/>
  <dc:creator>Christine CHAUTAGNAT</dc:creator>
  <cp:keywords/>
  <cp:lastModifiedBy>Christine Chautagnat</cp:lastModifiedBy>
  <cp:revision>3</cp:revision>
  <cp:lastPrinted>2021-01-11T14:47:00Z</cp:lastPrinted>
  <dcterms:created xsi:type="dcterms:W3CDTF">2021-01-11T14:47:00Z</dcterms:created>
  <dcterms:modified xsi:type="dcterms:W3CDTF">2021-01-11T14:47:00Z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