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292CAD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292CAD" w:rsidP="00292CAD">
            <w:pPr>
              <w:jc w:val="right"/>
            </w:pPr>
            <w:r w:rsidRPr="00292CAD">
              <w:rPr>
                <w:sz w:val="40"/>
              </w:rPr>
              <w:t>ECE</w:t>
            </w:r>
            <w:r>
              <w:t>/TRANS/WP.29/GRVA/2021/17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292CAD" w:rsidP="00C97039">
            <w:pPr>
              <w:spacing w:before="240"/>
            </w:pPr>
            <w:r>
              <w:t>Distr. générale</w:t>
            </w:r>
          </w:p>
          <w:p w:rsidR="00292CAD" w:rsidRDefault="00292CAD" w:rsidP="00292CAD">
            <w:pPr>
              <w:spacing w:line="240" w:lineRule="exact"/>
            </w:pPr>
            <w:r>
              <w:t>20 novembre 2020</w:t>
            </w:r>
          </w:p>
          <w:p w:rsidR="00292CAD" w:rsidRDefault="00292CAD" w:rsidP="00292CAD">
            <w:pPr>
              <w:spacing w:line="240" w:lineRule="exact"/>
            </w:pPr>
            <w:r>
              <w:t>Français</w:t>
            </w:r>
          </w:p>
          <w:p w:rsidR="00292CAD" w:rsidRPr="00DB58B5" w:rsidRDefault="00292CAD" w:rsidP="00292CAD">
            <w:pPr>
              <w:spacing w:line="240" w:lineRule="exact"/>
            </w:pPr>
            <w:r>
              <w:t>Original</w:t>
            </w:r>
            <w:r w:rsidR="002035E2">
              <w:t> :</w:t>
            </w:r>
            <w:r>
              <w:t xml:space="preserve">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2035E2" w:rsidRPr="002035E2" w:rsidRDefault="002035E2" w:rsidP="002035E2">
      <w:pPr>
        <w:spacing w:before="120"/>
        <w:rPr>
          <w:b/>
          <w:sz w:val="24"/>
          <w:szCs w:val="24"/>
          <w:lang w:val="fr-FR"/>
        </w:rPr>
      </w:pPr>
      <w:r w:rsidRPr="002035E2">
        <w:rPr>
          <w:b/>
          <w:bCs/>
          <w:sz w:val="24"/>
          <w:szCs w:val="24"/>
          <w:lang w:val="fr-FR"/>
        </w:rPr>
        <w:t xml:space="preserve">Forum mondial de l’harmonisation </w:t>
      </w:r>
      <w:r>
        <w:rPr>
          <w:b/>
          <w:bCs/>
          <w:sz w:val="24"/>
          <w:szCs w:val="24"/>
          <w:lang w:val="fr-FR"/>
        </w:rPr>
        <w:br/>
      </w:r>
      <w:r w:rsidRPr="002035E2">
        <w:rPr>
          <w:b/>
          <w:bCs/>
          <w:sz w:val="24"/>
          <w:szCs w:val="24"/>
          <w:lang w:val="fr-FR"/>
        </w:rPr>
        <w:t>des Règlements concernant les véhicules</w:t>
      </w:r>
    </w:p>
    <w:p w:rsidR="002035E2" w:rsidRPr="00214A4D" w:rsidRDefault="002035E2" w:rsidP="002035E2">
      <w:pPr>
        <w:spacing w:before="120"/>
        <w:rPr>
          <w:b/>
          <w:lang w:val="fr-FR"/>
        </w:rPr>
      </w:pPr>
      <w:bookmarkStart w:id="0" w:name="_Hlk518466992"/>
      <w:r w:rsidRPr="00214A4D">
        <w:rPr>
          <w:b/>
          <w:bCs/>
          <w:lang w:val="fr-FR"/>
        </w:rPr>
        <w:t>Groupe de travail des véhicules automatisés/autonomes et connectés</w:t>
      </w:r>
      <w:bookmarkEnd w:id="0"/>
    </w:p>
    <w:p w:rsidR="002035E2" w:rsidRPr="00214A4D" w:rsidRDefault="002035E2" w:rsidP="002035E2">
      <w:pPr>
        <w:spacing w:before="120"/>
        <w:rPr>
          <w:b/>
          <w:lang w:val="fr-FR"/>
        </w:rPr>
      </w:pPr>
      <w:bookmarkStart w:id="1" w:name="OLE_LINK2"/>
      <w:r w:rsidRPr="00214A4D">
        <w:rPr>
          <w:b/>
          <w:bCs/>
          <w:lang w:val="fr-FR"/>
        </w:rPr>
        <w:t>Neuvième session</w:t>
      </w:r>
    </w:p>
    <w:p w:rsidR="002035E2" w:rsidRPr="00214A4D" w:rsidRDefault="002035E2" w:rsidP="002035E2">
      <w:pPr>
        <w:rPr>
          <w:lang w:val="fr-FR"/>
        </w:rPr>
      </w:pPr>
      <w:r w:rsidRPr="00214A4D">
        <w:rPr>
          <w:lang w:val="fr-FR"/>
        </w:rPr>
        <w:t>Point 4 d) de l</w:t>
      </w:r>
      <w:r>
        <w:rPr>
          <w:lang w:val="fr-FR"/>
        </w:rPr>
        <w:t>’</w:t>
      </w:r>
      <w:r w:rsidRPr="00214A4D">
        <w:rPr>
          <w:lang w:val="fr-FR"/>
        </w:rPr>
        <w:t>ordre du jour provisoire</w:t>
      </w:r>
    </w:p>
    <w:p w:rsidR="002035E2" w:rsidRPr="00214A4D" w:rsidRDefault="002035E2" w:rsidP="002035E2">
      <w:pPr>
        <w:rPr>
          <w:lang w:val="fr-FR"/>
        </w:rPr>
      </w:pPr>
      <w:r w:rsidRPr="00214A4D">
        <w:rPr>
          <w:b/>
          <w:bCs/>
          <w:lang w:val="fr-FR"/>
        </w:rPr>
        <w:t>Véhicules automatisés/autonomes et connectés</w:t>
      </w:r>
      <w:r>
        <w:rPr>
          <w:b/>
          <w:bCs/>
          <w:lang w:val="fr-FR"/>
        </w:rPr>
        <w:t> :</w:t>
      </w:r>
      <w:r w:rsidRPr="00214A4D"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br/>
      </w:r>
      <w:r w:rsidRPr="00214A4D">
        <w:rPr>
          <w:b/>
          <w:bCs/>
          <w:lang w:val="fr-FR"/>
        </w:rPr>
        <w:t>Règlement ONU sur les systèmes automatisés de maintien dans la voie</w:t>
      </w:r>
    </w:p>
    <w:p w:rsidR="002035E2" w:rsidRPr="00214A4D" w:rsidRDefault="002035E2" w:rsidP="002035E2">
      <w:pPr>
        <w:pStyle w:val="HChG"/>
        <w:rPr>
          <w:lang w:val="fr-FR"/>
        </w:rPr>
      </w:pPr>
      <w:r w:rsidRPr="00214A4D">
        <w:rPr>
          <w:lang w:val="fr-FR"/>
        </w:rPr>
        <w:tab/>
      </w:r>
      <w:r w:rsidRPr="00214A4D">
        <w:rPr>
          <w:lang w:val="fr-FR"/>
        </w:rPr>
        <w:tab/>
        <w:t>Proposition d</w:t>
      </w:r>
      <w:r>
        <w:rPr>
          <w:lang w:val="fr-FR"/>
        </w:rPr>
        <w:t>’</w:t>
      </w:r>
      <w:r w:rsidRPr="00214A4D">
        <w:rPr>
          <w:lang w:val="fr-FR"/>
        </w:rPr>
        <w:t>amendements au projet de Règlement ONU énonçant des prescriptions uniformes relatives à l</w:t>
      </w:r>
      <w:r>
        <w:rPr>
          <w:lang w:val="fr-FR"/>
        </w:rPr>
        <w:t>’</w:t>
      </w:r>
      <w:r w:rsidRPr="00214A4D">
        <w:rPr>
          <w:lang w:val="fr-FR"/>
        </w:rPr>
        <w:t>homologation des véhicules en ce qui concerne leur système automatisé de maintien dans la voie</w:t>
      </w:r>
      <w:bookmarkEnd w:id="1"/>
    </w:p>
    <w:p w:rsidR="002035E2" w:rsidRPr="00214A4D" w:rsidRDefault="002035E2" w:rsidP="002035E2">
      <w:pPr>
        <w:pStyle w:val="H1G"/>
        <w:rPr>
          <w:szCs w:val="24"/>
          <w:lang w:val="fr-FR"/>
        </w:rPr>
      </w:pPr>
      <w:r w:rsidRPr="00214A4D">
        <w:rPr>
          <w:lang w:val="fr-FR"/>
        </w:rPr>
        <w:tab/>
      </w:r>
      <w:r w:rsidRPr="00214A4D">
        <w:rPr>
          <w:lang w:val="fr-FR"/>
        </w:rPr>
        <w:tab/>
      </w:r>
      <w:r w:rsidRPr="00214A4D">
        <w:rPr>
          <w:lang w:val="fr-FR"/>
        </w:rPr>
        <w:tab/>
        <w:t>Communication des experts de la France</w:t>
      </w:r>
      <w:r w:rsidRPr="002035E2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2"/>
        <w:t>*</w:t>
      </w:r>
    </w:p>
    <w:p w:rsidR="002035E2" w:rsidRDefault="002035E2" w:rsidP="002035E2">
      <w:pPr>
        <w:pStyle w:val="SingleTxtG"/>
        <w:ind w:firstLine="567"/>
        <w:rPr>
          <w:lang w:val="fr-FR"/>
        </w:rPr>
      </w:pPr>
      <w:r w:rsidRPr="00214A4D">
        <w:rPr>
          <w:lang w:val="fr-FR"/>
        </w:rPr>
        <w:t>Le texte ci-après, établi par l</w:t>
      </w:r>
      <w:r>
        <w:rPr>
          <w:lang w:val="fr-FR"/>
        </w:rPr>
        <w:t>’</w:t>
      </w:r>
      <w:r w:rsidRPr="00214A4D">
        <w:rPr>
          <w:lang w:val="fr-FR"/>
        </w:rPr>
        <w:t>expert de la France, est fondé sur le document informel GRVA-07-37. Les modifications qu</w:t>
      </w:r>
      <w:r>
        <w:rPr>
          <w:lang w:val="fr-FR"/>
        </w:rPr>
        <w:t>’</w:t>
      </w:r>
      <w:r w:rsidRPr="00214A4D">
        <w:rPr>
          <w:lang w:val="fr-FR"/>
        </w:rPr>
        <w:t>il est proposé d</w:t>
      </w:r>
      <w:r>
        <w:rPr>
          <w:lang w:val="fr-FR"/>
        </w:rPr>
        <w:t>’</w:t>
      </w:r>
      <w:r w:rsidRPr="00214A4D">
        <w:rPr>
          <w:lang w:val="fr-FR"/>
        </w:rPr>
        <w:t>apporter au texte actuel du Règlement adopté (ECE/TRANS/WP.29/2020/81) figurent en caractères gras pour les ajouts et biffés pour les suppressions.</w:t>
      </w:r>
    </w:p>
    <w:p w:rsidR="002035E2" w:rsidRPr="00214A4D" w:rsidRDefault="00197AE2" w:rsidP="00197AE2">
      <w:pPr>
        <w:pStyle w:val="HChG"/>
        <w:rPr>
          <w:szCs w:val="28"/>
          <w:lang w:val="fr-FR"/>
        </w:rPr>
      </w:pPr>
      <w:r>
        <w:rPr>
          <w:lang w:val="fr-FR"/>
        </w:rPr>
        <w:tab/>
      </w:r>
      <w:r w:rsidR="002035E2" w:rsidRPr="00214A4D">
        <w:rPr>
          <w:lang w:val="fr-FR"/>
        </w:rPr>
        <w:t>I.</w:t>
      </w:r>
      <w:r w:rsidR="002035E2" w:rsidRPr="00214A4D">
        <w:rPr>
          <w:lang w:val="fr-FR"/>
        </w:rPr>
        <w:tab/>
        <w:t>Proposition</w:t>
      </w:r>
    </w:p>
    <w:p w:rsidR="002035E2" w:rsidRPr="00214A4D" w:rsidRDefault="002035E2" w:rsidP="002035E2">
      <w:pPr>
        <w:pStyle w:val="SingleTxtG"/>
        <w:rPr>
          <w:lang w:val="fr-FR"/>
        </w:rPr>
      </w:pPr>
      <w:r w:rsidRPr="002035E2">
        <w:rPr>
          <w:i/>
          <w:iCs/>
          <w:lang w:val="fr-FR"/>
        </w:rPr>
        <w:t>Ajouter le nouveau paragraphe 9.3.3</w:t>
      </w:r>
      <w:r w:rsidRPr="00214A4D">
        <w:rPr>
          <w:lang w:val="fr-FR"/>
        </w:rPr>
        <w:t>, libellé comme suit</w:t>
      </w:r>
      <w:r>
        <w:rPr>
          <w:lang w:val="fr-FR"/>
        </w:rPr>
        <w:t> :</w:t>
      </w:r>
    </w:p>
    <w:p w:rsidR="002035E2" w:rsidRPr="00214A4D" w:rsidRDefault="002035E2" w:rsidP="002035E2">
      <w:pPr>
        <w:pStyle w:val="SingleTxtG"/>
        <w:ind w:left="2268" w:hanging="1134"/>
        <w:rPr>
          <w:b/>
          <w:lang w:val="fr-FR"/>
        </w:rPr>
      </w:pPr>
      <w:r w:rsidRPr="00214A4D">
        <w:rPr>
          <w:lang w:val="fr-FR"/>
        </w:rPr>
        <w:t>« </w:t>
      </w:r>
      <w:r w:rsidRPr="00C9242C">
        <w:rPr>
          <w:b/>
          <w:bCs/>
          <w:lang w:val="fr-FR"/>
        </w:rPr>
        <w:t>9.3.3</w:t>
      </w:r>
      <w:r>
        <w:rPr>
          <w:lang w:val="fr-FR"/>
        </w:rPr>
        <w:tab/>
      </w:r>
      <w:r w:rsidRPr="00214A4D">
        <w:rPr>
          <w:b/>
          <w:bCs/>
          <w:lang w:val="fr-FR"/>
        </w:rPr>
        <w:t>Si le constructeur met en œuvre un autre système d</w:t>
      </w:r>
      <w:r>
        <w:rPr>
          <w:b/>
          <w:bCs/>
          <w:lang w:val="fr-FR"/>
        </w:rPr>
        <w:t>’</w:t>
      </w:r>
      <w:r w:rsidRPr="00214A4D">
        <w:rPr>
          <w:b/>
          <w:bCs/>
          <w:lang w:val="fr-FR"/>
        </w:rPr>
        <w:t>identification du logiciel, il doit démontrer que les prescriptions des paragraphes 9.3.2.1 et 9.3.2.3 sont satisfaites. </w:t>
      </w:r>
      <w:r w:rsidRPr="002035E2">
        <w:rPr>
          <w:lang w:val="fr-FR"/>
        </w:rPr>
        <w:t>».</w:t>
      </w:r>
    </w:p>
    <w:p w:rsidR="002035E2" w:rsidRPr="00214A4D" w:rsidRDefault="002035E2" w:rsidP="002035E2">
      <w:pPr>
        <w:pStyle w:val="SingleTxtG"/>
        <w:rPr>
          <w:lang w:val="fr-FR"/>
        </w:rPr>
      </w:pPr>
      <w:r w:rsidRPr="00214A4D">
        <w:rPr>
          <w:i/>
          <w:iCs/>
          <w:lang w:val="fr-FR"/>
        </w:rPr>
        <w:t>Ajouter le nouveau paragraphe 9.3.3.1</w:t>
      </w:r>
      <w:r w:rsidRPr="00214A4D">
        <w:rPr>
          <w:lang w:val="fr-FR"/>
        </w:rPr>
        <w:t>, libellé comme suit</w:t>
      </w:r>
      <w:r>
        <w:rPr>
          <w:lang w:val="fr-FR"/>
        </w:rPr>
        <w:t> :</w:t>
      </w:r>
    </w:p>
    <w:p w:rsidR="002035E2" w:rsidRDefault="002035E2" w:rsidP="002035E2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 </w:t>
      </w:r>
      <w:r w:rsidRPr="00C9242C">
        <w:rPr>
          <w:b/>
          <w:bCs/>
          <w:lang w:val="fr-FR"/>
        </w:rPr>
        <w:t>9.3.3.1</w:t>
      </w:r>
      <w:r>
        <w:rPr>
          <w:lang w:val="fr-FR"/>
        </w:rPr>
        <w:tab/>
      </w:r>
      <w:r w:rsidRPr="00214A4D">
        <w:rPr>
          <w:b/>
          <w:bCs/>
          <w:lang w:val="fr-FR"/>
        </w:rPr>
        <w:t>Le constructeur du véhicule doit fournir les informations suivantes dans la fiche de communication afférente au présent Règlement</w:t>
      </w:r>
      <w:r>
        <w:rPr>
          <w:b/>
          <w:bCs/>
          <w:lang w:val="fr-FR"/>
        </w:rPr>
        <w:t> :</w:t>
      </w:r>
    </w:p>
    <w:p w:rsidR="002035E2" w:rsidRPr="00214A4D" w:rsidRDefault="002035E2" w:rsidP="002035E2">
      <w:pPr>
        <w:pStyle w:val="SingleTxtG"/>
        <w:ind w:left="2835" w:hanging="567"/>
        <w:rPr>
          <w:b/>
          <w:bCs/>
          <w:lang w:val="fr-FR"/>
        </w:rPr>
      </w:pPr>
      <w:r w:rsidRPr="00214A4D">
        <w:rPr>
          <w:b/>
          <w:bCs/>
          <w:lang w:val="fr-FR"/>
        </w:rPr>
        <w:t>a)</w:t>
      </w:r>
      <w:r w:rsidRPr="00214A4D">
        <w:rPr>
          <w:lang w:val="fr-FR"/>
        </w:rPr>
        <w:tab/>
      </w:r>
      <w:r w:rsidRPr="00214A4D">
        <w:rPr>
          <w:b/>
          <w:bCs/>
          <w:lang w:val="fr-FR"/>
        </w:rPr>
        <w:t>La référence de l</w:t>
      </w:r>
      <w:r>
        <w:rPr>
          <w:b/>
          <w:bCs/>
          <w:lang w:val="fr-FR"/>
        </w:rPr>
        <w:t>’</w:t>
      </w:r>
      <w:r w:rsidRPr="00214A4D">
        <w:rPr>
          <w:b/>
          <w:bCs/>
          <w:lang w:val="fr-FR"/>
        </w:rPr>
        <w:t>autre système d</w:t>
      </w:r>
      <w:r>
        <w:rPr>
          <w:b/>
          <w:bCs/>
          <w:lang w:val="fr-FR"/>
        </w:rPr>
        <w:t>’</w:t>
      </w:r>
      <w:r w:rsidRPr="00214A4D">
        <w:rPr>
          <w:b/>
          <w:bCs/>
          <w:lang w:val="fr-FR"/>
        </w:rPr>
        <w:t>identification du logiciel</w:t>
      </w:r>
      <w:r>
        <w:rPr>
          <w:b/>
          <w:bCs/>
          <w:lang w:val="fr-FR"/>
        </w:rPr>
        <w:t> ;</w:t>
      </w:r>
    </w:p>
    <w:p w:rsidR="002035E2" w:rsidRDefault="002035E2" w:rsidP="002035E2">
      <w:pPr>
        <w:pStyle w:val="SingleTxtG"/>
        <w:ind w:left="2835" w:hanging="567"/>
        <w:rPr>
          <w:b/>
          <w:bCs/>
          <w:lang w:val="fr-FR"/>
        </w:rPr>
      </w:pPr>
      <w:r w:rsidRPr="00214A4D">
        <w:rPr>
          <w:b/>
          <w:bCs/>
          <w:lang w:val="fr-FR"/>
        </w:rPr>
        <w:t>b)</w:t>
      </w:r>
      <w:r w:rsidRPr="00214A4D">
        <w:rPr>
          <w:lang w:val="fr-FR"/>
        </w:rPr>
        <w:tab/>
      </w:r>
      <w:r w:rsidRPr="00214A4D">
        <w:rPr>
          <w:b/>
          <w:bCs/>
          <w:lang w:val="fr-FR"/>
        </w:rPr>
        <w:t>La procédure permettant d</w:t>
      </w:r>
      <w:r>
        <w:rPr>
          <w:b/>
          <w:bCs/>
          <w:lang w:val="fr-FR"/>
        </w:rPr>
        <w:t>’</w:t>
      </w:r>
      <w:r w:rsidRPr="00214A4D">
        <w:rPr>
          <w:b/>
          <w:bCs/>
          <w:lang w:val="fr-FR"/>
        </w:rPr>
        <w:t>accéder aux données relatives à l</w:t>
      </w:r>
      <w:r>
        <w:rPr>
          <w:b/>
          <w:bCs/>
          <w:lang w:val="fr-FR"/>
        </w:rPr>
        <w:t>’</w:t>
      </w:r>
      <w:r w:rsidRPr="00214A4D">
        <w:rPr>
          <w:b/>
          <w:bCs/>
          <w:lang w:val="fr-FR"/>
        </w:rPr>
        <w:t>identification des versions du logiciel</w:t>
      </w:r>
      <w:r w:rsidRPr="002035E2">
        <w:rPr>
          <w:b/>
          <w:bCs/>
          <w:lang w:val="fr-FR"/>
        </w:rPr>
        <w:t>.</w:t>
      </w:r>
      <w:r w:rsidRPr="002035E2">
        <w:rPr>
          <w:lang w:val="fr-FR"/>
        </w:rPr>
        <w:t> ».</w:t>
      </w:r>
    </w:p>
    <w:p w:rsidR="002035E2" w:rsidRPr="00214A4D" w:rsidRDefault="002035E2" w:rsidP="002035E2">
      <w:pPr>
        <w:pStyle w:val="SingleTxtG"/>
        <w:rPr>
          <w:lang w:val="fr-FR"/>
        </w:rPr>
      </w:pPr>
      <w:r w:rsidRPr="00214A4D">
        <w:rPr>
          <w:i/>
          <w:iCs/>
          <w:lang w:val="fr-FR"/>
        </w:rPr>
        <w:lastRenderedPageBreak/>
        <w:t>Le paragraphe 9.3.3</w:t>
      </w:r>
      <w:r w:rsidRPr="00214A4D">
        <w:rPr>
          <w:lang w:val="fr-FR"/>
        </w:rPr>
        <w:t xml:space="preserve"> devient </w:t>
      </w:r>
      <w:r w:rsidRPr="00214A4D">
        <w:rPr>
          <w:i/>
          <w:iCs/>
          <w:lang w:val="fr-FR"/>
        </w:rPr>
        <w:t>le paragraphe 9.3.4</w:t>
      </w:r>
      <w:r w:rsidRPr="00214A4D">
        <w:rPr>
          <w:lang w:val="fr-FR"/>
        </w:rPr>
        <w:t>.</w:t>
      </w:r>
    </w:p>
    <w:p w:rsidR="002035E2" w:rsidRPr="00214A4D" w:rsidRDefault="002035E2" w:rsidP="002035E2">
      <w:pPr>
        <w:pStyle w:val="SingleTxtG"/>
        <w:rPr>
          <w:lang w:val="fr-FR"/>
        </w:rPr>
      </w:pPr>
      <w:r w:rsidRPr="00214A4D">
        <w:rPr>
          <w:i/>
          <w:iCs/>
          <w:lang w:val="fr-FR"/>
        </w:rPr>
        <w:t>Annexe 1, ajouter le nouveau point 20</w:t>
      </w:r>
      <w:r w:rsidRPr="00214A4D">
        <w:rPr>
          <w:lang w:val="fr-FR"/>
        </w:rPr>
        <w:t>, libellé comme suit</w:t>
      </w:r>
      <w:r>
        <w:rPr>
          <w:lang w:val="fr-FR"/>
        </w:rPr>
        <w:t> :</w:t>
      </w:r>
    </w:p>
    <w:p w:rsidR="002035E2" w:rsidRPr="00214A4D" w:rsidRDefault="002035E2" w:rsidP="002035E2">
      <w:pPr>
        <w:pStyle w:val="SingleTxtG"/>
        <w:ind w:left="1701" w:hanging="567"/>
        <w:rPr>
          <w:b/>
          <w:lang w:val="fr-FR"/>
        </w:rPr>
      </w:pPr>
      <w:r>
        <w:rPr>
          <w:lang w:val="fr-FR"/>
        </w:rPr>
        <w:t>« </w:t>
      </w:r>
      <w:r w:rsidRPr="00C9242C">
        <w:rPr>
          <w:b/>
          <w:bCs/>
          <w:lang w:val="fr-FR"/>
        </w:rPr>
        <w:t>20.</w:t>
      </w:r>
      <w:r>
        <w:rPr>
          <w:b/>
          <w:bCs/>
          <w:lang w:val="fr-FR"/>
        </w:rPr>
        <w:tab/>
      </w:r>
      <w:r w:rsidRPr="00214A4D">
        <w:rPr>
          <w:b/>
          <w:bCs/>
          <w:lang w:val="fr-FR"/>
        </w:rPr>
        <w:t>Autre système d</w:t>
      </w:r>
      <w:r>
        <w:rPr>
          <w:b/>
          <w:bCs/>
          <w:lang w:val="fr-FR"/>
        </w:rPr>
        <w:t>’</w:t>
      </w:r>
      <w:r w:rsidRPr="00214A4D">
        <w:rPr>
          <w:b/>
          <w:bCs/>
          <w:lang w:val="fr-FR"/>
        </w:rPr>
        <w:t>identification du logiciel</w:t>
      </w:r>
    </w:p>
    <w:p w:rsidR="002035E2" w:rsidRDefault="002035E2" w:rsidP="002035E2">
      <w:pPr>
        <w:pStyle w:val="SingleTxtG"/>
        <w:ind w:left="1701" w:hanging="567"/>
        <w:rPr>
          <w:lang w:val="fr-FR"/>
        </w:rPr>
      </w:pPr>
      <w:r w:rsidRPr="00C9242C">
        <w:rPr>
          <w:b/>
          <w:lang w:val="fr-FR"/>
        </w:rPr>
        <w:t>20.1</w:t>
      </w:r>
      <w:r>
        <w:rPr>
          <w:lang w:val="fr-FR"/>
        </w:rPr>
        <w:tab/>
      </w:r>
      <w:r w:rsidRPr="00214A4D">
        <w:rPr>
          <w:b/>
          <w:bCs/>
          <w:lang w:val="fr-FR"/>
        </w:rPr>
        <w:t>Référence de l</w:t>
      </w:r>
      <w:r>
        <w:rPr>
          <w:b/>
          <w:bCs/>
          <w:lang w:val="fr-FR"/>
        </w:rPr>
        <w:t>’</w:t>
      </w:r>
      <w:r w:rsidRPr="00214A4D">
        <w:rPr>
          <w:b/>
          <w:bCs/>
          <w:lang w:val="fr-FR"/>
        </w:rPr>
        <w:t>autre système d</w:t>
      </w:r>
      <w:r>
        <w:rPr>
          <w:b/>
          <w:bCs/>
          <w:lang w:val="fr-FR"/>
        </w:rPr>
        <w:t>’</w:t>
      </w:r>
      <w:r w:rsidRPr="00214A4D">
        <w:rPr>
          <w:b/>
          <w:bCs/>
          <w:lang w:val="fr-FR"/>
        </w:rPr>
        <w:t>identification du logiciel</w:t>
      </w:r>
    </w:p>
    <w:p w:rsidR="002035E2" w:rsidRPr="00214A4D" w:rsidRDefault="002035E2" w:rsidP="002035E2">
      <w:pPr>
        <w:pStyle w:val="SingleTxtG"/>
        <w:ind w:left="1701" w:hanging="567"/>
        <w:rPr>
          <w:b/>
          <w:lang w:val="fr-FR"/>
        </w:rPr>
      </w:pPr>
      <w:r w:rsidRPr="00C9242C">
        <w:rPr>
          <w:b/>
          <w:lang w:val="fr-FR"/>
        </w:rPr>
        <w:t>20.2</w:t>
      </w:r>
      <w:r w:rsidRPr="00214A4D">
        <w:rPr>
          <w:lang w:val="fr-FR"/>
        </w:rPr>
        <w:tab/>
      </w:r>
      <w:r w:rsidRPr="00214A4D">
        <w:rPr>
          <w:b/>
          <w:bCs/>
          <w:lang w:val="fr-FR"/>
        </w:rPr>
        <w:t>Procédure permettant d</w:t>
      </w:r>
      <w:r>
        <w:rPr>
          <w:b/>
          <w:bCs/>
          <w:lang w:val="fr-FR"/>
        </w:rPr>
        <w:t>’</w:t>
      </w:r>
      <w:r w:rsidRPr="00214A4D">
        <w:rPr>
          <w:b/>
          <w:bCs/>
          <w:lang w:val="fr-FR"/>
        </w:rPr>
        <w:t>accéder aux données relatives à l</w:t>
      </w:r>
      <w:r>
        <w:rPr>
          <w:b/>
          <w:bCs/>
          <w:lang w:val="fr-FR"/>
        </w:rPr>
        <w:t>’</w:t>
      </w:r>
      <w:r w:rsidRPr="00214A4D">
        <w:rPr>
          <w:b/>
          <w:bCs/>
          <w:lang w:val="fr-FR"/>
        </w:rPr>
        <w:t>identification des versions du logiciel</w:t>
      </w:r>
    </w:p>
    <w:p w:rsidR="002035E2" w:rsidRPr="00214A4D" w:rsidRDefault="002035E2" w:rsidP="002035E2">
      <w:pPr>
        <w:pStyle w:val="SingleTxtG"/>
        <w:ind w:left="1701" w:hanging="567"/>
        <w:rPr>
          <w:b/>
          <w:lang w:val="fr-FR"/>
        </w:rPr>
      </w:pPr>
      <w:r w:rsidRPr="00C9242C">
        <w:rPr>
          <w:b/>
          <w:lang w:val="fr-FR"/>
        </w:rPr>
        <w:t>20.3</w:t>
      </w:r>
      <w:r>
        <w:rPr>
          <w:lang w:val="fr-FR"/>
        </w:rPr>
        <w:tab/>
      </w:r>
      <w:r w:rsidR="00197AE2">
        <w:rPr>
          <w:b/>
          <w:bCs/>
          <w:lang w:val="fr-FR"/>
        </w:rPr>
        <w:t>S</w:t>
      </w:r>
      <w:r>
        <w:rPr>
          <w:b/>
          <w:bCs/>
          <w:lang w:val="fr-FR"/>
        </w:rPr>
        <w:t>’</w:t>
      </w:r>
      <w:r w:rsidRPr="006A70A4">
        <w:rPr>
          <w:b/>
          <w:bCs/>
          <w:lang w:val="fr-FR"/>
        </w:rPr>
        <w:t>il y a lieu</w:t>
      </w:r>
      <w:r w:rsidRPr="00214A4D">
        <w:rPr>
          <w:b/>
          <w:bCs/>
          <w:lang w:val="fr-FR"/>
        </w:rPr>
        <w:t>, paramètres pertinents permettant de déterminer les véhicules dont le logiciel représenté par l</w:t>
      </w:r>
      <w:r>
        <w:rPr>
          <w:b/>
          <w:bCs/>
          <w:lang w:val="fr-FR"/>
        </w:rPr>
        <w:t>’</w:t>
      </w:r>
      <w:r w:rsidRPr="00214A4D">
        <w:rPr>
          <w:b/>
          <w:bCs/>
          <w:lang w:val="fr-FR"/>
        </w:rPr>
        <w:t>autre système d</w:t>
      </w:r>
      <w:r>
        <w:rPr>
          <w:b/>
          <w:bCs/>
          <w:lang w:val="fr-FR"/>
        </w:rPr>
        <w:t>’</w:t>
      </w:r>
      <w:r w:rsidRPr="00214A4D">
        <w:rPr>
          <w:b/>
          <w:bCs/>
          <w:lang w:val="fr-FR"/>
        </w:rPr>
        <w:t xml:space="preserve">identification du logiciel </w:t>
      </w:r>
      <w:r>
        <w:rPr>
          <w:b/>
          <w:bCs/>
          <w:lang w:val="fr-FR"/>
        </w:rPr>
        <w:t xml:space="preserve">visé </w:t>
      </w:r>
      <w:r w:rsidRPr="00214A4D">
        <w:rPr>
          <w:b/>
          <w:bCs/>
          <w:lang w:val="fr-FR"/>
        </w:rPr>
        <w:t>au point 20.1 peut être mis à jour</w:t>
      </w:r>
      <w:r>
        <w:rPr>
          <w:b/>
          <w:bCs/>
          <w:lang w:val="fr-FR"/>
        </w:rPr>
        <w:t> :</w:t>
      </w:r>
      <w:r>
        <w:rPr>
          <w:b/>
          <w:bCs/>
          <w:lang w:val="fr-FR"/>
        </w:rPr>
        <w:t> ».</w:t>
      </w:r>
    </w:p>
    <w:p w:rsidR="002035E2" w:rsidRPr="00214A4D" w:rsidRDefault="00197AE2" w:rsidP="00197AE2">
      <w:pPr>
        <w:pStyle w:val="HChG"/>
        <w:rPr>
          <w:szCs w:val="28"/>
          <w:lang w:val="fr-FR"/>
        </w:rPr>
      </w:pPr>
      <w:r>
        <w:rPr>
          <w:lang w:val="fr-FR"/>
        </w:rPr>
        <w:tab/>
      </w:r>
      <w:r w:rsidR="002035E2" w:rsidRPr="00214A4D">
        <w:rPr>
          <w:lang w:val="fr-FR"/>
        </w:rPr>
        <w:t>II.</w:t>
      </w:r>
      <w:r w:rsidR="002035E2" w:rsidRPr="00214A4D">
        <w:rPr>
          <w:lang w:val="fr-FR"/>
        </w:rPr>
        <w:tab/>
        <w:t>Justification</w:t>
      </w:r>
    </w:p>
    <w:p w:rsidR="002035E2" w:rsidRPr="00214A4D" w:rsidRDefault="002035E2" w:rsidP="002035E2">
      <w:pPr>
        <w:tabs>
          <w:tab w:val="left" w:pos="1701"/>
        </w:tabs>
        <w:spacing w:after="120" w:line="240" w:lineRule="auto"/>
        <w:ind w:left="1134" w:right="1134"/>
        <w:jc w:val="both"/>
        <w:rPr>
          <w:rFonts w:asciiTheme="majorBidi" w:hAnsiTheme="majorBidi" w:cstheme="majorBidi"/>
          <w:lang w:val="fr-FR"/>
        </w:rPr>
      </w:pPr>
      <w:r w:rsidRPr="00214A4D">
        <w:rPr>
          <w:lang w:val="fr-FR"/>
        </w:rPr>
        <w:t>1.</w:t>
      </w:r>
      <w:r w:rsidRPr="00214A4D">
        <w:rPr>
          <w:lang w:val="fr-FR"/>
        </w:rPr>
        <w:tab/>
        <w:t>Alors que le Règlement ONU n</w:t>
      </w:r>
      <w:r w:rsidRPr="00214A4D">
        <w:rPr>
          <w:vertAlign w:val="superscript"/>
          <w:lang w:val="fr-FR"/>
        </w:rPr>
        <w:t>o</w:t>
      </w:r>
      <w:r w:rsidR="00197AE2">
        <w:rPr>
          <w:lang w:val="fr-FR"/>
        </w:rPr>
        <w:t> </w:t>
      </w:r>
      <w:r w:rsidRPr="00214A4D">
        <w:rPr>
          <w:lang w:val="fr-FR"/>
        </w:rPr>
        <w:t>[157] fait, pour la première fois, référence au Règlement ONU n</w:t>
      </w:r>
      <w:r w:rsidRPr="00214A4D">
        <w:rPr>
          <w:vertAlign w:val="superscript"/>
          <w:lang w:val="fr-FR"/>
        </w:rPr>
        <w:t>o</w:t>
      </w:r>
      <w:r w:rsidR="00197AE2">
        <w:rPr>
          <w:lang w:val="fr-FR"/>
        </w:rPr>
        <w:t> </w:t>
      </w:r>
      <w:r w:rsidRPr="00214A4D">
        <w:rPr>
          <w:lang w:val="fr-FR"/>
        </w:rPr>
        <w:t xml:space="preserve">[156] sur les mises à jour logicielles, le Groupe de travail des véhicules automatisés/autonomes et connectés (GRVA) a </w:t>
      </w:r>
      <w:r>
        <w:rPr>
          <w:lang w:val="fr-FR"/>
        </w:rPr>
        <w:t>estimé</w:t>
      </w:r>
      <w:r w:rsidRPr="00214A4D">
        <w:rPr>
          <w:lang w:val="fr-FR"/>
        </w:rPr>
        <w:t xml:space="preserve"> que le constructeur du véhicule pourrait choisir d</w:t>
      </w:r>
      <w:r>
        <w:rPr>
          <w:lang w:val="fr-FR"/>
        </w:rPr>
        <w:t>’</w:t>
      </w:r>
      <w:r w:rsidRPr="00214A4D">
        <w:rPr>
          <w:lang w:val="fr-FR"/>
        </w:rPr>
        <w:t xml:space="preserve">utiliser un </w:t>
      </w:r>
      <w:r>
        <w:rPr>
          <w:lang w:val="fr-FR"/>
        </w:rPr>
        <w:t xml:space="preserve">autre </w:t>
      </w:r>
      <w:r w:rsidRPr="00214A4D">
        <w:rPr>
          <w:lang w:val="fr-FR"/>
        </w:rPr>
        <w:t>système d</w:t>
      </w:r>
      <w:r>
        <w:rPr>
          <w:lang w:val="fr-FR"/>
        </w:rPr>
        <w:t>’</w:t>
      </w:r>
      <w:r w:rsidRPr="00214A4D">
        <w:rPr>
          <w:lang w:val="fr-FR"/>
        </w:rPr>
        <w:t xml:space="preserve">identification du logiciel que le </w:t>
      </w:r>
      <w:proofErr w:type="spellStart"/>
      <w:r w:rsidRPr="00214A4D">
        <w:rPr>
          <w:lang w:val="fr-FR"/>
        </w:rPr>
        <w:t>R</w:t>
      </w:r>
      <w:r>
        <w:rPr>
          <w:lang w:val="fr-FR"/>
        </w:rPr>
        <w:t>x</w:t>
      </w:r>
      <w:r w:rsidRPr="00214A4D">
        <w:rPr>
          <w:lang w:val="fr-FR"/>
        </w:rPr>
        <w:t>SWIN</w:t>
      </w:r>
      <w:proofErr w:type="spellEnd"/>
      <w:r w:rsidRPr="00214A4D">
        <w:rPr>
          <w:lang w:val="fr-FR"/>
        </w:rPr>
        <w:t>. La proposition ci-dessus vise à établir un même niveau d</w:t>
      </w:r>
      <w:r>
        <w:rPr>
          <w:lang w:val="fr-FR"/>
        </w:rPr>
        <w:t>’</w:t>
      </w:r>
      <w:r w:rsidRPr="00214A4D">
        <w:rPr>
          <w:lang w:val="fr-FR"/>
        </w:rPr>
        <w:t>exigence, quel que soit le système d</w:t>
      </w:r>
      <w:r>
        <w:rPr>
          <w:lang w:val="fr-FR"/>
        </w:rPr>
        <w:t>’</w:t>
      </w:r>
      <w:r w:rsidRPr="00214A4D">
        <w:rPr>
          <w:lang w:val="fr-FR"/>
        </w:rPr>
        <w:t xml:space="preserve">identification retenu, et à </w:t>
      </w:r>
      <w:r>
        <w:rPr>
          <w:lang w:val="fr-FR"/>
        </w:rPr>
        <w:t>donner</w:t>
      </w:r>
      <w:r w:rsidRPr="00214A4D">
        <w:rPr>
          <w:lang w:val="fr-FR"/>
        </w:rPr>
        <w:t xml:space="preserve"> des informations suppl</w:t>
      </w:r>
      <w:bookmarkStart w:id="2" w:name="_GoBack"/>
      <w:bookmarkEnd w:id="2"/>
      <w:r w:rsidRPr="00214A4D">
        <w:rPr>
          <w:lang w:val="fr-FR"/>
        </w:rPr>
        <w:t xml:space="preserve">émentaires de façon à </w:t>
      </w:r>
      <w:r>
        <w:rPr>
          <w:lang w:val="fr-FR"/>
        </w:rPr>
        <w:t>permettre aux</w:t>
      </w:r>
      <w:r w:rsidRPr="009F4311">
        <w:rPr>
          <w:lang w:val="fr-FR"/>
        </w:rPr>
        <w:t xml:space="preserve"> </w:t>
      </w:r>
      <w:r w:rsidRPr="00214A4D">
        <w:rPr>
          <w:lang w:val="fr-FR"/>
        </w:rPr>
        <w:t>autorités d</w:t>
      </w:r>
      <w:r>
        <w:rPr>
          <w:lang w:val="fr-FR"/>
        </w:rPr>
        <w:t>’</w:t>
      </w:r>
      <w:r w:rsidRPr="00214A4D">
        <w:rPr>
          <w:lang w:val="fr-FR"/>
        </w:rPr>
        <w:t xml:space="preserve">homologation et </w:t>
      </w:r>
      <w:r>
        <w:rPr>
          <w:lang w:val="fr-FR"/>
        </w:rPr>
        <w:t>aux</w:t>
      </w:r>
      <w:r w:rsidRPr="00214A4D">
        <w:rPr>
          <w:lang w:val="fr-FR"/>
        </w:rPr>
        <w:t xml:space="preserve"> services techniques </w:t>
      </w:r>
      <w:r>
        <w:rPr>
          <w:lang w:val="fr-FR"/>
        </w:rPr>
        <w:t xml:space="preserve">de disposer d’une demande plus claire </w:t>
      </w:r>
      <w:r w:rsidRPr="00214A4D">
        <w:rPr>
          <w:lang w:val="fr-FR"/>
        </w:rPr>
        <w:t>dans l</w:t>
      </w:r>
      <w:r>
        <w:rPr>
          <w:lang w:val="fr-FR"/>
        </w:rPr>
        <w:t>’</w:t>
      </w:r>
      <w:r w:rsidRPr="00214A4D">
        <w:rPr>
          <w:lang w:val="fr-FR"/>
        </w:rPr>
        <w:t>hypothèse où un autre système d</w:t>
      </w:r>
      <w:r>
        <w:rPr>
          <w:lang w:val="fr-FR"/>
        </w:rPr>
        <w:t>’</w:t>
      </w:r>
      <w:r w:rsidRPr="00214A4D">
        <w:rPr>
          <w:lang w:val="fr-FR"/>
        </w:rPr>
        <w:t>identification du logiciel serait mis en œuvre.</w:t>
      </w:r>
    </w:p>
    <w:p w:rsidR="002035E2" w:rsidRPr="00214A4D" w:rsidRDefault="002035E2" w:rsidP="002035E2">
      <w:pPr>
        <w:tabs>
          <w:tab w:val="left" w:pos="1701"/>
        </w:tabs>
        <w:spacing w:after="120" w:line="240" w:lineRule="auto"/>
        <w:ind w:left="1134" w:right="1134"/>
        <w:jc w:val="both"/>
        <w:rPr>
          <w:rFonts w:asciiTheme="majorBidi" w:hAnsiTheme="majorBidi" w:cstheme="majorBidi"/>
          <w:lang w:val="fr-FR"/>
        </w:rPr>
      </w:pPr>
      <w:r w:rsidRPr="00214A4D">
        <w:rPr>
          <w:lang w:val="fr-FR"/>
        </w:rPr>
        <w:t>2.</w:t>
      </w:r>
      <w:r w:rsidRPr="00214A4D">
        <w:rPr>
          <w:lang w:val="fr-FR"/>
        </w:rPr>
        <w:tab/>
        <w:t xml:space="preserve">Cette proposition est présentée </w:t>
      </w:r>
      <w:r>
        <w:rPr>
          <w:lang w:val="fr-FR"/>
        </w:rPr>
        <w:t>conjointement à</w:t>
      </w:r>
      <w:r w:rsidRPr="00214A4D">
        <w:rPr>
          <w:lang w:val="fr-FR"/>
        </w:rPr>
        <w:t xml:space="preserve"> la proposition d</w:t>
      </w:r>
      <w:r>
        <w:rPr>
          <w:lang w:val="fr-FR"/>
        </w:rPr>
        <w:t>’</w:t>
      </w:r>
      <w:r w:rsidRPr="00214A4D">
        <w:rPr>
          <w:lang w:val="fr-FR"/>
        </w:rPr>
        <w:t>amendement au Règlement ONU n</w:t>
      </w:r>
      <w:r w:rsidRPr="00214A4D">
        <w:rPr>
          <w:vertAlign w:val="superscript"/>
          <w:lang w:val="fr-FR"/>
        </w:rPr>
        <w:t>o</w:t>
      </w:r>
      <w:r w:rsidR="00197AE2">
        <w:rPr>
          <w:lang w:val="fr-FR"/>
        </w:rPr>
        <w:t> </w:t>
      </w:r>
      <w:r w:rsidRPr="00214A4D">
        <w:rPr>
          <w:lang w:val="fr-FR"/>
        </w:rPr>
        <w:t>[156] correspondante.</w:t>
      </w:r>
    </w:p>
    <w:p w:rsidR="002035E2" w:rsidRPr="00214A4D" w:rsidRDefault="002035E2" w:rsidP="00197AE2">
      <w:pPr>
        <w:pStyle w:val="Titre1"/>
        <w:rPr>
          <w:lang w:val="fr-FR"/>
        </w:rPr>
      </w:pPr>
      <w:r w:rsidRPr="00214A4D">
        <w:rPr>
          <w:lang w:val="fr-FR"/>
        </w:rPr>
        <w:t>Figure 1</w:t>
      </w:r>
    </w:p>
    <w:p w:rsidR="002035E2" w:rsidRPr="00197AE2" w:rsidRDefault="002035E2" w:rsidP="00197AE2">
      <w:pPr>
        <w:pStyle w:val="SingleTxtG"/>
        <w:keepNext/>
        <w:jc w:val="left"/>
        <w:rPr>
          <w:b/>
          <w:bCs/>
          <w:noProof/>
          <w:lang w:val="fr-FR"/>
        </w:rPr>
      </w:pPr>
      <w:r w:rsidRPr="00197AE2">
        <w:rPr>
          <w:b/>
          <w:bCs/>
          <w:lang w:val="fr-FR"/>
        </w:rPr>
        <w:t>Correspondance entre les paragraphes des Règlements ONU n</w:t>
      </w:r>
      <w:r w:rsidRPr="00197AE2">
        <w:rPr>
          <w:b/>
          <w:bCs/>
          <w:vertAlign w:val="superscript"/>
          <w:lang w:val="fr-FR"/>
        </w:rPr>
        <w:t>os</w:t>
      </w:r>
      <w:r w:rsidR="00197AE2">
        <w:rPr>
          <w:b/>
          <w:bCs/>
          <w:lang w:val="fr-FR"/>
        </w:rPr>
        <w:t> </w:t>
      </w:r>
      <w:r w:rsidRPr="00197AE2">
        <w:rPr>
          <w:b/>
          <w:bCs/>
          <w:lang w:val="fr-FR"/>
        </w:rPr>
        <w:t>[156] et [157]</w:t>
      </w:r>
    </w:p>
    <w:p w:rsidR="002035E2" w:rsidRDefault="002035E2" w:rsidP="002035E2">
      <w:pPr>
        <w:spacing w:after="120" w:line="240" w:lineRule="auto"/>
        <w:ind w:left="1134" w:right="1134"/>
        <w:jc w:val="both"/>
        <w:rPr>
          <w:lang w:val="fr-FR"/>
        </w:rPr>
      </w:pPr>
      <w:r w:rsidRPr="00214A4D">
        <w:rPr>
          <w:b/>
          <w:bCs/>
          <w:noProof/>
          <w:lang w:val="fr-FR"/>
        </w:rPr>
        <w:drawing>
          <wp:inline distT="0" distB="0" distL="0" distR="0" wp14:anchorId="326CAF64" wp14:editId="0E914EF2">
            <wp:extent cx="4680000" cy="2630573"/>
            <wp:effectExtent l="0" t="0" r="635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2630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73C" w:rsidRPr="00197AE2" w:rsidRDefault="00197AE2" w:rsidP="00197AE2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197AE2" w:rsidSect="00292CA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3F0" w:rsidRDefault="00FC23F0" w:rsidP="00F95C08">
      <w:pPr>
        <w:spacing w:line="240" w:lineRule="auto"/>
      </w:pPr>
    </w:p>
  </w:endnote>
  <w:endnote w:type="continuationSeparator" w:id="0">
    <w:p w:rsidR="00FC23F0" w:rsidRPr="00AC3823" w:rsidRDefault="00FC23F0" w:rsidP="00AC3823">
      <w:pPr>
        <w:pStyle w:val="Pieddepage"/>
      </w:pPr>
    </w:p>
  </w:endnote>
  <w:endnote w:type="continuationNotice" w:id="1">
    <w:p w:rsidR="00FC23F0" w:rsidRDefault="00FC23F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CAD" w:rsidRPr="00292CAD" w:rsidRDefault="00292CAD" w:rsidP="00292CAD">
    <w:pPr>
      <w:pStyle w:val="Pieddepage"/>
      <w:tabs>
        <w:tab w:val="right" w:pos="9638"/>
      </w:tabs>
    </w:pPr>
    <w:r w:rsidRPr="00292CAD">
      <w:rPr>
        <w:b/>
        <w:sz w:val="18"/>
      </w:rPr>
      <w:fldChar w:fldCharType="begin"/>
    </w:r>
    <w:r w:rsidRPr="00292CAD">
      <w:rPr>
        <w:b/>
        <w:sz w:val="18"/>
      </w:rPr>
      <w:instrText xml:space="preserve"> PAGE  \* MERGEFORMAT </w:instrText>
    </w:r>
    <w:r w:rsidRPr="00292CAD">
      <w:rPr>
        <w:b/>
        <w:sz w:val="18"/>
      </w:rPr>
      <w:fldChar w:fldCharType="separate"/>
    </w:r>
    <w:r w:rsidRPr="00292CAD">
      <w:rPr>
        <w:b/>
        <w:noProof/>
        <w:sz w:val="18"/>
      </w:rPr>
      <w:t>2</w:t>
    </w:r>
    <w:r w:rsidRPr="00292CAD">
      <w:rPr>
        <w:b/>
        <w:sz w:val="18"/>
      </w:rPr>
      <w:fldChar w:fldCharType="end"/>
    </w:r>
    <w:r>
      <w:rPr>
        <w:b/>
        <w:sz w:val="18"/>
      </w:rPr>
      <w:tab/>
    </w:r>
    <w:r>
      <w:t>GE.20-15684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CAD" w:rsidRPr="00292CAD" w:rsidRDefault="00292CAD" w:rsidP="00292CAD">
    <w:pPr>
      <w:pStyle w:val="Pieddepage"/>
      <w:tabs>
        <w:tab w:val="right" w:pos="9638"/>
      </w:tabs>
      <w:rPr>
        <w:b/>
        <w:sz w:val="18"/>
      </w:rPr>
    </w:pPr>
    <w:r>
      <w:t>GE.20-15684</w:t>
    </w:r>
    <w:r>
      <w:tab/>
    </w:r>
    <w:r w:rsidRPr="00292CAD">
      <w:rPr>
        <w:b/>
        <w:sz w:val="18"/>
      </w:rPr>
      <w:fldChar w:fldCharType="begin"/>
    </w:r>
    <w:r w:rsidRPr="00292CAD">
      <w:rPr>
        <w:b/>
        <w:sz w:val="18"/>
      </w:rPr>
      <w:instrText xml:space="preserve"> PAGE  \* MERGEFORMAT </w:instrText>
    </w:r>
    <w:r w:rsidRPr="00292CAD">
      <w:rPr>
        <w:b/>
        <w:sz w:val="18"/>
      </w:rPr>
      <w:fldChar w:fldCharType="separate"/>
    </w:r>
    <w:r w:rsidRPr="00292CAD">
      <w:rPr>
        <w:b/>
        <w:noProof/>
        <w:sz w:val="18"/>
      </w:rPr>
      <w:t>3</w:t>
    </w:r>
    <w:r w:rsidRPr="00292CA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292CAD" w:rsidRDefault="00292CAD" w:rsidP="00292CAD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20-15684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081220    081220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3F0" w:rsidRPr="00AC3823" w:rsidRDefault="00FC23F0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C23F0" w:rsidRPr="00AC3823" w:rsidRDefault="00FC23F0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FC23F0" w:rsidRPr="00AC3823" w:rsidRDefault="00FC23F0">
      <w:pPr>
        <w:spacing w:line="240" w:lineRule="auto"/>
        <w:rPr>
          <w:sz w:val="2"/>
          <w:szCs w:val="2"/>
        </w:rPr>
      </w:pPr>
    </w:p>
  </w:footnote>
  <w:footnote w:id="2">
    <w:p w:rsidR="002035E2" w:rsidRPr="00214A4D" w:rsidRDefault="002035E2" w:rsidP="002035E2">
      <w:pPr>
        <w:pStyle w:val="Notedebasdepage"/>
        <w:rPr>
          <w:lang w:val="fr-FR"/>
        </w:rPr>
      </w:pPr>
      <w:r w:rsidRPr="002035E2">
        <w:rPr>
          <w:sz w:val="20"/>
          <w:lang w:val="fr-FR"/>
        </w:rPr>
        <w:tab/>
        <w:t>*</w:t>
      </w:r>
      <w:r w:rsidRPr="002035E2">
        <w:rPr>
          <w:sz w:val="20"/>
          <w:lang w:val="fr-FR"/>
        </w:rPr>
        <w:tab/>
      </w:r>
      <w:r>
        <w:rPr>
          <w:lang w:val="fr-FR"/>
        </w:rPr>
        <w:t>Conformément au programme de travail du Comité des transports intérieurs pour 2021 tel qu’il figure dans le projet de budget-programme pour 2021 (A/75/6 (chap.</w:t>
      </w:r>
      <w:r>
        <w:rPr>
          <w:lang w:val="fr-FR"/>
        </w:rPr>
        <w:t> </w:t>
      </w:r>
      <w:r>
        <w:rPr>
          <w:lang w:val="fr-FR"/>
        </w:rPr>
        <w:t>20), par.</w:t>
      </w:r>
      <w:r>
        <w:rPr>
          <w:lang w:val="fr-FR"/>
        </w:rPr>
        <w:t> </w:t>
      </w:r>
      <w:r>
        <w:rPr>
          <w:lang w:val="fr-FR"/>
        </w:rPr>
        <w:t>20.51),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CAD" w:rsidRPr="00292CAD" w:rsidRDefault="00292CAD">
    <w:pPr>
      <w:pStyle w:val="En-tte"/>
    </w:pPr>
    <w:fldSimple w:instr=" TITLE  \* MERGEFORMAT ">
      <w:r>
        <w:t>ECE/TRANS/WP.29/GRVA/2021/17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CAD" w:rsidRPr="00292CAD" w:rsidRDefault="00292CAD" w:rsidP="00292CAD">
    <w:pPr>
      <w:pStyle w:val="En-tte"/>
      <w:jc w:val="right"/>
    </w:pPr>
    <w:fldSimple w:instr=" TITLE  \* MERGEFORMAT ">
      <w:r>
        <w:t>ECE/TRANS/WP.29/GRVA/2021/17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3F0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97AE2"/>
    <w:rsid w:val="001F525A"/>
    <w:rsid w:val="00201148"/>
    <w:rsid w:val="002035E2"/>
    <w:rsid w:val="00223272"/>
    <w:rsid w:val="0024779E"/>
    <w:rsid w:val="00257168"/>
    <w:rsid w:val="002744B8"/>
    <w:rsid w:val="002832AC"/>
    <w:rsid w:val="00292CAD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BC74F4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  <w:rsid w:val="00FC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2FADC17"/>
  <w15:docId w15:val="{A4CF641B-FB9B-44F9-A7F0-C70663CF5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2035E2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2035E2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rsid w:val="002035E2"/>
    <w:rPr>
      <w:rFonts w:ascii="Times New Roman" w:eastAsiaTheme="minorHAnsi" w:hAnsi="Times New Roman" w:cs="Times New Roman"/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393</Words>
  <Characters>2757</Characters>
  <Application>Microsoft Office Word</Application>
  <DocSecurity>0</DocSecurity>
  <Lines>229</Lines>
  <Paragraphs>125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ECE/TRANS/WP.29/GRVA/2021/17</vt:lpstr>
    </vt:vector>
  </TitlesOfParts>
  <Company>DCM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ECE/TRANS/WP.29/GRVA/2021/17</dc:title>
  <dc:subject/>
  <dc:creator>Nicolas MORIN</dc:creator>
  <cp:keywords/>
  <cp:lastModifiedBy>Nicolas Morin</cp:lastModifiedBy>
  <cp:revision>2</cp:revision>
  <cp:lastPrinted>2014-05-14T10:59:00Z</cp:lastPrinted>
  <dcterms:created xsi:type="dcterms:W3CDTF">2020-12-08T15:13:00Z</dcterms:created>
  <dcterms:modified xsi:type="dcterms:W3CDTF">2020-12-08T15:13:00Z</dcterms:modified>
</cp:coreProperties>
</file>