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F82D02C" w14:textId="77777777" w:rsidTr="00387CD4">
        <w:trPr>
          <w:trHeight w:hRule="exact" w:val="851"/>
        </w:trPr>
        <w:tc>
          <w:tcPr>
            <w:tcW w:w="142" w:type="dxa"/>
            <w:tcBorders>
              <w:bottom w:val="single" w:sz="4" w:space="0" w:color="auto"/>
            </w:tcBorders>
          </w:tcPr>
          <w:p w14:paraId="7692D565" w14:textId="77777777" w:rsidR="002D5AAC" w:rsidRDefault="002D5AAC" w:rsidP="006264E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A11710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A295A88" w14:textId="77777777" w:rsidR="002D5AAC" w:rsidRDefault="006264EE" w:rsidP="006264EE">
            <w:pPr>
              <w:jc w:val="right"/>
            </w:pPr>
            <w:r w:rsidRPr="006264EE">
              <w:rPr>
                <w:sz w:val="40"/>
              </w:rPr>
              <w:t>ECE</w:t>
            </w:r>
            <w:r>
              <w:t>/TRANS/2021/23</w:t>
            </w:r>
          </w:p>
        </w:tc>
      </w:tr>
      <w:tr w:rsidR="002D5AAC" w:rsidRPr="00953EA8" w14:paraId="6A6E8438" w14:textId="77777777" w:rsidTr="00387CD4">
        <w:trPr>
          <w:trHeight w:hRule="exact" w:val="2835"/>
        </w:trPr>
        <w:tc>
          <w:tcPr>
            <w:tcW w:w="1280" w:type="dxa"/>
            <w:gridSpan w:val="2"/>
            <w:tcBorders>
              <w:top w:val="single" w:sz="4" w:space="0" w:color="auto"/>
              <w:bottom w:val="single" w:sz="12" w:space="0" w:color="auto"/>
            </w:tcBorders>
          </w:tcPr>
          <w:p w14:paraId="08790DBE" w14:textId="77777777" w:rsidR="002D5AAC" w:rsidRDefault="002E5067" w:rsidP="00387CD4">
            <w:pPr>
              <w:spacing w:before="120"/>
              <w:jc w:val="center"/>
            </w:pPr>
            <w:r>
              <w:rPr>
                <w:noProof/>
                <w:lang w:val="fr-CH" w:eastAsia="fr-CH"/>
              </w:rPr>
              <w:drawing>
                <wp:inline distT="0" distB="0" distL="0" distR="0" wp14:anchorId="05AA80FB" wp14:editId="7922CB4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710D8E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C5E46E6" w14:textId="77777777" w:rsidR="002D5AAC" w:rsidRDefault="006264EE" w:rsidP="00387CD4">
            <w:pPr>
              <w:spacing w:before="240"/>
              <w:rPr>
                <w:lang w:val="en-US"/>
              </w:rPr>
            </w:pPr>
            <w:r>
              <w:rPr>
                <w:lang w:val="en-US"/>
              </w:rPr>
              <w:t>Distr.: General</w:t>
            </w:r>
          </w:p>
          <w:p w14:paraId="57D2C0BE" w14:textId="321FEF29" w:rsidR="006264EE" w:rsidRDefault="006264EE" w:rsidP="006264EE">
            <w:pPr>
              <w:spacing w:line="240" w:lineRule="exact"/>
              <w:rPr>
                <w:lang w:val="en-US"/>
              </w:rPr>
            </w:pPr>
            <w:r>
              <w:rPr>
                <w:lang w:val="en-US"/>
              </w:rPr>
              <w:t xml:space="preserve">11 </w:t>
            </w:r>
            <w:r w:rsidR="00FD1132">
              <w:rPr>
                <w:lang w:val="en-US"/>
              </w:rPr>
              <w:t>December</w:t>
            </w:r>
            <w:r>
              <w:rPr>
                <w:lang w:val="en-US"/>
              </w:rPr>
              <w:t xml:space="preserve"> 2020</w:t>
            </w:r>
          </w:p>
          <w:p w14:paraId="4B391509" w14:textId="77777777" w:rsidR="006264EE" w:rsidRDefault="006264EE" w:rsidP="006264EE">
            <w:pPr>
              <w:spacing w:line="240" w:lineRule="exact"/>
              <w:rPr>
                <w:lang w:val="en-US"/>
              </w:rPr>
            </w:pPr>
            <w:r>
              <w:rPr>
                <w:lang w:val="en-US"/>
              </w:rPr>
              <w:t>Russian</w:t>
            </w:r>
          </w:p>
          <w:p w14:paraId="67E8D634" w14:textId="77777777" w:rsidR="006264EE" w:rsidRPr="008D53B6" w:rsidRDefault="006264EE" w:rsidP="006264EE">
            <w:pPr>
              <w:spacing w:line="240" w:lineRule="exact"/>
              <w:rPr>
                <w:lang w:val="en-US"/>
              </w:rPr>
            </w:pPr>
            <w:r>
              <w:rPr>
                <w:lang w:val="en-US"/>
              </w:rPr>
              <w:t>Original: English</w:t>
            </w:r>
          </w:p>
        </w:tc>
      </w:tr>
    </w:tbl>
    <w:p w14:paraId="2CD357C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2DC05D3" w14:textId="77777777" w:rsidR="006264EE" w:rsidRPr="00632174" w:rsidRDefault="006264EE" w:rsidP="006264EE">
      <w:pPr>
        <w:spacing w:before="120"/>
        <w:rPr>
          <w:sz w:val="28"/>
          <w:szCs w:val="28"/>
        </w:rPr>
      </w:pPr>
      <w:r w:rsidRPr="00632174">
        <w:rPr>
          <w:sz w:val="28"/>
          <w:szCs w:val="28"/>
        </w:rPr>
        <w:t>Комитет по внутреннему транспорту</w:t>
      </w:r>
    </w:p>
    <w:p w14:paraId="0DD84BE4" w14:textId="77777777" w:rsidR="006264EE" w:rsidRPr="00B057EE" w:rsidRDefault="006264EE" w:rsidP="006264EE">
      <w:pPr>
        <w:spacing w:before="120"/>
        <w:rPr>
          <w:b/>
          <w:bCs/>
        </w:rPr>
      </w:pPr>
      <w:r>
        <w:rPr>
          <w:b/>
          <w:bCs/>
        </w:rPr>
        <w:t>Восемьдесят третья сессия</w:t>
      </w:r>
    </w:p>
    <w:p w14:paraId="3DE4344F" w14:textId="77777777" w:rsidR="006264EE" w:rsidRDefault="006264EE" w:rsidP="006264EE">
      <w:r>
        <w:t xml:space="preserve">Женева, 23–26 февраля 2021 года </w:t>
      </w:r>
    </w:p>
    <w:p w14:paraId="76B7834D" w14:textId="77777777" w:rsidR="006264EE" w:rsidRDefault="006264EE" w:rsidP="006264EE">
      <w:r>
        <w:t xml:space="preserve">Пункт 7 r) предварительной повестки дня </w:t>
      </w:r>
    </w:p>
    <w:p w14:paraId="7935218C" w14:textId="77777777" w:rsidR="006264EE" w:rsidRPr="00CD0C23" w:rsidRDefault="006264EE" w:rsidP="006264EE">
      <w:pPr>
        <w:rPr>
          <w:b/>
        </w:rPr>
      </w:pPr>
      <w:r w:rsidRPr="00CD0C23">
        <w:rPr>
          <w:b/>
        </w:rPr>
        <w:t xml:space="preserve">Стратегические вопросы горизонтальной </w:t>
      </w:r>
      <w:r w:rsidR="007230AD">
        <w:rPr>
          <w:b/>
        </w:rPr>
        <w:br/>
      </w:r>
      <w:r w:rsidRPr="00CD0C23">
        <w:rPr>
          <w:b/>
        </w:rPr>
        <w:t xml:space="preserve">и межсекторальной политики или нормативного характера: </w:t>
      </w:r>
      <w:r w:rsidR="007230AD">
        <w:rPr>
          <w:b/>
        </w:rPr>
        <w:br/>
      </w:r>
      <w:r>
        <w:rPr>
          <w:b/>
        </w:rPr>
        <w:t>т</w:t>
      </w:r>
      <w:r w:rsidRPr="00CD0C23">
        <w:rPr>
          <w:b/>
        </w:rPr>
        <w:t>ранспортная статистика и данные</w:t>
      </w:r>
    </w:p>
    <w:p w14:paraId="0654EC60" w14:textId="77777777" w:rsidR="006264EE" w:rsidRPr="00FB27A2" w:rsidRDefault="006264EE" w:rsidP="006264EE">
      <w:pPr>
        <w:pStyle w:val="HChG"/>
      </w:pPr>
      <w:r>
        <w:tab/>
      </w:r>
      <w:r>
        <w:tab/>
      </w:r>
      <w:r>
        <w:rPr>
          <w:bCs/>
        </w:rPr>
        <w:t>Деятельность</w:t>
      </w:r>
      <w:r w:rsidRPr="00FB27A2">
        <w:rPr>
          <w:color w:val="333333"/>
          <w:shd w:val="clear" w:color="auto" w:fill="FFFFFF"/>
        </w:rPr>
        <w:t xml:space="preserve"> в области статистики транспорта</w:t>
      </w:r>
    </w:p>
    <w:p w14:paraId="02FCE3BD" w14:textId="77777777" w:rsidR="006264EE" w:rsidRPr="00632174" w:rsidRDefault="006264EE" w:rsidP="006264EE">
      <w:pPr>
        <w:pStyle w:val="H1G"/>
      </w:pPr>
      <w:r>
        <w:tab/>
      </w:r>
      <w:r>
        <w:tab/>
      </w:r>
      <w:r>
        <w:rPr>
          <w:bCs/>
        </w:rPr>
        <w:t>Записка секретариата</w:t>
      </w:r>
    </w:p>
    <w:tbl>
      <w:tblPr>
        <w:tblStyle w:val="ac"/>
        <w:tblW w:w="0" w:type="auto"/>
        <w:jc w:val="center"/>
        <w:tblBorders>
          <w:insideH w:val="none" w:sz="0" w:space="0" w:color="auto"/>
        </w:tblBorders>
        <w:tblLayout w:type="fixed"/>
        <w:tblLook w:val="05E0" w:firstRow="1" w:lastRow="1" w:firstColumn="1" w:lastColumn="1" w:noHBand="0" w:noVBand="1"/>
      </w:tblPr>
      <w:tblGrid>
        <w:gridCol w:w="9637"/>
      </w:tblGrid>
      <w:tr w:rsidR="006264EE" w14:paraId="78981E2C" w14:textId="77777777" w:rsidTr="0059519B">
        <w:trPr>
          <w:jc w:val="center"/>
        </w:trPr>
        <w:tc>
          <w:tcPr>
            <w:tcW w:w="9637" w:type="dxa"/>
            <w:shd w:val="clear" w:color="auto" w:fill="auto"/>
          </w:tcPr>
          <w:p w14:paraId="3AB97A5D" w14:textId="77777777" w:rsidR="006264EE" w:rsidRPr="00C6263E" w:rsidRDefault="006264EE" w:rsidP="0059519B">
            <w:pPr>
              <w:spacing w:before="240" w:after="120"/>
              <w:ind w:left="255"/>
              <w:rPr>
                <w:i/>
                <w:sz w:val="24"/>
              </w:rPr>
            </w:pPr>
            <w:r w:rsidRPr="00D10E2A">
              <w:rPr>
                <w:i/>
                <w:sz w:val="24"/>
              </w:rPr>
              <w:t>Резюме</w:t>
            </w:r>
          </w:p>
        </w:tc>
      </w:tr>
      <w:tr w:rsidR="006264EE" w:rsidRPr="00632174" w14:paraId="36D3E627" w14:textId="77777777" w:rsidTr="0059519B">
        <w:trPr>
          <w:jc w:val="center"/>
        </w:trPr>
        <w:tc>
          <w:tcPr>
            <w:tcW w:w="9637" w:type="dxa"/>
            <w:shd w:val="clear" w:color="auto" w:fill="auto"/>
          </w:tcPr>
          <w:p w14:paraId="7ECA6D66" w14:textId="77777777" w:rsidR="006264EE" w:rsidRPr="00B057EE" w:rsidRDefault="006264EE" w:rsidP="0059519B">
            <w:pPr>
              <w:pStyle w:val="SingleTxtG"/>
            </w:pPr>
            <w:r>
              <w:tab/>
              <w:t>В настоящем документе освещается текущая работа Рабочей группы по статистике транспорта с уделением особого внимания некоторым новым видам статистической деятельности в связи с эпидемией COVID-19.</w:t>
            </w:r>
          </w:p>
        </w:tc>
      </w:tr>
      <w:tr w:rsidR="006264EE" w:rsidRPr="00632174" w14:paraId="4FCA4EE1" w14:textId="77777777" w:rsidTr="0059519B">
        <w:trPr>
          <w:jc w:val="center"/>
        </w:trPr>
        <w:tc>
          <w:tcPr>
            <w:tcW w:w="9637" w:type="dxa"/>
            <w:shd w:val="clear" w:color="auto" w:fill="auto"/>
          </w:tcPr>
          <w:p w14:paraId="7A3148FF" w14:textId="77777777" w:rsidR="006264EE" w:rsidRPr="00B057EE" w:rsidRDefault="006264EE" w:rsidP="0059519B"/>
        </w:tc>
      </w:tr>
    </w:tbl>
    <w:p w14:paraId="1F40EB7A" w14:textId="77777777" w:rsidR="006264EE" w:rsidRPr="00B057EE" w:rsidRDefault="006264EE" w:rsidP="006264EE">
      <w:pPr>
        <w:pStyle w:val="HChG"/>
      </w:pPr>
      <w:r>
        <w:tab/>
        <w:t>I.</w:t>
      </w:r>
      <w:r>
        <w:tab/>
      </w:r>
      <w:r>
        <w:rPr>
          <w:bCs/>
        </w:rPr>
        <w:t>Справочная информация</w:t>
      </w:r>
    </w:p>
    <w:p w14:paraId="189663B7" w14:textId="77777777" w:rsidR="006264EE" w:rsidRPr="00B057EE" w:rsidRDefault="006264EE" w:rsidP="006264EE">
      <w:pPr>
        <w:pStyle w:val="SingleTxtG"/>
      </w:pPr>
      <w:r>
        <w:t>1.</w:t>
      </w:r>
      <w:r>
        <w:tab/>
        <w:t xml:space="preserve">Рабочая группа по статистике транспорта (WP.6) продолжает свою деятельность по предоставлению ключевых данных с целью информирования Комитета по внутреннему транспорту (КВТ) о тенденциях и изменениях на различных видах внутреннего транспорта, а также содействия работе, проводимой другими рабочими группами и отдельными государствами-членами путем разработки </w:t>
      </w:r>
      <w:proofErr w:type="spellStart"/>
      <w:r>
        <w:t>фактологически</w:t>
      </w:r>
      <w:proofErr w:type="spellEnd"/>
      <w:r>
        <w:t xml:space="preserve"> обоснованной политики. Во время пандемии COVID-19 секретариат продолжил предусмотренную его мандатом деятельность, включая выпуск публикаций «</w:t>
      </w:r>
      <w:proofErr w:type="spellStart"/>
      <w:r>
        <w:t>Инфокарты</w:t>
      </w:r>
      <w:proofErr w:type="spellEnd"/>
      <w:r>
        <w:t xml:space="preserve"> транспортной статистики» и «</w:t>
      </w:r>
      <w:r w:rsidRPr="00352A6B">
        <w:t>Статистик</w:t>
      </w:r>
      <w:r>
        <w:t>а</w:t>
      </w:r>
      <w:r w:rsidRPr="00352A6B">
        <w:t xml:space="preserve"> внутреннего транспорта Европы и Северной Америки</w:t>
      </w:r>
      <w:r>
        <w:t>» за 2020 год. Учитывая исключительный характер этого кризиса, секретариат предпринимает также активные усилия по распространению статистических данных, рассчитанных на ближайшую перспективу, по темам, связанным с транспортом, с тем чтобы предоставить директивным органам самую свежую информацию.</w:t>
      </w:r>
    </w:p>
    <w:p w14:paraId="5C7C2664" w14:textId="77777777" w:rsidR="006264EE" w:rsidRPr="00B057EE" w:rsidRDefault="006264EE" w:rsidP="006264EE">
      <w:pPr>
        <w:pStyle w:val="HChG"/>
      </w:pPr>
      <w:r>
        <w:tab/>
        <w:t>II.</w:t>
      </w:r>
      <w:r>
        <w:tab/>
      </w:r>
      <w:r>
        <w:rPr>
          <w:bCs/>
        </w:rPr>
        <w:t>Вики-страница с источниками краткосрочной транспортной статистики</w:t>
      </w:r>
    </w:p>
    <w:p w14:paraId="21D9AC09" w14:textId="77777777" w:rsidR="006264EE" w:rsidRPr="00B057EE" w:rsidRDefault="006264EE" w:rsidP="006264EE">
      <w:pPr>
        <w:pStyle w:val="SingleTxtG"/>
      </w:pPr>
      <w:r>
        <w:t>2.</w:t>
      </w:r>
      <w:r>
        <w:tab/>
        <w:t xml:space="preserve">Официальная ежегодная статистика по-прежнему является важнейшим контрольным показателем для отслеживания прогресса с течением времени, однако в контексте кризиса как директивные органы, так и статистики были вынуждены также </w:t>
      </w:r>
      <w:r>
        <w:lastRenderedPageBreak/>
        <w:t xml:space="preserve">рассмотреть новые виды источников данных. Учитывая, что доступ к ряду традиционных обследований и переписей и даже </w:t>
      </w:r>
      <w:r w:rsidR="00AD2B69">
        <w:t xml:space="preserve">к </w:t>
      </w:r>
      <w:r>
        <w:t xml:space="preserve">некоторым источникам административных данных был либо затруднен, либо вообще невозможен, статистики были вынуждены в силу различных факторов пытаться применять разные способы измерения сектора транспорта и мобильности. Появились «моментальные» показатели, часто основанные либо на данных о местоположении, предоставленных операторами мобильной связи, либо на данных систем взимания дорожных сборов/измерения параметров транспортных средств, что позволяет публиковать достаточно точные сведения на ежемесячной, еженедельной или даже ежедневной основе. Хотя эти показатели не всегда имеют статус официальных статистических данных, после их обработки сотрудниками государственных статистических органов они приобретают высокий уровень качества и служат полезным, надежным и оперативным источником данных. </w:t>
      </w:r>
    </w:p>
    <w:p w14:paraId="36A9A9B7" w14:textId="77777777" w:rsidR="006264EE" w:rsidRPr="00B057EE" w:rsidRDefault="006264EE" w:rsidP="006264EE">
      <w:pPr>
        <w:pStyle w:val="SingleTxtG"/>
      </w:pPr>
      <w:r>
        <w:t>3.</w:t>
      </w:r>
      <w:r>
        <w:tab/>
        <w:t>С самого начала кризиса секретариат осуществляет мониторинг последствий для транспортной отрасли на основе подготовки и обновления вики-страницы с официальными источниками краткосрочных статистических данных, имеющих отношение к транспорту</w:t>
      </w:r>
      <w:r w:rsidRPr="00AD2B69">
        <w:rPr>
          <w:sz w:val="18"/>
          <w:szCs w:val="18"/>
          <w:vertAlign w:val="superscript"/>
        </w:rPr>
        <w:footnoteReference w:id="1"/>
      </w:r>
      <w:r>
        <w:t xml:space="preserve">. На момент подготовки настоящего документа она насчитывала более 150 источников со ссылками на страницы почти всех государств </w:t>
      </w:r>
      <w:r w:rsidR="00AD2B69">
        <w:t>—</w:t>
      </w:r>
      <w:r>
        <w:t xml:space="preserve"> членов ЕЭК. Эти данные охватывают широкий спектр тем, относящихся к транспортной статистике. </w:t>
      </w:r>
    </w:p>
    <w:p w14:paraId="25E0A028" w14:textId="77777777" w:rsidR="006264EE" w:rsidRPr="00B057EE" w:rsidRDefault="006264EE" w:rsidP="006264EE">
      <w:pPr>
        <w:pStyle w:val="SingleTxtG"/>
      </w:pPr>
      <w:r>
        <w:t>4.</w:t>
      </w:r>
      <w:r>
        <w:tab/>
        <w:t xml:space="preserve">Эта вики-страница может стать полезным источником оперативных сведений для директивных органов, заинтересованных в получении информации о регистрации новых транспортных средств, общественном транспорте, уровнях загруженности дорог и показателях безопасности дорожного движения в 2020 году на ежедневной, еженедельной или ежемесячной основе. В качестве примера можно привести использование счетчиков транспортных средств, а в некоторых случаях и данных о взимании дорожных сборов, которые действительно повысили свою значимость в течение 2020 года. Количество транспортных средств за сутки на ключевых коридорах может быть весьма актуальным косвенным показателем общей интенсивности дорожного движения, а агрегирование нескольких точек с другой информацией может дать полезный показатель, который может быть в некоторой степени сопоставим с количеством транспортных средств-км. Источником данных могут также послужить данные о плате за проезд по основным автомагистралям, как это происходит в Германии. На рисунке I представлены графики перевозок различными транспортными средствами на дорогах Соединенного Королевства Великобритании и Северной Ирландии. </w:t>
      </w:r>
    </w:p>
    <w:p w14:paraId="356CEDBB" w14:textId="3696C8E8" w:rsidR="006264EE" w:rsidRPr="006D0462" w:rsidRDefault="006264EE" w:rsidP="00AD2B69">
      <w:pPr>
        <w:pStyle w:val="SingleTxtG"/>
        <w:pageBreakBefore/>
        <w:spacing w:after="0"/>
      </w:pPr>
      <w:r w:rsidRPr="006D0462">
        <w:lastRenderedPageBreak/>
        <w:t>Рис. I</w:t>
      </w:r>
      <w:bookmarkStart w:id="0" w:name="_GoBack"/>
      <w:bookmarkEnd w:id="0"/>
    </w:p>
    <w:p w14:paraId="2EE8F88D" w14:textId="7381C2CF" w:rsidR="006264EE" w:rsidRPr="00B057EE" w:rsidRDefault="006264EE" w:rsidP="00AD2B69">
      <w:pPr>
        <w:pStyle w:val="SingleTxtG"/>
        <w:jc w:val="left"/>
      </w:pPr>
      <w:r>
        <w:rPr>
          <w:b/>
          <w:bCs/>
        </w:rPr>
        <w:t>Изменение интенсивности дорожного движения в Соединенном Королевстве Великобритании и Северной Ирландии для различных типов транспортных средств по сравнению с 1-ой неделей февраля 2020 года</w:t>
      </w:r>
    </w:p>
    <w:p w14:paraId="3A93F5FD" w14:textId="541B6C98" w:rsidR="006264EE" w:rsidRDefault="00953EA8" w:rsidP="006264EE">
      <w:pPr>
        <w:pStyle w:val="SingleTxtG"/>
        <w:keepNext/>
        <w:ind w:left="1494"/>
      </w:pPr>
      <w:r>
        <w:rPr>
          <w:noProof/>
        </w:rPr>
        <mc:AlternateContent>
          <mc:Choice Requires="wps">
            <w:drawing>
              <wp:anchor distT="45720" distB="45720" distL="114300" distR="114300" simplePos="0" relativeHeight="251659264" behindDoc="0" locked="0" layoutInCell="1" allowOverlap="1" wp14:anchorId="47862749" wp14:editId="7CE30D4D">
                <wp:simplePos x="0" y="0"/>
                <wp:positionH relativeFrom="column">
                  <wp:posOffset>2296242</wp:posOffset>
                </wp:positionH>
                <wp:positionV relativeFrom="paragraph">
                  <wp:posOffset>135692</wp:posOffset>
                </wp:positionV>
                <wp:extent cx="237507" cy="124691"/>
                <wp:effectExtent l="0" t="0" r="0" b="889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7" cy="124691"/>
                        </a:xfrm>
                        <a:prstGeom prst="rect">
                          <a:avLst/>
                        </a:prstGeom>
                        <a:solidFill>
                          <a:srgbClr val="FFFFFF"/>
                        </a:solidFill>
                        <a:ln w="9525">
                          <a:noFill/>
                          <a:miter lim="800000"/>
                          <a:headEnd/>
                          <a:tailEnd/>
                        </a:ln>
                      </wps:spPr>
                      <wps:txbx>
                        <w:txbxContent>
                          <w:p w14:paraId="4D620C09" w14:textId="67E86B76" w:rsidR="00953EA8" w:rsidRPr="00953EA8" w:rsidRDefault="00953EA8" w:rsidP="00953EA8">
                            <w:pPr>
                              <w:spacing w:line="240" w:lineRule="auto"/>
                              <w:rPr>
                                <w:b/>
                                <w:bCs/>
                                <w:sz w:val="16"/>
                                <w:szCs w:val="16"/>
                              </w:rPr>
                            </w:pPr>
                            <w:r w:rsidRPr="00953EA8">
                              <w:rPr>
                                <w:b/>
                                <w:bCs/>
                                <w:sz w:val="16"/>
                                <w:szCs w:val="16"/>
                              </w:rPr>
                              <w:t>ЛА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62749" id="_x0000_t202" coordsize="21600,21600" o:spt="202" path="m,l,21600r21600,l21600,xe">
                <v:stroke joinstyle="miter"/>
                <v:path gradientshapeok="t" o:connecttype="rect"/>
              </v:shapetype>
              <v:shape id="Надпись 2" o:spid="_x0000_s1026" type="#_x0000_t202" style="position:absolute;left:0;text-align:left;margin-left:180.8pt;margin-top:10.7pt;width:18.7pt;height: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" stroked="f">
                <v:textbox inset="0,0,0,0">
                  <w:txbxContent>
                    <w:p w14:paraId="4D620C09" w14:textId="67E86B76" w:rsidR="00953EA8" w:rsidRPr="00953EA8" w:rsidRDefault="00953EA8" w:rsidP="00953EA8">
                      <w:pPr>
                        <w:spacing w:line="240" w:lineRule="auto"/>
                        <w:rPr>
                          <w:b/>
                          <w:bCs/>
                          <w:sz w:val="16"/>
                          <w:szCs w:val="16"/>
                        </w:rPr>
                      </w:pPr>
                      <w:r w:rsidRPr="00953EA8">
                        <w:rPr>
                          <w:b/>
                          <w:bCs/>
                          <w:sz w:val="16"/>
                          <w:szCs w:val="16"/>
                        </w:rPr>
                        <w:t>ЛА</w:t>
                      </w:r>
                    </w:p>
                  </w:txbxContent>
                </v:textbox>
              </v:shape>
            </w:pict>
          </mc:Fallback>
        </mc:AlternateContent>
      </w:r>
      <w:r w:rsidR="006264EE" w:rsidRPr="001518CC">
        <w:rPr>
          <w:rFonts w:eastAsiaTheme="minorEastAsia"/>
          <w:noProof/>
          <w:lang w:eastAsia="zh-CN"/>
        </w:rPr>
        <w:drawing>
          <wp:inline distT="0" distB="0" distL="0" distR="0" wp14:anchorId="59836563" wp14:editId="2D42B64D">
            <wp:extent cx="4444779" cy="1891030"/>
            <wp:effectExtent l="0" t="0" r="13335" b="13970"/>
            <wp:docPr id="12" name="Chart 12">
              <a:extLst xmlns:a="http://schemas.openxmlformats.org/drawingml/2006/main">
                <a:ext uri="{FF2B5EF4-FFF2-40B4-BE49-F238E27FC236}">
                  <a16:creationId xmlns:a16="http://schemas.microsoft.com/office/drawing/2014/main" id="{74BB7CD1-7283-4B86-A6F1-A1223837B8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50D0A9" w14:textId="77777777" w:rsidR="006264EE" w:rsidRPr="00B057EE" w:rsidRDefault="006264EE" w:rsidP="006264EE">
      <w:pPr>
        <w:spacing w:after="120"/>
        <w:ind w:left="1134" w:right="1134" w:firstLine="170"/>
        <w:jc w:val="both"/>
      </w:pPr>
      <w:r w:rsidRPr="00632174">
        <w:rPr>
          <w:i/>
          <w:sz w:val="18"/>
          <w:szCs w:val="18"/>
        </w:rPr>
        <w:t>Источник</w:t>
      </w:r>
      <w:r>
        <w:t xml:space="preserve">: </w:t>
      </w:r>
      <w:r w:rsidRPr="00632174">
        <w:rPr>
          <w:sz w:val="18"/>
          <w:szCs w:val="18"/>
        </w:rPr>
        <w:t>Транспортное управление Соединенного Королевства</w:t>
      </w:r>
    </w:p>
    <w:p w14:paraId="0C61D6DD" w14:textId="77777777" w:rsidR="006264EE" w:rsidRPr="00B057EE" w:rsidRDefault="006264EE" w:rsidP="006264EE">
      <w:pPr>
        <w:pStyle w:val="SingleTxtG"/>
      </w:pPr>
      <w:r>
        <w:t>5.</w:t>
      </w:r>
      <w:r>
        <w:tab/>
        <w:t>Данные представляют собой индекс, основанный на эквивалентных сутках в первую неделю февраля 2020 года, для легковых автомобилей (ЛА), легких грузовых автомобилей (ЛГА) и большегрузных транспортных средств (БГТС). Данные не корректируются с учетом сезонности, поэтому официальные выходные дни четко соответствуют провалам на графиках. Как следует из графиков, в течение всего периода изоляции движение легковых автомобилей неизменно было менее интенсивным, чем движение грузового транспорта. Такие тенденции дорожного движения прослеживаются также в данных по другим странам. Например, индекс пробега грузовых автомобилей по платным дорогам в Германии на своем минимальном уровне (30 апреля 2020 года) опустился на 15,6</w:t>
      </w:r>
      <w:r w:rsidR="00AD2B69">
        <w:t> </w:t>
      </w:r>
      <w:r>
        <w:t>% ниже базового уровня, в то время как индекс, измеряющий общую наземную мобильность, опустился до отметки 59</w:t>
      </w:r>
      <w:r w:rsidR="00AD2B69">
        <w:t> </w:t>
      </w:r>
      <w:r>
        <w:t>% ниже базового уровня. Аналогичным образом, в Соединенных Штатах Америки индекс ежедневного пробега пассажирских транспортных средств 12 апреля 2020 года</w:t>
      </w:r>
      <w:r w:rsidRPr="00497927">
        <w:t xml:space="preserve"> </w:t>
      </w:r>
      <w:r>
        <w:t>достиг отметки 60</w:t>
      </w:r>
      <w:r w:rsidR="00AD2B69">
        <w:t> </w:t>
      </w:r>
      <w:r>
        <w:t>% ниже базового уровня.</w:t>
      </w:r>
    </w:p>
    <w:p w14:paraId="207C8C3E" w14:textId="77777777" w:rsidR="006264EE" w:rsidRPr="00B057EE" w:rsidRDefault="006264EE" w:rsidP="006264EE">
      <w:pPr>
        <w:pStyle w:val="SingleTxtG"/>
      </w:pPr>
      <w:r>
        <w:t>6.</w:t>
      </w:r>
      <w:r>
        <w:tab/>
        <w:t xml:space="preserve">В связи с рекордным снижением интенсивности дорожного движения во многих странах возник большой интерес к тому, как это повлияло на дорожно-транспортные происшествия. Секретариат обнаружил соответствующие ежемесячные данные по двадцати государствам </w:t>
      </w:r>
      <w:r w:rsidR="00AD2B69">
        <w:t>—</w:t>
      </w:r>
      <w:r>
        <w:t xml:space="preserve"> членам ЕЭК, а также данные по некоторым административно-территориальным образованиям, таким как город Нью-Йорк, Большой Лондон и Северная Ирландия. Воздействие на количество дорожно-транспортных происшествий значительно варьируется в зависимости от страны: в одних странах отмечается рекордное сокращение числа погибших, в то время как в других наблюдаются незначительные изменения по сравнению с базовым уровнем или даже небольшое увеличение. Сопоставления во времени сопряжены с трудностями, поскольку предварительные данные, как правило, собираются на иной основе, нежели окончательные годовые показатели. Поэтому данные сравнивались только с предварительными месячными данными за предыдущие годы. </w:t>
      </w:r>
    </w:p>
    <w:p w14:paraId="651CE397" w14:textId="77777777" w:rsidR="006264EE" w:rsidRPr="00226F00" w:rsidRDefault="006264EE" w:rsidP="006264EE">
      <w:pPr>
        <w:pStyle w:val="SingleTxtG"/>
        <w:keepNext/>
        <w:keepLines/>
        <w:spacing w:after="0"/>
      </w:pPr>
      <w:r w:rsidRPr="00226F00">
        <w:lastRenderedPageBreak/>
        <w:t>Рис. II</w:t>
      </w:r>
    </w:p>
    <w:p w14:paraId="2053F31F" w14:textId="77777777" w:rsidR="00572336" w:rsidRDefault="006264EE" w:rsidP="00572336">
      <w:pPr>
        <w:pStyle w:val="SingleTxtG"/>
        <w:keepNext/>
        <w:keepLines/>
        <w:spacing w:after="240"/>
        <w:jc w:val="left"/>
        <w:rPr>
          <w:noProof/>
        </w:rPr>
      </w:pPr>
      <w:r>
        <w:rPr>
          <w:b/>
          <w:bCs/>
        </w:rPr>
        <w:t>Сокращение числа погибших в ДТП, апрель</w:t>
      </w:r>
      <w:r w:rsidR="00AD2B69">
        <w:rPr>
          <w:b/>
          <w:bCs/>
        </w:rPr>
        <w:t>–</w:t>
      </w:r>
      <w:r>
        <w:rPr>
          <w:b/>
          <w:bCs/>
        </w:rPr>
        <w:t>июнь 2020 года по сравнению с</w:t>
      </w:r>
      <w:r w:rsidR="00AD2B69">
        <w:rPr>
          <w:b/>
          <w:bCs/>
        </w:rPr>
        <w:t> </w:t>
      </w:r>
      <w:r>
        <w:rPr>
          <w:b/>
          <w:bCs/>
        </w:rPr>
        <w:t>апрелем–июнем 2019 года (только те страны, по которым доступна информация)</w:t>
      </w:r>
      <w:r w:rsidR="00572336" w:rsidRPr="00572336">
        <w:rPr>
          <w:noProof/>
        </w:rPr>
        <w:t xml:space="preserve"> </w:t>
      </w:r>
    </w:p>
    <w:p w14:paraId="4FA2A8E1" w14:textId="77777777" w:rsidR="006264EE" w:rsidRPr="00B057EE" w:rsidRDefault="00572336" w:rsidP="00572336">
      <w:pPr>
        <w:pStyle w:val="SingleTxtG"/>
        <w:keepNext/>
        <w:keepLines/>
        <w:jc w:val="left"/>
      </w:pPr>
      <w:r>
        <w:rPr>
          <w:noProof/>
        </w:rPr>
        <w:drawing>
          <wp:inline distT="0" distB="0" distL="0" distR="0" wp14:anchorId="60B9880B" wp14:editId="48A4E8E2">
            <wp:extent cx="4608576" cy="2002221"/>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8576" cy="2002221"/>
                    </a:xfrm>
                    <a:prstGeom prst="rect">
                      <a:avLst/>
                    </a:prstGeom>
                    <a:noFill/>
                  </pic:spPr>
                </pic:pic>
              </a:graphicData>
            </a:graphic>
          </wp:inline>
        </w:drawing>
      </w:r>
    </w:p>
    <w:p w14:paraId="2E35978E" w14:textId="77777777" w:rsidR="006264EE" w:rsidRPr="00B057EE" w:rsidRDefault="006264EE" w:rsidP="00572336">
      <w:pPr>
        <w:pStyle w:val="SingleTxtG"/>
      </w:pPr>
      <w:r>
        <w:t>7.</w:t>
      </w:r>
      <w:r>
        <w:tab/>
        <w:t>Рисунок II показывает, как изменилось количество смертельных случаев, если сравнить показатели за апрель–июнь 2019 года с показателями за апрель–июнь 2020</w:t>
      </w:r>
      <w:r w:rsidR="00C001B0">
        <w:t> </w:t>
      </w:r>
      <w:r>
        <w:t>года по всем странам, по которым имеются месячные данные, при этом отрицательное число указывает на снижение. Пользователям настоятельно рекомендуется обращаться к сайтам стран, на которые даны ссылки на вики-странице, с тем чтобы понять ограниченный характер этих предварительных показателей</w:t>
      </w:r>
      <w:r w:rsidRPr="001518CC">
        <w:rPr>
          <w:rFonts w:eastAsiaTheme="minorEastAsia"/>
          <w:sz w:val="18"/>
          <w:vertAlign w:val="superscript"/>
          <w:lang w:eastAsia="zh-CN"/>
        </w:rPr>
        <w:footnoteReference w:id="2"/>
      </w:r>
      <w:r>
        <w:t>. На</w:t>
      </w:r>
      <w:r w:rsidR="00C001B0">
        <w:t> </w:t>
      </w:r>
      <w:r>
        <w:t>рисунке II показано, что во втором квартале 2020 года в большинстве стран наблюдалось сокращение числа смертельных случаев в результате дорожно-транспортных происшествий по сравнению с предыдущим годом, причем во многих странах этот показатель сократился более чем на 30</w:t>
      </w:r>
      <w:r w:rsidR="00C001B0">
        <w:t> </w:t>
      </w:r>
      <w:r>
        <w:t>%. Сокращение количества смертельных случаев, несомненно, является поводом для оптимизма, но его также следует рассматривать в контексте рекордного сокращения дорожного движения во многих странах, которое, как правило, было намного более значительным (о чем свидетельствуют приведенные выше данные по дорожному движению).</w:t>
      </w:r>
    </w:p>
    <w:p w14:paraId="5903F7EE" w14:textId="77777777" w:rsidR="006264EE" w:rsidRPr="00B057EE" w:rsidRDefault="006264EE" w:rsidP="006264EE">
      <w:pPr>
        <w:pStyle w:val="SingleTxtG"/>
      </w:pPr>
      <w:r>
        <w:t>8.</w:t>
      </w:r>
      <w:r>
        <w:tab/>
        <w:t>Приведенные выше примеры представляют собой лишь некоторые из многих интересных источников данных, которые были собраны секретариатом в вики-ресурсе благодаря инновационной работе государств-членов.</w:t>
      </w:r>
    </w:p>
    <w:p w14:paraId="084B3B08" w14:textId="77777777" w:rsidR="006264EE" w:rsidRPr="00B057EE" w:rsidRDefault="006264EE" w:rsidP="006264EE">
      <w:pPr>
        <w:pStyle w:val="HChG"/>
      </w:pPr>
      <w:r>
        <w:tab/>
        <w:t>III.</w:t>
      </w:r>
      <w:r>
        <w:tab/>
      </w:r>
      <w:r>
        <w:rPr>
          <w:bCs/>
        </w:rPr>
        <w:t>Оказание странам помощи в разработке методологии по</w:t>
      </w:r>
      <w:r w:rsidR="00C001B0">
        <w:rPr>
          <w:bCs/>
        </w:rPr>
        <w:t> </w:t>
      </w:r>
      <w:r>
        <w:rPr>
          <w:bCs/>
        </w:rPr>
        <w:t>новым показателям мобильности</w:t>
      </w:r>
    </w:p>
    <w:p w14:paraId="49246604" w14:textId="77777777" w:rsidR="006264EE" w:rsidRPr="00B057EE" w:rsidRDefault="006264EE" w:rsidP="006264EE">
      <w:pPr>
        <w:pStyle w:val="SingleTxtG"/>
      </w:pPr>
      <w:r>
        <w:t>9.</w:t>
      </w:r>
      <w:r>
        <w:tab/>
        <w:t xml:space="preserve">С появлением вышеупомянутых новых источников данных, в частности новых способов измерения мобильности с использованием данных мобильной телефонной связи и счетчиков движения, стало ясно, что существует много различных методов сбора данных, учета конфиденциальности и расчета значимых сопоставлений во времени, используемых в разных странах. Поэтому секретариат в сотрудничестве с Международным транспортным форумом создал сеть заинтересованных национальных статистиков и пользователей данных для обсуждения этих вопросов и обмена передовым опытом между странами в целях расширения знаний и, возможно, продвижения в направлении выработки методологических рекомендаций в будущем. В октябре эта группа провела свою первую виртуальную встречу, на которой присутствовали представители </w:t>
      </w:r>
      <w:r w:rsidR="00C001B0">
        <w:t>14</w:t>
      </w:r>
      <w:r>
        <w:t xml:space="preserve"> государств-членов, а также других международных организаций. </w:t>
      </w:r>
    </w:p>
    <w:p w14:paraId="146A8591" w14:textId="77777777" w:rsidR="006264EE" w:rsidRPr="00B057EE" w:rsidRDefault="006264EE" w:rsidP="006264EE">
      <w:pPr>
        <w:pStyle w:val="SingleTxtG"/>
      </w:pPr>
      <w:r>
        <w:t>10.</w:t>
      </w:r>
      <w:r>
        <w:tab/>
        <w:t xml:space="preserve">Эта инициатива будет продолжаться до тех пор, пока она будет полезной для государств-членов. Делегатам, у которых имеются интересные и насыщенные </w:t>
      </w:r>
      <w:r>
        <w:lastRenderedPageBreak/>
        <w:t>данными примеры новых способов отслеживания мобильности, которые они могли бы представить на одном из будущих совещаний, предлагается связаться с секретариатом.</w:t>
      </w:r>
    </w:p>
    <w:p w14:paraId="5592C48C" w14:textId="77777777" w:rsidR="006264EE" w:rsidRPr="00B057EE" w:rsidRDefault="006264EE" w:rsidP="006264EE">
      <w:pPr>
        <w:pStyle w:val="HChG"/>
      </w:pPr>
      <w:r>
        <w:tab/>
        <w:t xml:space="preserve">IV. </w:t>
      </w:r>
      <w:r>
        <w:tab/>
      </w:r>
      <w:proofErr w:type="spellStart"/>
      <w:r>
        <w:rPr>
          <w:bCs/>
        </w:rPr>
        <w:t>Инфокарты</w:t>
      </w:r>
      <w:proofErr w:type="spellEnd"/>
      <w:r>
        <w:rPr>
          <w:bCs/>
        </w:rPr>
        <w:t xml:space="preserve"> транспортной статистики</w:t>
      </w:r>
    </w:p>
    <w:p w14:paraId="7A8B0386" w14:textId="77777777" w:rsidR="006264EE" w:rsidRPr="00B057EE" w:rsidRDefault="006264EE" w:rsidP="006264EE">
      <w:pPr>
        <w:pStyle w:val="SingleTxtG"/>
      </w:pPr>
      <w:r>
        <w:t>11.</w:t>
      </w:r>
      <w:r>
        <w:tab/>
        <w:t>Секретариат продолжает также свою основную работу по подготовке ежегодной официальной статистики. Для облегчения доступности этой информации секретариат подготовил обновленный комплект страновых подборок статистических данных о транспорте (</w:t>
      </w:r>
      <w:proofErr w:type="spellStart"/>
      <w:r>
        <w:t>инфокарты</w:t>
      </w:r>
      <w:proofErr w:type="spellEnd"/>
      <w:r>
        <w:t xml:space="preserve">). В этих </w:t>
      </w:r>
      <w:proofErr w:type="spellStart"/>
      <w:r>
        <w:t>инфокартах</w:t>
      </w:r>
      <w:proofErr w:type="spellEnd"/>
      <w:r>
        <w:t xml:space="preserve"> представлены основные транспортные показатели, включая объемы пассажирских и грузовых перевозок, распределение перевозок по видам транспорта и данные по безопасности дорожного движения в государствах </w:t>
      </w:r>
      <w:r w:rsidR="00C001B0">
        <w:t>—</w:t>
      </w:r>
      <w:r>
        <w:t xml:space="preserve"> членах ЕЭК. </w:t>
      </w:r>
      <w:proofErr w:type="spellStart"/>
      <w:r>
        <w:t>Инфокарты</w:t>
      </w:r>
      <w:proofErr w:type="spellEnd"/>
      <w:r>
        <w:t xml:space="preserve"> могут быть загружены с веб-сайта ЕЭК (</w:t>
      </w:r>
      <w:hyperlink r:id="rId10" w:history="1">
        <w:r w:rsidR="00C001B0" w:rsidRPr="00C001B0">
          <w:rPr>
            <w:rStyle w:val="af1"/>
            <w:color w:val="auto"/>
          </w:rPr>
          <w:t>www.unece.org/trans/main/wp6/infocards.html</w:t>
        </w:r>
      </w:hyperlink>
      <w:r w:rsidRPr="00C001B0">
        <w:t>)</w:t>
      </w:r>
      <w:r>
        <w:t xml:space="preserve"> в полном комплекте или в виде отдельных файлов по странам, и с ними можно ознакомиться в неофициальном документе № 8. Данные, содержащиеся в </w:t>
      </w:r>
      <w:proofErr w:type="spellStart"/>
      <w:r>
        <w:t>инфокартах</w:t>
      </w:r>
      <w:proofErr w:type="spellEnd"/>
      <w:r>
        <w:t>, основаны на информации из базы данных о статистике транспорта ЕЭК, доступной в режиме онлайн (w3.unece.org/</w:t>
      </w:r>
      <w:proofErr w:type="spellStart"/>
      <w:r>
        <w:t>PXWeb</w:t>
      </w:r>
      <w:proofErr w:type="spellEnd"/>
      <w:r>
        <w:t>/</w:t>
      </w:r>
      <w:proofErr w:type="spellStart"/>
      <w:r>
        <w:t>en</w:t>
      </w:r>
      <w:proofErr w:type="spellEnd"/>
      <w:r>
        <w:t>).</w:t>
      </w:r>
    </w:p>
    <w:p w14:paraId="4213359F" w14:textId="77777777" w:rsidR="006264EE" w:rsidRPr="00B057EE" w:rsidRDefault="006264EE" w:rsidP="006264EE">
      <w:pPr>
        <w:spacing w:before="240"/>
        <w:jc w:val="center"/>
        <w:rPr>
          <w:u w:val="single"/>
        </w:rPr>
      </w:pPr>
      <w:r w:rsidRPr="00B057EE">
        <w:rPr>
          <w:u w:val="single"/>
        </w:rPr>
        <w:tab/>
      </w:r>
      <w:r w:rsidRPr="00B057EE">
        <w:rPr>
          <w:u w:val="single"/>
        </w:rPr>
        <w:tab/>
      </w:r>
      <w:r w:rsidRPr="00B057EE">
        <w:rPr>
          <w:u w:val="single"/>
        </w:rPr>
        <w:tab/>
      </w:r>
    </w:p>
    <w:p w14:paraId="75FCFE08" w14:textId="77777777" w:rsidR="00E12C5F" w:rsidRPr="008D53B6" w:rsidRDefault="00E12C5F" w:rsidP="00D9145B"/>
    <w:sectPr w:rsidR="00E12C5F" w:rsidRPr="008D53B6" w:rsidSect="006264EE">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83D7" w14:textId="77777777" w:rsidR="007D04F4" w:rsidRPr="00A312BC" w:rsidRDefault="007D04F4" w:rsidP="00A312BC"/>
  </w:endnote>
  <w:endnote w:type="continuationSeparator" w:id="0">
    <w:p w14:paraId="1A10821D" w14:textId="77777777" w:rsidR="007D04F4" w:rsidRPr="00A312BC" w:rsidRDefault="007D04F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12F3" w14:textId="77777777" w:rsidR="006264EE" w:rsidRPr="006264EE" w:rsidRDefault="006264EE">
    <w:pPr>
      <w:pStyle w:val="a8"/>
    </w:pPr>
    <w:r w:rsidRPr="006264EE">
      <w:rPr>
        <w:b/>
        <w:sz w:val="18"/>
      </w:rPr>
      <w:fldChar w:fldCharType="begin"/>
    </w:r>
    <w:r w:rsidRPr="006264EE">
      <w:rPr>
        <w:b/>
        <w:sz w:val="18"/>
      </w:rPr>
      <w:instrText xml:space="preserve"> PAGE  \* MERGEFORMAT </w:instrText>
    </w:r>
    <w:r w:rsidRPr="006264EE">
      <w:rPr>
        <w:b/>
        <w:sz w:val="18"/>
      </w:rPr>
      <w:fldChar w:fldCharType="separate"/>
    </w:r>
    <w:r w:rsidRPr="006264EE">
      <w:rPr>
        <w:b/>
        <w:noProof/>
        <w:sz w:val="18"/>
      </w:rPr>
      <w:t>2</w:t>
    </w:r>
    <w:r w:rsidRPr="006264EE">
      <w:rPr>
        <w:b/>
        <w:sz w:val="18"/>
      </w:rPr>
      <w:fldChar w:fldCharType="end"/>
    </w:r>
    <w:r>
      <w:rPr>
        <w:b/>
        <w:sz w:val="18"/>
      </w:rPr>
      <w:tab/>
    </w:r>
    <w:r>
      <w:t>GE.20-16828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8E34" w14:textId="77777777" w:rsidR="006264EE" w:rsidRPr="006264EE" w:rsidRDefault="006264EE" w:rsidP="006264EE">
    <w:pPr>
      <w:pStyle w:val="a8"/>
      <w:tabs>
        <w:tab w:val="clear" w:pos="9639"/>
        <w:tab w:val="right" w:pos="9638"/>
      </w:tabs>
      <w:rPr>
        <w:b/>
        <w:sz w:val="18"/>
      </w:rPr>
    </w:pPr>
    <w:r>
      <w:t>GE.20-16828</w:t>
    </w:r>
    <w:r>
      <w:tab/>
    </w:r>
    <w:r w:rsidRPr="006264EE">
      <w:rPr>
        <w:b/>
        <w:sz w:val="18"/>
      </w:rPr>
      <w:fldChar w:fldCharType="begin"/>
    </w:r>
    <w:r w:rsidRPr="006264EE">
      <w:rPr>
        <w:b/>
        <w:sz w:val="18"/>
      </w:rPr>
      <w:instrText xml:space="preserve"> PAGE  \* MERGEFORMAT </w:instrText>
    </w:r>
    <w:r w:rsidRPr="006264EE">
      <w:rPr>
        <w:b/>
        <w:sz w:val="18"/>
      </w:rPr>
      <w:fldChar w:fldCharType="separate"/>
    </w:r>
    <w:r w:rsidRPr="006264EE">
      <w:rPr>
        <w:b/>
        <w:noProof/>
        <w:sz w:val="18"/>
      </w:rPr>
      <w:t>3</w:t>
    </w:r>
    <w:r w:rsidRPr="006264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3639" w14:textId="77777777" w:rsidR="00042B72" w:rsidRPr="006264EE" w:rsidRDefault="006264EE" w:rsidP="006264E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52C35FA" wp14:editId="7C1F96F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20-16828  (R)</w:t>
    </w:r>
    <w:r>
      <w:rPr>
        <w:noProof/>
      </w:rPr>
      <w:drawing>
        <wp:anchor distT="0" distB="0" distL="114300" distR="114300" simplePos="0" relativeHeight="251659264" behindDoc="0" locked="0" layoutInCell="1" allowOverlap="1" wp14:anchorId="3EAD9697" wp14:editId="2476EC2F">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171220  171220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967CB" w14:textId="77777777" w:rsidR="007D04F4" w:rsidRPr="001075E9" w:rsidRDefault="007D04F4" w:rsidP="001075E9">
      <w:pPr>
        <w:tabs>
          <w:tab w:val="right" w:pos="2155"/>
        </w:tabs>
        <w:spacing w:after="80" w:line="240" w:lineRule="auto"/>
        <w:ind w:left="680"/>
        <w:rPr>
          <w:u w:val="single"/>
        </w:rPr>
      </w:pPr>
      <w:r>
        <w:rPr>
          <w:u w:val="single"/>
        </w:rPr>
        <w:tab/>
      </w:r>
    </w:p>
  </w:footnote>
  <w:footnote w:type="continuationSeparator" w:id="0">
    <w:p w14:paraId="767ACD3B" w14:textId="77777777" w:rsidR="007D04F4" w:rsidRDefault="007D04F4" w:rsidP="00407B78">
      <w:pPr>
        <w:tabs>
          <w:tab w:val="right" w:pos="2155"/>
        </w:tabs>
        <w:spacing w:after="80"/>
        <w:ind w:left="680"/>
        <w:rPr>
          <w:u w:val="single"/>
        </w:rPr>
      </w:pPr>
      <w:r>
        <w:rPr>
          <w:u w:val="single"/>
        </w:rPr>
        <w:tab/>
      </w:r>
    </w:p>
  </w:footnote>
  <w:footnote w:id="1">
    <w:p w14:paraId="014F8BF0" w14:textId="77777777" w:rsidR="006264EE" w:rsidRPr="00B057EE" w:rsidRDefault="006264EE" w:rsidP="006264EE">
      <w:pPr>
        <w:pStyle w:val="ad"/>
      </w:pPr>
      <w:r>
        <w:tab/>
      </w:r>
      <w:r>
        <w:rPr>
          <w:rStyle w:val="aa"/>
        </w:rPr>
        <w:footnoteRef/>
      </w:r>
      <w:r>
        <w:t xml:space="preserve"> </w:t>
      </w:r>
      <w:r>
        <w:tab/>
        <w:t xml:space="preserve">URL вики-страницы: </w:t>
      </w:r>
      <w:hyperlink r:id="rId1" w:history="1">
        <w:r w:rsidR="00B75622" w:rsidRPr="00E42FDA">
          <w:rPr>
            <w:color w:val="0000FF"/>
            <w:u w:val="single"/>
          </w:rPr>
          <w:t>https://wiki.unece.org/display/DSOCIOT/Data+Sources+on+Coronavirus+impact+on+transport</w:t>
        </w:r>
      </w:hyperlink>
      <w:r>
        <w:t>.</w:t>
      </w:r>
    </w:p>
  </w:footnote>
  <w:footnote w:id="2">
    <w:p w14:paraId="63B826E4" w14:textId="77777777" w:rsidR="006264EE" w:rsidRPr="00B057EE" w:rsidRDefault="006264EE" w:rsidP="006264EE">
      <w:pPr>
        <w:pStyle w:val="ad"/>
      </w:pPr>
      <w:r>
        <w:tab/>
      </w:r>
      <w:r>
        <w:rPr>
          <w:rStyle w:val="aa"/>
        </w:rPr>
        <w:footnoteRef/>
      </w:r>
      <w:r>
        <w:t xml:space="preserve"> </w:t>
      </w:r>
      <w:r>
        <w:tab/>
        <w:t xml:space="preserve">URL, где доступна краткая информация об этих ограничениях: </w:t>
      </w:r>
      <w:hyperlink r:id="rId2" w:history="1">
        <w:r w:rsidR="00B75622" w:rsidRPr="00504B89">
          <w:rPr>
            <w:color w:val="0000FF"/>
            <w:szCs w:val="18"/>
            <w:u w:val="single"/>
          </w:rPr>
          <w:t>https://wiki.unece.org/display/DSOCIOT/Collated+Provisional+Road+Safety+Data</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A13B" w14:textId="3E87D84F" w:rsidR="006264EE" w:rsidRPr="006264EE" w:rsidRDefault="00FD1132">
    <w:pPr>
      <w:pStyle w:val="a5"/>
    </w:pPr>
    <w:fldSimple w:instr=" TITLE  \* MERGEFORMAT ">
      <w:r w:rsidR="003D4AB9">
        <w:t>ECE/TRANS/2021/23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EF51" w14:textId="26715DCB" w:rsidR="006264EE" w:rsidRPr="006264EE" w:rsidRDefault="00FD1132" w:rsidP="006264EE">
    <w:pPr>
      <w:pStyle w:val="a5"/>
      <w:jc w:val="right"/>
    </w:pPr>
    <w:fldSimple w:instr=" TITLE  \* MERGEFORMAT ">
      <w:r w:rsidR="003D4AB9">
        <w:t>ECE/TRANS/2021/23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D3E6A"/>
    <w:multiLevelType w:val="hybridMultilevel"/>
    <w:tmpl w:val="75163D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F4"/>
    <w:rsid w:val="00033EE1"/>
    <w:rsid w:val="00042B72"/>
    <w:rsid w:val="000558BD"/>
    <w:rsid w:val="000B57E7"/>
    <w:rsid w:val="000B6373"/>
    <w:rsid w:val="000D55FD"/>
    <w:rsid w:val="000E4E5B"/>
    <w:rsid w:val="000F09DF"/>
    <w:rsid w:val="000F61B2"/>
    <w:rsid w:val="001075E9"/>
    <w:rsid w:val="00131C73"/>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7935"/>
    <w:rsid w:val="00381C24"/>
    <w:rsid w:val="00387CD4"/>
    <w:rsid w:val="003958D0"/>
    <w:rsid w:val="003A0D43"/>
    <w:rsid w:val="003A48CE"/>
    <w:rsid w:val="003B00E5"/>
    <w:rsid w:val="003D4AB9"/>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A64"/>
    <w:rsid w:val="00526DB8"/>
    <w:rsid w:val="005639C1"/>
    <w:rsid w:val="005709E0"/>
    <w:rsid w:val="00572336"/>
    <w:rsid w:val="00572E19"/>
    <w:rsid w:val="005961C8"/>
    <w:rsid w:val="005966F1"/>
    <w:rsid w:val="005D7914"/>
    <w:rsid w:val="005E2B41"/>
    <w:rsid w:val="005F0B42"/>
    <w:rsid w:val="00617A43"/>
    <w:rsid w:val="006264EE"/>
    <w:rsid w:val="006345DB"/>
    <w:rsid w:val="00640F49"/>
    <w:rsid w:val="00680D03"/>
    <w:rsid w:val="00681A10"/>
    <w:rsid w:val="006A1ED8"/>
    <w:rsid w:val="006C2031"/>
    <w:rsid w:val="006D461A"/>
    <w:rsid w:val="006F35EE"/>
    <w:rsid w:val="006F45B8"/>
    <w:rsid w:val="007021FF"/>
    <w:rsid w:val="00712895"/>
    <w:rsid w:val="007230AD"/>
    <w:rsid w:val="00734ACB"/>
    <w:rsid w:val="00757357"/>
    <w:rsid w:val="00792497"/>
    <w:rsid w:val="007D04F4"/>
    <w:rsid w:val="00806737"/>
    <w:rsid w:val="00825F8D"/>
    <w:rsid w:val="00834B71"/>
    <w:rsid w:val="0086445C"/>
    <w:rsid w:val="00894693"/>
    <w:rsid w:val="008A08D7"/>
    <w:rsid w:val="008A37C8"/>
    <w:rsid w:val="008B6909"/>
    <w:rsid w:val="008D53B6"/>
    <w:rsid w:val="008F7609"/>
    <w:rsid w:val="00906890"/>
    <w:rsid w:val="00911BE4"/>
    <w:rsid w:val="00951972"/>
    <w:rsid w:val="00953EA8"/>
    <w:rsid w:val="009608F3"/>
    <w:rsid w:val="009A24AC"/>
    <w:rsid w:val="009C59D7"/>
    <w:rsid w:val="009C6FE6"/>
    <w:rsid w:val="009D7E7D"/>
    <w:rsid w:val="00A14DA8"/>
    <w:rsid w:val="00A312BC"/>
    <w:rsid w:val="00A84021"/>
    <w:rsid w:val="00A84D35"/>
    <w:rsid w:val="00A917B3"/>
    <w:rsid w:val="00AB4B51"/>
    <w:rsid w:val="00AD2B69"/>
    <w:rsid w:val="00B10CC7"/>
    <w:rsid w:val="00B36DF7"/>
    <w:rsid w:val="00B539E7"/>
    <w:rsid w:val="00B62458"/>
    <w:rsid w:val="00B75622"/>
    <w:rsid w:val="00BC18B2"/>
    <w:rsid w:val="00BD33EE"/>
    <w:rsid w:val="00BE1CC7"/>
    <w:rsid w:val="00C001B0"/>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C2066"/>
    <w:rsid w:val="00ED0BDA"/>
    <w:rsid w:val="00EE142A"/>
    <w:rsid w:val="00EF1360"/>
    <w:rsid w:val="00EF3220"/>
    <w:rsid w:val="00F2523A"/>
    <w:rsid w:val="00F36C40"/>
    <w:rsid w:val="00F43903"/>
    <w:rsid w:val="00F94155"/>
    <w:rsid w:val="00F9783F"/>
    <w:rsid w:val="00FD113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14C905"/>
  <w15:docId w15:val="{DEEFDEE0-AF4A-4E46-88A8-A4AFB94A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6264EE"/>
    <w:rPr>
      <w:b/>
      <w:sz w:val="28"/>
      <w:lang w:val="ru-RU" w:eastAsia="ru-RU"/>
    </w:rPr>
  </w:style>
  <w:style w:type="character" w:customStyle="1" w:styleId="SingleTxtGChar">
    <w:name w:val="_ Single Txt_G Char"/>
    <w:link w:val="SingleTxtG"/>
    <w:rsid w:val="006264EE"/>
    <w:rPr>
      <w:lang w:val="ru-RU" w:eastAsia="en-US"/>
    </w:rPr>
  </w:style>
  <w:style w:type="character" w:styleId="af3">
    <w:name w:val="Unresolved Mention"/>
    <w:basedOn w:val="a0"/>
    <w:uiPriority w:val="99"/>
    <w:semiHidden/>
    <w:unhideWhenUsed/>
    <w:rsid w:val="00C00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ece.org/trans/main/wp6/infocards.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iki.unece.org/display/DSOCIOT/Collated+Provisional+Road+Safety+Data" TargetMode="External"/><Relationship Id="rId1" Type="http://schemas.openxmlformats.org/officeDocument/2006/relationships/hyperlink" Target="https://wiki.unece.org/display/DSOCIOT/Data+Sources+on+Coronavirus+impact+on+trans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blackburn\Downloads\COVID-19-transport-use-statistics%20(6).od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554831351621621E-2"/>
          <c:y val="5.170387779083431E-2"/>
          <c:w val="0.90461885613540893"/>
          <c:h val="0.85394413242410505"/>
        </c:manualLayout>
      </c:layout>
      <c:lineChart>
        <c:grouping val="standard"/>
        <c:varyColors val="0"/>
        <c:ser>
          <c:idx val="0"/>
          <c:order val="0"/>
          <c:tx>
            <c:strRef>
              <c:f>'Transport_use_(GB)'!$B$7</c:f>
              <c:strCache>
                <c:ptCount val="1"/>
                <c:pt idx="0">
                  <c:v>Cars</c:v>
                </c:pt>
              </c:strCache>
            </c:strRef>
          </c:tx>
          <c:spPr>
            <a:ln w="28575" cap="rnd">
              <a:solidFill>
                <a:schemeClr val="accent1"/>
              </a:solidFill>
              <a:round/>
            </a:ln>
            <a:effectLst/>
          </c:spPr>
          <c:marker>
            <c:symbol val="none"/>
          </c:marker>
          <c:cat>
            <c:numRef>
              <c:f>'Transport_use_(GB)'!$A$8:$A$212</c:f>
              <c:numCache>
                <c:formatCode>dd/mm/yyyy</c:formatCode>
                <c:ptCount val="205"/>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pt idx="61">
                  <c:v>43952</c:v>
                </c:pt>
                <c:pt idx="62">
                  <c:v>43953</c:v>
                </c:pt>
                <c:pt idx="63">
                  <c:v>43954</c:v>
                </c:pt>
                <c:pt idx="64">
                  <c:v>43955</c:v>
                </c:pt>
                <c:pt idx="65">
                  <c:v>43956</c:v>
                </c:pt>
                <c:pt idx="66">
                  <c:v>43957</c:v>
                </c:pt>
                <c:pt idx="67">
                  <c:v>43958</c:v>
                </c:pt>
                <c:pt idx="68">
                  <c:v>43959</c:v>
                </c:pt>
                <c:pt idx="69">
                  <c:v>43960</c:v>
                </c:pt>
                <c:pt idx="70">
                  <c:v>43961</c:v>
                </c:pt>
                <c:pt idx="71">
                  <c:v>43962</c:v>
                </c:pt>
                <c:pt idx="72">
                  <c:v>43963</c:v>
                </c:pt>
                <c:pt idx="73">
                  <c:v>43964</c:v>
                </c:pt>
                <c:pt idx="74">
                  <c:v>43965</c:v>
                </c:pt>
                <c:pt idx="75">
                  <c:v>43966</c:v>
                </c:pt>
                <c:pt idx="76">
                  <c:v>43967</c:v>
                </c:pt>
                <c:pt idx="77">
                  <c:v>43968</c:v>
                </c:pt>
                <c:pt idx="78">
                  <c:v>43969</c:v>
                </c:pt>
                <c:pt idx="79">
                  <c:v>43970</c:v>
                </c:pt>
                <c:pt idx="80">
                  <c:v>43971</c:v>
                </c:pt>
                <c:pt idx="81">
                  <c:v>43972</c:v>
                </c:pt>
                <c:pt idx="82">
                  <c:v>43973</c:v>
                </c:pt>
                <c:pt idx="83">
                  <c:v>43974</c:v>
                </c:pt>
                <c:pt idx="84">
                  <c:v>43975</c:v>
                </c:pt>
                <c:pt idx="85">
                  <c:v>43976</c:v>
                </c:pt>
                <c:pt idx="86">
                  <c:v>43977</c:v>
                </c:pt>
                <c:pt idx="87">
                  <c:v>43978</c:v>
                </c:pt>
                <c:pt idx="88">
                  <c:v>43979</c:v>
                </c:pt>
                <c:pt idx="89">
                  <c:v>43980</c:v>
                </c:pt>
                <c:pt idx="90">
                  <c:v>43981</c:v>
                </c:pt>
                <c:pt idx="91">
                  <c:v>43982</c:v>
                </c:pt>
                <c:pt idx="92">
                  <c:v>43983</c:v>
                </c:pt>
                <c:pt idx="93">
                  <c:v>43984</c:v>
                </c:pt>
                <c:pt idx="94">
                  <c:v>43985</c:v>
                </c:pt>
                <c:pt idx="95">
                  <c:v>43986</c:v>
                </c:pt>
                <c:pt idx="96">
                  <c:v>43987</c:v>
                </c:pt>
                <c:pt idx="97">
                  <c:v>43988</c:v>
                </c:pt>
                <c:pt idx="98">
                  <c:v>43989</c:v>
                </c:pt>
                <c:pt idx="99">
                  <c:v>43990</c:v>
                </c:pt>
                <c:pt idx="100">
                  <c:v>43991</c:v>
                </c:pt>
                <c:pt idx="101">
                  <c:v>43992</c:v>
                </c:pt>
                <c:pt idx="102">
                  <c:v>43993</c:v>
                </c:pt>
                <c:pt idx="103">
                  <c:v>43994</c:v>
                </c:pt>
                <c:pt idx="104">
                  <c:v>43995</c:v>
                </c:pt>
                <c:pt idx="105">
                  <c:v>43996</c:v>
                </c:pt>
                <c:pt idx="106">
                  <c:v>43997</c:v>
                </c:pt>
                <c:pt idx="107">
                  <c:v>43998</c:v>
                </c:pt>
                <c:pt idx="108">
                  <c:v>43999</c:v>
                </c:pt>
                <c:pt idx="109">
                  <c:v>44000</c:v>
                </c:pt>
                <c:pt idx="110">
                  <c:v>44001</c:v>
                </c:pt>
                <c:pt idx="111">
                  <c:v>44002</c:v>
                </c:pt>
                <c:pt idx="112">
                  <c:v>44003</c:v>
                </c:pt>
                <c:pt idx="113">
                  <c:v>44004</c:v>
                </c:pt>
                <c:pt idx="114">
                  <c:v>44005</c:v>
                </c:pt>
                <c:pt idx="115">
                  <c:v>44006</c:v>
                </c:pt>
                <c:pt idx="116">
                  <c:v>44007</c:v>
                </c:pt>
                <c:pt idx="117">
                  <c:v>44008</c:v>
                </c:pt>
                <c:pt idx="118">
                  <c:v>44009</c:v>
                </c:pt>
                <c:pt idx="119">
                  <c:v>44010</c:v>
                </c:pt>
                <c:pt idx="120">
                  <c:v>44011</c:v>
                </c:pt>
                <c:pt idx="121">
                  <c:v>44012</c:v>
                </c:pt>
                <c:pt idx="122">
                  <c:v>44013</c:v>
                </c:pt>
                <c:pt idx="123">
                  <c:v>44014</c:v>
                </c:pt>
                <c:pt idx="124">
                  <c:v>44015</c:v>
                </c:pt>
                <c:pt idx="125">
                  <c:v>44016</c:v>
                </c:pt>
                <c:pt idx="126">
                  <c:v>44017</c:v>
                </c:pt>
                <c:pt idx="127">
                  <c:v>44018</c:v>
                </c:pt>
                <c:pt idx="128">
                  <c:v>44019</c:v>
                </c:pt>
                <c:pt idx="129">
                  <c:v>44020</c:v>
                </c:pt>
                <c:pt idx="130">
                  <c:v>44021</c:v>
                </c:pt>
                <c:pt idx="131">
                  <c:v>44022</c:v>
                </c:pt>
                <c:pt idx="132">
                  <c:v>44023</c:v>
                </c:pt>
                <c:pt idx="133">
                  <c:v>44024</c:v>
                </c:pt>
                <c:pt idx="134">
                  <c:v>44025</c:v>
                </c:pt>
                <c:pt idx="135">
                  <c:v>44026</c:v>
                </c:pt>
                <c:pt idx="136">
                  <c:v>44027</c:v>
                </c:pt>
                <c:pt idx="137">
                  <c:v>44028</c:v>
                </c:pt>
                <c:pt idx="138">
                  <c:v>44029</c:v>
                </c:pt>
                <c:pt idx="139">
                  <c:v>44030</c:v>
                </c:pt>
                <c:pt idx="140">
                  <c:v>44031</c:v>
                </c:pt>
                <c:pt idx="141">
                  <c:v>44032</c:v>
                </c:pt>
                <c:pt idx="142">
                  <c:v>44033</c:v>
                </c:pt>
                <c:pt idx="143">
                  <c:v>44034</c:v>
                </c:pt>
                <c:pt idx="144">
                  <c:v>44035</c:v>
                </c:pt>
                <c:pt idx="145">
                  <c:v>44036</c:v>
                </c:pt>
                <c:pt idx="146">
                  <c:v>44037</c:v>
                </c:pt>
                <c:pt idx="147">
                  <c:v>44038</c:v>
                </c:pt>
                <c:pt idx="148">
                  <c:v>44039</c:v>
                </c:pt>
                <c:pt idx="149">
                  <c:v>44040</c:v>
                </c:pt>
                <c:pt idx="150">
                  <c:v>44041</c:v>
                </c:pt>
                <c:pt idx="151">
                  <c:v>44042</c:v>
                </c:pt>
                <c:pt idx="152">
                  <c:v>44043</c:v>
                </c:pt>
                <c:pt idx="153">
                  <c:v>44044</c:v>
                </c:pt>
                <c:pt idx="154">
                  <c:v>44045</c:v>
                </c:pt>
                <c:pt idx="155">
                  <c:v>44046</c:v>
                </c:pt>
                <c:pt idx="156">
                  <c:v>44047</c:v>
                </c:pt>
                <c:pt idx="157">
                  <c:v>44048</c:v>
                </c:pt>
                <c:pt idx="158">
                  <c:v>44049</c:v>
                </c:pt>
                <c:pt idx="159">
                  <c:v>44050</c:v>
                </c:pt>
                <c:pt idx="160">
                  <c:v>44051</c:v>
                </c:pt>
                <c:pt idx="161">
                  <c:v>44052</c:v>
                </c:pt>
                <c:pt idx="162">
                  <c:v>44053</c:v>
                </c:pt>
                <c:pt idx="163">
                  <c:v>44054</c:v>
                </c:pt>
                <c:pt idx="164">
                  <c:v>44055</c:v>
                </c:pt>
                <c:pt idx="165">
                  <c:v>44056</c:v>
                </c:pt>
                <c:pt idx="166">
                  <c:v>44057</c:v>
                </c:pt>
                <c:pt idx="167">
                  <c:v>44058</c:v>
                </c:pt>
                <c:pt idx="168">
                  <c:v>44059</c:v>
                </c:pt>
                <c:pt idx="169">
                  <c:v>44060</c:v>
                </c:pt>
                <c:pt idx="170">
                  <c:v>44061</c:v>
                </c:pt>
                <c:pt idx="171">
                  <c:v>44062</c:v>
                </c:pt>
                <c:pt idx="172">
                  <c:v>44063</c:v>
                </c:pt>
                <c:pt idx="173">
                  <c:v>44064</c:v>
                </c:pt>
                <c:pt idx="174">
                  <c:v>44065</c:v>
                </c:pt>
                <c:pt idx="175">
                  <c:v>44066</c:v>
                </c:pt>
                <c:pt idx="176">
                  <c:v>44067</c:v>
                </c:pt>
                <c:pt idx="177">
                  <c:v>44068</c:v>
                </c:pt>
                <c:pt idx="178">
                  <c:v>44069</c:v>
                </c:pt>
                <c:pt idx="179">
                  <c:v>44070</c:v>
                </c:pt>
                <c:pt idx="180">
                  <c:v>44071</c:v>
                </c:pt>
                <c:pt idx="181">
                  <c:v>44072</c:v>
                </c:pt>
                <c:pt idx="182">
                  <c:v>44073</c:v>
                </c:pt>
                <c:pt idx="183">
                  <c:v>44074</c:v>
                </c:pt>
                <c:pt idx="184">
                  <c:v>44075</c:v>
                </c:pt>
                <c:pt idx="185">
                  <c:v>44076</c:v>
                </c:pt>
                <c:pt idx="186">
                  <c:v>44077</c:v>
                </c:pt>
                <c:pt idx="187">
                  <c:v>44078</c:v>
                </c:pt>
                <c:pt idx="188">
                  <c:v>44079</c:v>
                </c:pt>
                <c:pt idx="189">
                  <c:v>44080</c:v>
                </c:pt>
                <c:pt idx="190">
                  <c:v>44081</c:v>
                </c:pt>
                <c:pt idx="191">
                  <c:v>44082</c:v>
                </c:pt>
                <c:pt idx="192">
                  <c:v>44083</c:v>
                </c:pt>
                <c:pt idx="193">
                  <c:v>44084</c:v>
                </c:pt>
                <c:pt idx="194">
                  <c:v>44085</c:v>
                </c:pt>
                <c:pt idx="195">
                  <c:v>44086</c:v>
                </c:pt>
                <c:pt idx="196">
                  <c:v>44087</c:v>
                </c:pt>
                <c:pt idx="197">
                  <c:v>44088</c:v>
                </c:pt>
                <c:pt idx="198">
                  <c:v>44089</c:v>
                </c:pt>
                <c:pt idx="199">
                  <c:v>44090</c:v>
                </c:pt>
                <c:pt idx="200">
                  <c:v>44091</c:v>
                </c:pt>
                <c:pt idx="201">
                  <c:v>44092</c:v>
                </c:pt>
                <c:pt idx="202">
                  <c:v>44093</c:v>
                </c:pt>
                <c:pt idx="203">
                  <c:v>44094</c:v>
                </c:pt>
                <c:pt idx="204">
                  <c:v>44095</c:v>
                </c:pt>
              </c:numCache>
            </c:numRef>
          </c:cat>
          <c:val>
            <c:numRef>
              <c:f>'Transport_use_(GB)'!$B$8:$B$212</c:f>
              <c:numCache>
                <c:formatCode>0%</c:formatCode>
                <c:ptCount val="205"/>
                <c:pt idx="0">
                  <c:v>1.03</c:v>
                </c:pt>
                <c:pt idx="1">
                  <c:v>1.02</c:v>
                </c:pt>
                <c:pt idx="2">
                  <c:v>1.01</c:v>
                </c:pt>
                <c:pt idx="3">
                  <c:v>1.01</c:v>
                </c:pt>
                <c:pt idx="4">
                  <c:v>1</c:v>
                </c:pt>
                <c:pt idx="5">
                  <c:v>1.02</c:v>
                </c:pt>
                <c:pt idx="6">
                  <c:v>1.01</c:v>
                </c:pt>
                <c:pt idx="7">
                  <c:v>1.05</c:v>
                </c:pt>
                <c:pt idx="8">
                  <c:v>1.01</c:v>
                </c:pt>
                <c:pt idx="9">
                  <c:v>0.99</c:v>
                </c:pt>
                <c:pt idx="10">
                  <c:v>0.99</c:v>
                </c:pt>
                <c:pt idx="11">
                  <c:v>0.98</c:v>
                </c:pt>
                <c:pt idx="12">
                  <c:v>0.98</c:v>
                </c:pt>
                <c:pt idx="13">
                  <c:v>0.93</c:v>
                </c:pt>
                <c:pt idx="14">
                  <c:v>0.94</c:v>
                </c:pt>
                <c:pt idx="15">
                  <c:v>0.96</c:v>
                </c:pt>
                <c:pt idx="16">
                  <c:v>0.86</c:v>
                </c:pt>
                <c:pt idx="17">
                  <c:v>0.8</c:v>
                </c:pt>
                <c:pt idx="18">
                  <c:v>0.79</c:v>
                </c:pt>
                <c:pt idx="19">
                  <c:v>0.78</c:v>
                </c:pt>
                <c:pt idx="20">
                  <c:v>0.7</c:v>
                </c:pt>
                <c:pt idx="21">
                  <c:v>0.66</c:v>
                </c:pt>
                <c:pt idx="22">
                  <c:v>0.64</c:v>
                </c:pt>
                <c:pt idx="23">
                  <c:v>0.44</c:v>
                </c:pt>
                <c:pt idx="24">
                  <c:v>0.37</c:v>
                </c:pt>
                <c:pt idx="25">
                  <c:v>0.35</c:v>
                </c:pt>
                <c:pt idx="26">
                  <c:v>0.35</c:v>
                </c:pt>
                <c:pt idx="27">
                  <c:v>0.27</c:v>
                </c:pt>
                <c:pt idx="28">
                  <c:v>0.23</c:v>
                </c:pt>
                <c:pt idx="29">
                  <c:v>0.33</c:v>
                </c:pt>
                <c:pt idx="30">
                  <c:v>0.32</c:v>
                </c:pt>
                <c:pt idx="31">
                  <c:v>0.32</c:v>
                </c:pt>
                <c:pt idx="32">
                  <c:v>0.32</c:v>
                </c:pt>
                <c:pt idx="33">
                  <c:v>0.34</c:v>
                </c:pt>
                <c:pt idx="34">
                  <c:v>0.28000000000000003</c:v>
                </c:pt>
                <c:pt idx="35">
                  <c:v>0.25</c:v>
                </c:pt>
                <c:pt idx="36">
                  <c:v>0.34</c:v>
                </c:pt>
                <c:pt idx="37">
                  <c:v>0.33</c:v>
                </c:pt>
                <c:pt idx="38">
                  <c:v>0.34</c:v>
                </c:pt>
                <c:pt idx="39">
                  <c:v>0.36</c:v>
                </c:pt>
                <c:pt idx="40">
                  <c:v>0.27</c:v>
                </c:pt>
                <c:pt idx="41">
                  <c:v>0.28999999999999998</c:v>
                </c:pt>
                <c:pt idx="42">
                  <c:v>0.22</c:v>
                </c:pt>
                <c:pt idx="43">
                  <c:v>0.23</c:v>
                </c:pt>
                <c:pt idx="44">
                  <c:v>0.35</c:v>
                </c:pt>
                <c:pt idx="45">
                  <c:v>0.34</c:v>
                </c:pt>
                <c:pt idx="46">
                  <c:v>0.34</c:v>
                </c:pt>
                <c:pt idx="47">
                  <c:v>0.35</c:v>
                </c:pt>
                <c:pt idx="48">
                  <c:v>0.31</c:v>
                </c:pt>
                <c:pt idx="49">
                  <c:v>0.28999999999999998</c:v>
                </c:pt>
                <c:pt idx="50">
                  <c:v>0.38</c:v>
                </c:pt>
                <c:pt idx="51">
                  <c:v>0.37</c:v>
                </c:pt>
                <c:pt idx="52">
                  <c:v>0.37</c:v>
                </c:pt>
                <c:pt idx="53">
                  <c:v>0.37</c:v>
                </c:pt>
                <c:pt idx="54">
                  <c:v>0.39</c:v>
                </c:pt>
                <c:pt idx="55">
                  <c:v>0.35</c:v>
                </c:pt>
                <c:pt idx="56">
                  <c:v>0.32</c:v>
                </c:pt>
                <c:pt idx="57">
                  <c:v>0.4</c:v>
                </c:pt>
                <c:pt idx="58">
                  <c:v>0.38</c:v>
                </c:pt>
                <c:pt idx="59">
                  <c:v>0.38</c:v>
                </c:pt>
                <c:pt idx="60">
                  <c:v>0.39</c:v>
                </c:pt>
                <c:pt idx="61">
                  <c:v>0.4</c:v>
                </c:pt>
                <c:pt idx="62">
                  <c:v>0.38</c:v>
                </c:pt>
                <c:pt idx="63">
                  <c:v>0.34</c:v>
                </c:pt>
                <c:pt idx="64">
                  <c:v>0.42</c:v>
                </c:pt>
                <c:pt idx="65">
                  <c:v>0.42</c:v>
                </c:pt>
                <c:pt idx="66">
                  <c:v>0.43</c:v>
                </c:pt>
                <c:pt idx="67">
                  <c:v>0.45</c:v>
                </c:pt>
                <c:pt idx="68">
                  <c:v>0.33</c:v>
                </c:pt>
                <c:pt idx="69">
                  <c:v>0.39</c:v>
                </c:pt>
                <c:pt idx="70">
                  <c:v>0.35</c:v>
                </c:pt>
                <c:pt idx="71">
                  <c:v>0.45</c:v>
                </c:pt>
                <c:pt idx="72">
                  <c:v>0.45</c:v>
                </c:pt>
                <c:pt idx="73">
                  <c:v>0.48</c:v>
                </c:pt>
                <c:pt idx="74">
                  <c:v>0.5</c:v>
                </c:pt>
                <c:pt idx="75">
                  <c:v>0.51</c:v>
                </c:pt>
                <c:pt idx="76">
                  <c:v>0.52</c:v>
                </c:pt>
                <c:pt idx="77">
                  <c:v>0.5</c:v>
                </c:pt>
                <c:pt idx="78">
                  <c:v>0.53</c:v>
                </c:pt>
                <c:pt idx="79">
                  <c:v>0.54</c:v>
                </c:pt>
                <c:pt idx="80">
                  <c:v>0.56000000000000005</c:v>
                </c:pt>
                <c:pt idx="81">
                  <c:v>0.54</c:v>
                </c:pt>
                <c:pt idx="82">
                  <c:v>0.56000000000000005</c:v>
                </c:pt>
                <c:pt idx="83">
                  <c:v>0.55000000000000004</c:v>
                </c:pt>
                <c:pt idx="84">
                  <c:v>0.55000000000000004</c:v>
                </c:pt>
                <c:pt idx="85">
                  <c:v>0.5</c:v>
                </c:pt>
                <c:pt idx="86">
                  <c:v>0.59</c:v>
                </c:pt>
                <c:pt idx="87">
                  <c:v>0.59</c:v>
                </c:pt>
                <c:pt idx="88">
                  <c:v>0.59</c:v>
                </c:pt>
                <c:pt idx="89">
                  <c:v>0.62</c:v>
                </c:pt>
                <c:pt idx="90">
                  <c:v>0.66</c:v>
                </c:pt>
                <c:pt idx="91">
                  <c:v>0.67</c:v>
                </c:pt>
                <c:pt idx="92">
                  <c:v>0.65</c:v>
                </c:pt>
                <c:pt idx="93">
                  <c:v>0.65</c:v>
                </c:pt>
                <c:pt idx="94">
                  <c:v>0.59</c:v>
                </c:pt>
                <c:pt idx="95">
                  <c:v>0.6</c:v>
                </c:pt>
                <c:pt idx="96">
                  <c:v>0.62</c:v>
                </c:pt>
                <c:pt idx="97">
                  <c:v>0.63</c:v>
                </c:pt>
                <c:pt idx="98">
                  <c:v>0.63</c:v>
                </c:pt>
                <c:pt idx="99">
                  <c:v>0.63</c:v>
                </c:pt>
                <c:pt idx="100">
                  <c:v>0.64</c:v>
                </c:pt>
                <c:pt idx="101">
                  <c:v>0.61</c:v>
                </c:pt>
                <c:pt idx="102">
                  <c:v>0.61</c:v>
                </c:pt>
                <c:pt idx="103">
                  <c:v>0.64</c:v>
                </c:pt>
                <c:pt idx="104">
                  <c:v>0.73</c:v>
                </c:pt>
                <c:pt idx="105">
                  <c:v>0.74</c:v>
                </c:pt>
                <c:pt idx="106">
                  <c:v>0.7</c:v>
                </c:pt>
                <c:pt idx="107">
                  <c:v>0.68</c:v>
                </c:pt>
                <c:pt idx="108">
                  <c:v>0.67</c:v>
                </c:pt>
                <c:pt idx="109">
                  <c:v>0.65</c:v>
                </c:pt>
                <c:pt idx="110">
                  <c:v>0.7</c:v>
                </c:pt>
                <c:pt idx="111">
                  <c:v>0.83</c:v>
                </c:pt>
                <c:pt idx="112">
                  <c:v>0.81</c:v>
                </c:pt>
                <c:pt idx="113">
                  <c:v>0.72</c:v>
                </c:pt>
                <c:pt idx="114">
                  <c:v>0.74</c:v>
                </c:pt>
                <c:pt idx="115">
                  <c:v>0.76</c:v>
                </c:pt>
                <c:pt idx="116">
                  <c:v>0.76</c:v>
                </c:pt>
                <c:pt idx="117">
                  <c:v>0.74</c:v>
                </c:pt>
                <c:pt idx="118">
                  <c:v>0.75</c:v>
                </c:pt>
                <c:pt idx="119">
                  <c:v>0.76</c:v>
                </c:pt>
                <c:pt idx="120">
                  <c:v>0.72</c:v>
                </c:pt>
                <c:pt idx="121">
                  <c:v>0.73</c:v>
                </c:pt>
                <c:pt idx="122">
                  <c:v>0.73</c:v>
                </c:pt>
                <c:pt idx="123">
                  <c:v>0.73</c:v>
                </c:pt>
                <c:pt idx="124">
                  <c:v>0.75</c:v>
                </c:pt>
                <c:pt idx="125">
                  <c:v>0.82</c:v>
                </c:pt>
                <c:pt idx="126">
                  <c:v>0.84</c:v>
                </c:pt>
                <c:pt idx="127">
                  <c:v>0.79</c:v>
                </c:pt>
                <c:pt idx="128">
                  <c:v>0.76</c:v>
                </c:pt>
                <c:pt idx="129">
                  <c:v>0.75</c:v>
                </c:pt>
                <c:pt idx="130">
                  <c:v>0.76</c:v>
                </c:pt>
                <c:pt idx="131">
                  <c:v>0.83</c:v>
                </c:pt>
                <c:pt idx="132">
                  <c:v>0.9</c:v>
                </c:pt>
                <c:pt idx="133">
                  <c:v>0.95</c:v>
                </c:pt>
                <c:pt idx="134">
                  <c:v>0.8</c:v>
                </c:pt>
                <c:pt idx="135">
                  <c:v>0.79</c:v>
                </c:pt>
                <c:pt idx="136">
                  <c:v>0.79</c:v>
                </c:pt>
                <c:pt idx="137">
                  <c:v>0.81</c:v>
                </c:pt>
                <c:pt idx="138">
                  <c:v>0.86</c:v>
                </c:pt>
                <c:pt idx="139">
                  <c:v>0.91</c:v>
                </c:pt>
                <c:pt idx="140">
                  <c:v>0.95</c:v>
                </c:pt>
                <c:pt idx="141">
                  <c:v>0.85</c:v>
                </c:pt>
                <c:pt idx="142">
                  <c:v>0.83</c:v>
                </c:pt>
                <c:pt idx="143">
                  <c:v>0.82</c:v>
                </c:pt>
                <c:pt idx="144">
                  <c:v>0.81</c:v>
                </c:pt>
                <c:pt idx="145">
                  <c:v>0.88</c:v>
                </c:pt>
                <c:pt idx="146">
                  <c:v>0.9</c:v>
                </c:pt>
                <c:pt idx="147">
                  <c:v>0.96</c:v>
                </c:pt>
                <c:pt idx="148">
                  <c:v>0.8</c:v>
                </c:pt>
                <c:pt idx="149">
                  <c:v>0.82</c:v>
                </c:pt>
                <c:pt idx="150">
                  <c:v>0.84</c:v>
                </c:pt>
                <c:pt idx="151">
                  <c:v>0.86</c:v>
                </c:pt>
                <c:pt idx="152">
                  <c:v>0.92</c:v>
                </c:pt>
                <c:pt idx="153">
                  <c:v>0.97</c:v>
                </c:pt>
                <c:pt idx="154">
                  <c:v>0.99</c:v>
                </c:pt>
                <c:pt idx="155">
                  <c:v>0.88</c:v>
                </c:pt>
                <c:pt idx="156">
                  <c:v>0.83</c:v>
                </c:pt>
                <c:pt idx="157">
                  <c:v>0.84</c:v>
                </c:pt>
                <c:pt idx="158">
                  <c:v>0.85</c:v>
                </c:pt>
                <c:pt idx="159">
                  <c:v>0.89</c:v>
                </c:pt>
                <c:pt idx="160">
                  <c:v>0.98</c:v>
                </c:pt>
                <c:pt idx="161">
                  <c:v>1.01</c:v>
                </c:pt>
                <c:pt idx="162">
                  <c:v>0.9</c:v>
                </c:pt>
                <c:pt idx="163">
                  <c:v>0.86</c:v>
                </c:pt>
                <c:pt idx="164">
                  <c:v>0.86</c:v>
                </c:pt>
                <c:pt idx="165">
                  <c:v>0.85</c:v>
                </c:pt>
                <c:pt idx="166">
                  <c:v>0.89</c:v>
                </c:pt>
                <c:pt idx="167">
                  <c:v>0.96</c:v>
                </c:pt>
                <c:pt idx="168">
                  <c:v>0.95</c:v>
                </c:pt>
                <c:pt idx="169">
                  <c:v>0.88</c:v>
                </c:pt>
                <c:pt idx="170">
                  <c:v>0.86</c:v>
                </c:pt>
                <c:pt idx="171">
                  <c:v>0.84</c:v>
                </c:pt>
                <c:pt idx="172">
                  <c:v>0.89</c:v>
                </c:pt>
                <c:pt idx="173">
                  <c:v>0.89</c:v>
                </c:pt>
                <c:pt idx="174">
                  <c:v>0.97</c:v>
                </c:pt>
                <c:pt idx="175">
                  <c:v>0.99</c:v>
                </c:pt>
                <c:pt idx="176">
                  <c:v>0.92</c:v>
                </c:pt>
                <c:pt idx="177">
                  <c:v>0.82</c:v>
                </c:pt>
                <c:pt idx="178">
                  <c:v>0.9</c:v>
                </c:pt>
                <c:pt idx="179">
                  <c:v>0.87</c:v>
                </c:pt>
                <c:pt idx="180">
                  <c:v>0.92</c:v>
                </c:pt>
                <c:pt idx="181">
                  <c:v>0.98</c:v>
                </c:pt>
                <c:pt idx="182">
                  <c:v>1.02</c:v>
                </c:pt>
                <c:pt idx="183">
                  <c:v>0.86</c:v>
                </c:pt>
                <c:pt idx="184">
                  <c:v>0.91</c:v>
                </c:pt>
                <c:pt idx="185">
                  <c:v>0.87</c:v>
                </c:pt>
                <c:pt idx="186">
                  <c:v>0.87</c:v>
                </c:pt>
                <c:pt idx="187">
                  <c:v>0.93</c:v>
                </c:pt>
                <c:pt idx="188">
                  <c:v>1</c:v>
                </c:pt>
                <c:pt idx="189">
                  <c:v>1.01</c:v>
                </c:pt>
                <c:pt idx="190">
                  <c:v>0.9</c:v>
                </c:pt>
                <c:pt idx="191">
                  <c:v>0.88</c:v>
                </c:pt>
                <c:pt idx="192">
                  <c:v>0.89</c:v>
                </c:pt>
                <c:pt idx="193">
                  <c:v>0.89</c:v>
                </c:pt>
                <c:pt idx="194">
                  <c:v>0.94</c:v>
                </c:pt>
                <c:pt idx="195">
                  <c:v>0.98</c:v>
                </c:pt>
                <c:pt idx="196">
                  <c:v>1.03</c:v>
                </c:pt>
                <c:pt idx="197">
                  <c:v>0.93</c:v>
                </c:pt>
                <c:pt idx="198">
                  <c:v>0.89</c:v>
                </c:pt>
                <c:pt idx="199">
                  <c:v>0.89</c:v>
                </c:pt>
                <c:pt idx="200">
                  <c:v>0.9</c:v>
                </c:pt>
                <c:pt idx="201">
                  <c:v>0.95</c:v>
                </c:pt>
                <c:pt idx="202">
                  <c:v>0.99</c:v>
                </c:pt>
                <c:pt idx="203">
                  <c:v>1.02</c:v>
                </c:pt>
                <c:pt idx="204">
                  <c:v>0.92</c:v>
                </c:pt>
              </c:numCache>
            </c:numRef>
          </c:val>
          <c:smooth val="0"/>
          <c:extLst>
            <c:ext xmlns:c16="http://schemas.microsoft.com/office/drawing/2014/chart" uri="{C3380CC4-5D6E-409C-BE32-E72D297353CC}">
              <c16:uniqueId val="{00000000-F073-4F75-8778-9E9A32726D30}"/>
            </c:ext>
          </c:extLst>
        </c:ser>
        <c:ser>
          <c:idx val="1"/>
          <c:order val="1"/>
          <c:tx>
            <c:strRef>
              <c:f>'Transport_use_(GB)'!$C$7</c:f>
              <c:strCache>
                <c:ptCount val="1"/>
                <c:pt idx="0">
                  <c:v>LGVs</c:v>
                </c:pt>
              </c:strCache>
            </c:strRef>
          </c:tx>
          <c:spPr>
            <a:ln w="28575" cap="rnd">
              <a:solidFill>
                <a:schemeClr val="accent2"/>
              </a:solidFill>
              <a:round/>
            </a:ln>
            <a:effectLst/>
          </c:spPr>
          <c:marker>
            <c:symbol val="none"/>
          </c:marker>
          <c:cat>
            <c:numRef>
              <c:f>'Transport_use_(GB)'!$A$8:$A$212</c:f>
              <c:numCache>
                <c:formatCode>dd/mm/yyyy</c:formatCode>
                <c:ptCount val="205"/>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pt idx="61">
                  <c:v>43952</c:v>
                </c:pt>
                <c:pt idx="62">
                  <c:v>43953</c:v>
                </c:pt>
                <c:pt idx="63">
                  <c:v>43954</c:v>
                </c:pt>
                <c:pt idx="64">
                  <c:v>43955</c:v>
                </c:pt>
                <c:pt idx="65">
                  <c:v>43956</c:v>
                </c:pt>
                <c:pt idx="66">
                  <c:v>43957</c:v>
                </c:pt>
                <c:pt idx="67">
                  <c:v>43958</c:v>
                </c:pt>
                <c:pt idx="68">
                  <c:v>43959</c:v>
                </c:pt>
                <c:pt idx="69">
                  <c:v>43960</c:v>
                </c:pt>
                <c:pt idx="70">
                  <c:v>43961</c:v>
                </c:pt>
                <c:pt idx="71">
                  <c:v>43962</c:v>
                </c:pt>
                <c:pt idx="72">
                  <c:v>43963</c:v>
                </c:pt>
                <c:pt idx="73">
                  <c:v>43964</c:v>
                </c:pt>
                <c:pt idx="74">
                  <c:v>43965</c:v>
                </c:pt>
                <c:pt idx="75">
                  <c:v>43966</c:v>
                </c:pt>
                <c:pt idx="76">
                  <c:v>43967</c:v>
                </c:pt>
                <c:pt idx="77">
                  <c:v>43968</c:v>
                </c:pt>
                <c:pt idx="78">
                  <c:v>43969</c:v>
                </c:pt>
                <c:pt idx="79">
                  <c:v>43970</c:v>
                </c:pt>
                <c:pt idx="80">
                  <c:v>43971</c:v>
                </c:pt>
                <c:pt idx="81">
                  <c:v>43972</c:v>
                </c:pt>
                <c:pt idx="82">
                  <c:v>43973</c:v>
                </c:pt>
                <c:pt idx="83">
                  <c:v>43974</c:v>
                </c:pt>
                <c:pt idx="84">
                  <c:v>43975</c:v>
                </c:pt>
                <c:pt idx="85">
                  <c:v>43976</c:v>
                </c:pt>
                <c:pt idx="86">
                  <c:v>43977</c:v>
                </c:pt>
                <c:pt idx="87">
                  <c:v>43978</c:v>
                </c:pt>
                <c:pt idx="88">
                  <c:v>43979</c:v>
                </c:pt>
                <c:pt idx="89">
                  <c:v>43980</c:v>
                </c:pt>
                <c:pt idx="90">
                  <c:v>43981</c:v>
                </c:pt>
                <c:pt idx="91">
                  <c:v>43982</c:v>
                </c:pt>
                <c:pt idx="92">
                  <c:v>43983</c:v>
                </c:pt>
                <c:pt idx="93">
                  <c:v>43984</c:v>
                </c:pt>
                <c:pt idx="94">
                  <c:v>43985</c:v>
                </c:pt>
                <c:pt idx="95">
                  <c:v>43986</c:v>
                </c:pt>
                <c:pt idx="96">
                  <c:v>43987</c:v>
                </c:pt>
                <c:pt idx="97">
                  <c:v>43988</c:v>
                </c:pt>
                <c:pt idx="98">
                  <c:v>43989</c:v>
                </c:pt>
                <c:pt idx="99">
                  <c:v>43990</c:v>
                </c:pt>
                <c:pt idx="100">
                  <c:v>43991</c:v>
                </c:pt>
                <c:pt idx="101">
                  <c:v>43992</c:v>
                </c:pt>
                <c:pt idx="102">
                  <c:v>43993</c:v>
                </c:pt>
                <c:pt idx="103">
                  <c:v>43994</c:v>
                </c:pt>
                <c:pt idx="104">
                  <c:v>43995</c:v>
                </c:pt>
                <c:pt idx="105">
                  <c:v>43996</c:v>
                </c:pt>
                <c:pt idx="106">
                  <c:v>43997</c:v>
                </c:pt>
                <c:pt idx="107">
                  <c:v>43998</c:v>
                </c:pt>
                <c:pt idx="108">
                  <c:v>43999</c:v>
                </c:pt>
                <c:pt idx="109">
                  <c:v>44000</c:v>
                </c:pt>
                <c:pt idx="110">
                  <c:v>44001</c:v>
                </c:pt>
                <c:pt idx="111">
                  <c:v>44002</c:v>
                </c:pt>
                <c:pt idx="112">
                  <c:v>44003</c:v>
                </c:pt>
                <c:pt idx="113">
                  <c:v>44004</c:v>
                </c:pt>
                <c:pt idx="114">
                  <c:v>44005</c:v>
                </c:pt>
                <c:pt idx="115">
                  <c:v>44006</c:v>
                </c:pt>
                <c:pt idx="116">
                  <c:v>44007</c:v>
                </c:pt>
                <c:pt idx="117">
                  <c:v>44008</c:v>
                </c:pt>
                <c:pt idx="118">
                  <c:v>44009</c:v>
                </c:pt>
                <c:pt idx="119">
                  <c:v>44010</c:v>
                </c:pt>
                <c:pt idx="120">
                  <c:v>44011</c:v>
                </c:pt>
                <c:pt idx="121">
                  <c:v>44012</c:v>
                </c:pt>
                <c:pt idx="122">
                  <c:v>44013</c:v>
                </c:pt>
                <c:pt idx="123">
                  <c:v>44014</c:v>
                </c:pt>
                <c:pt idx="124">
                  <c:v>44015</c:v>
                </c:pt>
                <c:pt idx="125">
                  <c:v>44016</c:v>
                </c:pt>
                <c:pt idx="126">
                  <c:v>44017</c:v>
                </c:pt>
                <c:pt idx="127">
                  <c:v>44018</c:v>
                </c:pt>
                <c:pt idx="128">
                  <c:v>44019</c:v>
                </c:pt>
                <c:pt idx="129">
                  <c:v>44020</c:v>
                </c:pt>
                <c:pt idx="130">
                  <c:v>44021</c:v>
                </c:pt>
                <c:pt idx="131">
                  <c:v>44022</c:v>
                </c:pt>
                <c:pt idx="132">
                  <c:v>44023</c:v>
                </c:pt>
                <c:pt idx="133">
                  <c:v>44024</c:v>
                </c:pt>
                <c:pt idx="134">
                  <c:v>44025</c:v>
                </c:pt>
                <c:pt idx="135">
                  <c:v>44026</c:v>
                </c:pt>
                <c:pt idx="136">
                  <c:v>44027</c:v>
                </c:pt>
                <c:pt idx="137">
                  <c:v>44028</c:v>
                </c:pt>
                <c:pt idx="138">
                  <c:v>44029</c:v>
                </c:pt>
                <c:pt idx="139">
                  <c:v>44030</c:v>
                </c:pt>
                <c:pt idx="140">
                  <c:v>44031</c:v>
                </c:pt>
                <c:pt idx="141">
                  <c:v>44032</c:v>
                </c:pt>
                <c:pt idx="142">
                  <c:v>44033</c:v>
                </c:pt>
                <c:pt idx="143">
                  <c:v>44034</c:v>
                </c:pt>
                <c:pt idx="144">
                  <c:v>44035</c:v>
                </c:pt>
                <c:pt idx="145">
                  <c:v>44036</c:v>
                </c:pt>
                <c:pt idx="146">
                  <c:v>44037</c:v>
                </c:pt>
                <c:pt idx="147">
                  <c:v>44038</c:v>
                </c:pt>
                <c:pt idx="148">
                  <c:v>44039</c:v>
                </c:pt>
                <c:pt idx="149">
                  <c:v>44040</c:v>
                </c:pt>
                <c:pt idx="150">
                  <c:v>44041</c:v>
                </c:pt>
                <c:pt idx="151">
                  <c:v>44042</c:v>
                </c:pt>
                <c:pt idx="152">
                  <c:v>44043</c:v>
                </c:pt>
                <c:pt idx="153">
                  <c:v>44044</c:v>
                </c:pt>
                <c:pt idx="154">
                  <c:v>44045</c:v>
                </c:pt>
                <c:pt idx="155">
                  <c:v>44046</c:v>
                </c:pt>
                <c:pt idx="156">
                  <c:v>44047</c:v>
                </c:pt>
                <c:pt idx="157">
                  <c:v>44048</c:v>
                </c:pt>
                <c:pt idx="158">
                  <c:v>44049</c:v>
                </c:pt>
                <c:pt idx="159">
                  <c:v>44050</c:v>
                </c:pt>
                <c:pt idx="160">
                  <c:v>44051</c:v>
                </c:pt>
                <c:pt idx="161">
                  <c:v>44052</c:v>
                </c:pt>
                <c:pt idx="162">
                  <c:v>44053</c:v>
                </c:pt>
                <c:pt idx="163">
                  <c:v>44054</c:v>
                </c:pt>
                <c:pt idx="164">
                  <c:v>44055</c:v>
                </c:pt>
                <c:pt idx="165">
                  <c:v>44056</c:v>
                </c:pt>
                <c:pt idx="166">
                  <c:v>44057</c:v>
                </c:pt>
                <c:pt idx="167">
                  <c:v>44058</c:v>
                </c:pt>
                <c:pt idx="168">
                  <c:v>44059</c:v>
                </c:pt>
                <c:pt idx="169">
                  <c:v>44060</c:v>
                </c:pt>
                <c:pt idx="170">
                  <c:v>44061</c:v>
                </c:pt>
                <c:pt idx="171">
                  <c:v>44062</c:v>
                </c:pt>
                <c:pt idx="172">
                  <c:v>44063</c:v>
                </c:pt>
                <c:pt idx="173">
                  <c:v>44064</c:v>
                </c:pt>
                <c:pt idx="174">
                  <c:v>44065</c:v>
                </c:pt>
                <c:pt idx="175">
                  <c:v>44066</c:v>
                </c:pt>
                <c:pt idx="176">
                  <c:v>44067</c:v>
                </c:pt>
                <c:pt idx="177">
                  <c:v>44068</c:v>
                </c:pt>
                <c:pt idx="178">
                  <c:v>44069</c:v>
                </c:pt>
                <c:pt idx="179">
                  <c:v>44070</c:v>
                </c:pt>
                <c:pt idx="180">
                  <c:v>44071</c:v>
                </c:pt>
                <c:pt idx="181">
                  <c:v>44072</c:v>
                </c:pt>
                <c:pt idx="182">
                  <c:v>44073</c:v>
                </c:pt>
                <c:pt idx="183">
                  <c:v>44074</c:v>
                </c:pt>
                <c:pt idx="184">
                  <c:v>44075</c:v>
                </c:pt>
                <c:pt idx="185">
                  <c:v>44076</c:v>
                </c:pt>
                <c:pt idx="186">
                  <c:v>44077</c:v>
                </c:pt>
                <c:pt idx="187">
                  <c:v>44078</c:v>
                </c:pt>
                <c:pt idx="188">
                  <c:v>44079</c:v>
                </c:pt>
                <c:pt idx="189">
                  <c:v>44080</c:v>
                </c:pt>
                <c:pt idx="190">
                  <c:v>44081</c:v>
                </c:pt>
                <c:pt idx="191">
                  <c:v>44082</c:v>
                </c:pt>
                <c:pt idx="192">
                  <c:v>44083</c:v>
                </c:pt>
                <c:pt idx="193">
                  <c:v>44084</c:v>
                </c:pt>
                <c:pt idx="194">
                  <c:v>44085</c:v>
                </c:pt>
                <c:pt idx="195">
                  <c:v>44086</c:v>
                </c:pt>
                <c:pt idx="196">
                  <c:v>44087</c:v>
                </c:pt>
                <c:pt idx="197">
                  <c:v>44088</c:v>
                </c:pt>
                <c:pt idx="198">
                  <c:v>44089</c:v>
                </c:pt>
                <c:pt idx="199">
                  <c:v>44090</c:v>
                </c:pt>
                <c:pt idx="200">
                  <c:v>44091</c:v>
                </c:pt>
                <c:pt idx="201">
                  <c:v>44092</c:v>
                </c:pt>
                <c:pt idx="202">
                  <c:v>44093</c:v>
                </c:pt>
                <c:pt idx="203">
                  <c:v>44094</c:v>
                </c:pt>
                <c:pt idx="204">
                  <c:v>44095</c:v>
                </c:pt>
              </c:numCache>
            </c:numRef>
          </c:cat>
          <c:val>
            <c:numRef>
              <c:f>'Transport_use_(GB)'!$C$8:$C$212</c:f>
              <c:numCache>
                <c:formatCode>0%</c:formatCode>
                <c:ptCount val="205"/>
                <c:pt idx="0">
                  <c:v>1.1100000000000001</c:v>
                </c:pt>
                <c:pt idx="1">
                  <c:v>1.06</c:v>
                </c:pt>
                <c:pt idx="2">
                  <c:v>1.05</c:v>
                </c:pt>
                <c:pt idx="3">
                  <c:v>1.04</c:v>
                </c:pt>
                <c:pt idx="4">
                  <c:v>1.03</c:v>
                </c:pt>
                <c:pt idx="5">
                  <c:v>1.03</c:v>
                </c:pt>
                <c:pt idx="6">
                  <c:v>1.0900000000000001</c:v>
                </c:pt>
                <c:pt idx="7">
                  <c:v>1.1299999999999999</c:v>
                </c:pt>
                <c:pt idx="8">
                  <c:v>1.07</c:v>
                </c:pt>
                <c:pt idx="9">
                  <c:v>1.05</c:v>
                </c:pt>
                <c:pt idx="10">
                  <c:v>1.04</c:v>
                </c:pt>
                <c:pt idx="11">
                  <c:v>1.02</c:v>
                </c:pt>
                <c:pt idx="12">
                  <c:v>1</c:v>
                </c:pt>
                <c:pt idx="13">
                  <c:v>1.02</c:v>
                </c:pt>
                <c:pt idx="14">
                  <c:v>1.05</c:v>
                </c:pt>
                <c:pt idx="15">
                  <c:v>1.03</c:v>
                </c:pt>
                <c:pt idx="16">
                  <c:v>0.95</c:v>
                </c:pt>
                <c:pt idx="17">
                  <c:v>0.9</c:v>
                </c:pt>
                <c:pt idx="18">
                  <c:v>0.88</c:v>
                </c:pt>
                <c:pt idx="19">
                  <c:v>0.85</c:v>
                </c:pt>
                <c:pt idx="20">
                  <c:v>0.79</c:v>
                </c:pt>
                <c:pt idx="21">
                  <c:v>0.73</c:v>
                </c:pt>
                <c:pt idx="22">
                  <c:v>0.77</c:v>
                </c:pt>
                <c:pt idx="23">
                  <c:v>0.56000000000000005</c:v>
                </c:pt>
                <c:pt idx="24">
                  <c:v>0.47</c:v>
                </c:pt>
                <c:pt idx="25">
                  <c:v>0.43</c:v>
                </c:pt>
                <c:pt idx="26">
                  <c:v>0.42</c:v>
                </c:pt>
                <c:pt idx="27">
                  <c:v>0.34</c:v>
                </c:pt>
                <c:pt idx="28">
                  <c:v>0.28999999999999998</c:v>
                </c:pt>
                <c:pt idx="29">
                  <c:v>0.41</c:v>
                </c:pt>
                <c:pt idx="30">
                  <c:v>0.4</c:v>
                </c:pt>
                <c:pt idx="31">
                  <c:v>0.39</c:v>
                </c:pt>
                <c:pt idx="32">
                  <c:v>0.38</c:v>
                </c:pt>
                <c:pt idx="33">
                  <c:v>0.4</c:v>
                </c:pt>
                <c:pt idx="34">
                  <c:v>0.35</c:v>
                </c:pt>
                <c:pt idx="35">
                  <c:v>0.31</c:v>
                </c:pt>
                <c:pt idx="36">
                  <c:v>0.42</c:v>
                </c:pt>
                <c:pt idx="37">
                  <c:v>0.41</c:v>
                </c:pt>
                <c:pt idx="38">
                  <c:v>0.42</c:v>
                </c:pt>
                <c:pt idx="39">
                  <c:v>0.43</c:v>
                </c:pt>
                <c:pt idx="40">
                  <c:v>0.27</c:v>
                </c:pt>
                <c:pt idx="41">
                  <c:v>0.35</c:v>
                </c:pt>
                <c:pt idx="42">
                  <c:v>0.27</c:v>
                </c:pt>
                <c:pt idx="43">
                  <c:v>0.22</c:v>
                </c:pt>
                <c:pt idx="44">
                  <c:v>0.44</c:v>
                </c:pt>
                <c:pt idx="45">
                  <c:v>0.44</c:v>
                </c:pt>
                <c:pt idx="46">
                  <c:v>0.42</c:v>
                </c:pt>
                <c:pt idx="47">
                  <c:v>0.43</c:v>
                </c:pt>
                <c:pt idx="48">
                  <c:v>0.38</c:v>
                </c:pt>
                <c:pt idx="49">
                  <c:v>0.36</c:v>
                </c:pt>
                <c:pt idx="50">
                  <c:v>0.48</c:v>
                </c:pt>
                <c:pt idx="51">
                  <c:v>0.47</c:v>
                </c:pt>
                <c:pt idx="52">
                  <c:v>0.47</c:v>
                </c:pt>
                <c:pt idx="53">
                  <c:v>0.46</c:v>
                </c:pt>
                <c:pt idx="54">
                  <c:v>0.46</c:v>
                </c:pt>
                <c:pt idx="55">
                  <c:v>0.43</c:v>
                </c:pt>
                <c:pt idx="56">
                  <c:v>0.4</c:v>
                </c:pt>
                <c:pt idx="57">
                  <c:v>0.51</c:v>
                </c:pt>
                <c:pt idx="58">
                  <c:v>0.49</c:v>
                </c:pt>
                <c:pt idx="59">
                  <c:v>0.49</c:v>
                </c:pt>
                <c:pt idx="60">
                  <c:v>0.48</c:v>
                </c:pt>
                <c:pt idx="61">
                  <c:v>0.5</c:v>
                </c:pt>
                <c:pt idx="62">
                  <c:v>0.47</c:v>
                </c:pt>
                <c:pt idx="63">
                  <c:v>0.42</c:v>
                </c:pt>
                <c:pt idx="64">
                  <c:v>0.55000000000000004</c:v>
                </c:pt>
                <c:pt idx="65">
                  <c:v>0.54</c:v>
                </c:pt>
                <c:pt idx="66">
                  <c:v>0.55000000000000004</c:v>
                </c:pt>
                <c:pt idx="67">
                  <c:v>0.56000000000000005</c:v>
                </c:pt>
                <c:pt idx="68">
                  <c:v>0.33</c:v>
                </c:pt>
                <c:pt idx="69">
                  <c:v>0.46</c:v>
                </c:pt>
                <c:pt idx="70">
                  <c:v>0.44</c:v>
                </c:pt>
                <c:pt idx="71">
                  <c:v>0.57999999999999996</c:v>
                </c:pt>
                <c:pt idx="72">
                  <c:v>0.59</c:v>
                </c:pt>
                <c:pt idx="73">
                  <c:v>0.61</c:v>
                </c:pt>
                <c:pt idx="74">
                  <c:v>0.6</c:v>
                </c:pt>
                <c:pt idx="75">
                  <c:v>0.61</c:v>
                </c:pt>
                <c:pt idx="76">
                  <c:v>0.64</c:v>
                </c:pt>
                <c:pt idx="77">
                  <c:v>0.63</c:v>
                </c:pt>
                <c:pt idx="78">
                  <c:v>0.67</c:v>
                </c:pt>
                <c:pt idx="79">
                  <c:v>0.67</c:v>
                </c:pt>
                <c:pt idx="80">
                  <c:v>0.67</c:v>
                </c:pt>
                <c:pt idx="81">
                  <c:v>0.66</c:v>
                </c:pt>
                <c:pt idx="82">
                  <c:v>0.67</c:v>
                </c:pt>
                <c:pt idx="83">
                  <c:v>0.68</c:v>
                </c:pt>
                <c:pt idx="84">
                  <c:v>0.67</c:v>
                </c:pt>
                <c:pt idx="85">
                  <c:v>0.46</c:v>
                </c:pt>
                <c:pt idx="86">
                  <c:v>0.73</c:v>
                </c:pt>
                <c:pt idx="87">
                  <c:v>0.72</c:v>
                </c:pt>
                <c:pt idx="88">
                  <c:v>0.71</c:v>
                </c:pt>
                <c:pt idx="89">
                  <c:v>0.72</c:v>
                </c:pt>
                <c:pt idx="90">
                  <c:v>0.77</c:v>
                </c:pt>
                <c:pt idx="91">
                  <c:v>0.79</c:v>
                </c:pt>
                <c:pt idx="92">
                  <c:v>0.78</c:v>
                </c:pt>
                <c:pt idx="93">
                  <c:v>0.78</c:v>
                </c:pt>
                <c:pt idx="94">
                  <c:v>0.74</c:v>
                </c:pt>
                <c:pt idx="95">
                  <c:v>0.73</c:v>
                </c:pt>
                <c:pt idx="96">
                  <c:v>0.74</c:v>
                </c:pt>
                <c:pt idx="97">
                  <c:v>0.76</c:v>
                </c:pt>
                <c:pt idx="98">
                  <c:v>0.76</c:v>
                </c:pt>
                <c:pt idx="99">
                  <c:v>0.78</c:v>
                </c:pt>
                <c:pt idx="100">
                  <c:v>0.79</c:v>
                </c:pt>
                <c:pt idx="101">
                  <c:v>0.77</c:v>
                </c:pt>
                <c:pt idx="102">
                  <c:v>0.75</c:v>
                </c:pt>
                <c:pt idx="103">
                  <c:v>0.76</c:v>
                </c:pt>
                <c:pt idx="104">
                  <c:v>0.85</c:v>
                </c:pt>
                <c:pt idx="105">
                  <c:v>0.86</c:v>
                </c:pt>
                <c:pt idx="106">
                  <c:v>0.84</c:v>
                </c:pt>
                <c:pt idx="107">
                  <c:v>0.82</c:v>
                </c:pt>
                <c:pt idx="108">
                  <c:v>0.81</c:v>
                </c:pt>
                <c:pt idx="109">
                  <c:v>0.79</c:v>
                </c:pt>
                <c:pt idx="110">
                  <c:v>0.82</c:v>
                </c:pt>
                <c:pt idx="111">
                  <c:v>0.93</c:v>
                </c:pt>
                <c:pt idx="112">
                  <c:v>0.9</c:v>
                </c:pt>
                <c:pt idx="113">
                  <c:v>0.87</c:v>
                </c:pt>
                <c:pt idx="114">
                  <c:v>0.87</c:v>
                </c:pt>
                <c:pt idx="115">
                  <c:v>0.88</c:v>
                </c:pt>
                <c:pt idx="116">
                  <c:v>0.86</c:v>
                </c:pt>
                <c:pt idx="117">
                  <c:v>0.85</c:v>
                </c:pt>
                <c:pt idx="118">
                  <c:v>0.88</c:v>
                </c:pt>
                <c:pt idx="119">
                  <c:v>0.9</c:v>
                </c:pt>
                <c:pt idx="120">
                  <c:v>0.88</c:v>
                </c:pt>
                <c:pt idx="121">
                  <c:v>0.88</c:v>
                </c:pt>
                <c:pt idx="122">
                  <c:v>0.88</c:v>
                </c:pt>
                <c:pt idx="123">
                  <c:v>0.86</c:v>
                </c:pt>
                <c:pt idx="124">
                  <c:v>0.87</c:v>
                </c:pt>
                <c:pt idx="125">
                  <c:v>0.95</c:v>
                </c:pt>
                <c:pt idx="126">
                  <c:v>0.98</c:v>
                </c:pt>
                <c:pt idx="127">
                  <c:v>0.93</c:v>
                </c:pt>
                <c:pt idx="128">
                  <c:v>0.91</c:v>
                </c:pt>
                <c:pt idx="129">
                  <c:v>0.89</c:v>
                </c:pt>
                <c:pt idx="130">
                  <c:v>0.89</c:v>
                </c:pt>
                <c:pt idx="131">
                  <c:v>0.93</c:v>
                </c:pt>
                <c:pt idx="132">
                  <c:v>1.01</c:v>
                </c:pt>
                <c:pt idx="133">
                  <c:v>1.08</c:v>
                </c:pt>
                <c:pt idx="134">
                  <c:v>0.94</c:v>
                </c:pt>
                <c:pt idx="135">
                  <c:v>0.93</c:v>
                </c:pt>
                <c:pt idx="136">
                  <c:v>0.93</c:v>
                </c:pt>
                <c:pt idx="137">
                  <c:v>0.92</c:v>
                </c:pt>
                <c:pt idx="138">
                  <c:v>0.94</c:v>
                </c:pt>
                <c:pt idx="139">
                  <c:v>1.03</c:v>
                </c:pt>
                <c:pt idx="140">
                  <c:v>1.0900000000000001</c:v>
                </c:pt>
                <c:pt idx="141">
                  <c:v>0.97</c:v>
                </c:pt>
                <c:pt idx="142">
                  <c:v>0.95</c:v>
                </c:pt>
                <c:pt idx="143">
                  <c:v>0.94</c:v>
                </c:pt>
                <c:pt idx="144">
                  <c:v>0.91</c:v>
                </c:pt>
                <c:pt idx="145">
                  <c:v>0.96</c:v>
                </c:pt>
                <c:pt idx="146">
                  <c:v>1.02</c:v>
                </c:pt>
                <c:pt idx="147">
                  <c:v>1.1100000000000001</c:v>
                </c:pt>
                <c:pt idx="148">
                  <c:v>0.93</c:v>
                </c:pt>
                <c:pt idx="149">
                  <c:v>0.95</c:v>
                </c:pt>
                <c:pt idx="150">
                  <c:v>0.94</c:v>
                </c:pt>
                <c:pt idx="151">
                  <c:v>0.94</c:v>
                </c:pt>
                <c:pt idx="152">
                  <c:v>0.97</c:v>
                </c:pt>
                <c:pt idx="153">
                  <c:v>1.07</c:v>
                </c:pt>
                <c:pt idx="154">
                  <c:v>1.1399999999999999</c:v>
                </c:pt>
                <c:pt idx="155">
                  <c:v>0.98</c:v>
                </c:pt>
                <c:pt idx="156">
                  <c:v>0.95</c:v>
                </c:pt>
                <c:pt idx="157">
                  <c:v>0.96</c:v>
                </c:pt>
                <c:pt idx="158">
                  <c:v>0.93</c:v>
                </c:pt>
                <c:pt idx="159">
                  <c:v>0.96</c:v>
                </c:pt>
                <c:pt idx="160">
                  <c:v>1.08</c:v>
                </c:pt>
                <c:pt idx="161">
                  <c:v>1.1499999999999999</c:v>
                </c:pt>
                <c:pt idx="162">
                  <c:v>1</c:v>
                </c:pt>
                <c:pt idx="163">
                  <c:v>0.97</c:v>
                </c:pt>
                <c:pt idx="164">
                  <c:v>0.97</c:v>
                </c:pt>
                <c:pt idx="165">
                  <c:v>0.94</c:v>
                </c:pt>
                <c:pt idx="166">
                  <c:v>0.97</c:v>
                </c:pt>
                <c:pt idx="167">
                  <c:v>1.07</c:v>
                </c:pt>
                <c:pt idx="168">
                  <c:v>1.1000000000000001</c:v>
                </c:pt>
                <c:pt idx="169">
                  <c:v>1</c:v>
                </c:pt>
                <c:pt idx="170">
                  <c:v>0.98</c:v>
                </c:pt>
                <c:pt idx="171">
                  <c:v>0.95</c:v>
                </c:pt>
                <c:pt idx="172">
                  <c:v>0.98</c:v>
                </c:pt>
                <c:pt idx="173">
                  <c:v>0.96</c:v>
                </c:pt>
                <c:pt idx="174">
                  <c:v>1.0900000000000001</c:v>
                </c:pt>
                <c:pt idx="175">
                  <c:v>1.1499999999999999</c:v>
                </c:pt>
                <c:pt idx="176">
                  <c:v>1.02</c:v>
                </c:pt>
                <c:pt idx="177">
                  <c:v>0.93</c:v>
                </c:pt>
                <c:pt idx="178">
                  <c:v>1</c:v>
                </c:pt>
                <c:pt idx="179">
                  <c:v>0.96</c:v>
                </c:pt>
                <c:pt idx="180">
                  <c:v>0.98</c:v>
                </c:pt>
                <c:pt idx="181">
                  <c:v>1.0900000000000001</c:v>
                </c:pt>
                <c:pt idx="182">
                  <c:v>1.1599999999999999</c:v>
                </c:pt>
                <c:pt idx="183">
                  <c:v>0.74</c:v>
                </c:pt>
                <c:pt idx="184">
                  <c:v>1.01</c:v>
                </c:pt>
                <c:pt idx="185">
                  <c:v>0.98</c:v>
                </c:pt>
                <c:pt idx="186">
                  <c:v>0.97</c:v>
                </c:pt>
                <c:pt idx="187">
                  <c:v>1.01</c:v>
                </c:pt>
                <c:pt idx="188">
                  <c:v>1.1299999999999999</c:v>
                </c:pt>
                <c:pt idx="189">
                  <c:v>1.17</c:v>
                </c:pt>
                <c:pt idx="190">
                  <c:v>1.03</c:v>
                </c:pt>
                <c:pt idx="191">
                  <c:v>1.01</c:v>
                </c:pt>
                <c:pt idx="192">
                  <c:v>1.02</c:v>
                </c:pt>
                <c:pt idx="193">
                  <c:v>1</c:v>
                </c:pt>
                <c:pt idx="194">
                  <c:v>1.03</c:v>
                </c:pt>
                <c:pt idx="195">
                  <c:v>1.1200000000000001</c:v>
                </c:pt>
                <c:pt idx="196">
                  <c:v>1.21</c:v>
                </c:pt>
                <c:pt idx="197">
                  <c:v>1.05</c:v>
                </c:pt>
                <c:pt idx="198">
                  <c:v>1.02</c:v>
                </c:pt>
                <c:pt idx="199">
                  <c:v>1.02</c:v>
                </c:pt>
                <c:pt idx="200">
                  <c:v>1</c:v>
                </c:pt>
                <c:pt idx="201">
                  <c:v>1.03</c:v>
                </c:pt>
                <c:pt idx="202">
                  <c:v>1.1399999999999999</c:v>
                </c:pt>
                <c:pt idx="203">
                  <c:v>1.21</c:v>
                </c:pt>
                <c:pt idx="204">
                  <c:v>1.05</c:v>
                </c:pt>
              </c:numCache>
            </c:numRef>
          </c:val>
          <c:smooth val="0"/>
          <c:extLst>
            <c:ext xmlns:c16="http://schemas.microsoft.com/office/drawing/2014/chart" uri="{C3380CC4-5D6E-409C-BE32-E72D297353CC}">
              <c16:uniqueId val="{00000001-F073-4F75-8778-9E9A32726D30}"/>
            </c:ext>
          </c:extLst>
        </c:ser>
        <c:ser>
          <c:idx val="2"/>
          <c:order val="2"/>
          <c:tx>
            <c:strRef>
              <c:f>'Transport_use_(GB)'!$D$7</c:f>
              <c:strCache>
                <c:ptCount val="1"/>
                <c:pt idx="0">
                  <c:v>HGVs</c:v>
                </c:pt>
              </c:strCache>
            </c:strRef>
          </c:tx>
          <c:spPr>
            <a:ln w="28575" cap="rnd">
              <a:solidFill>
                <a:schemeClr val="accent3"/>
              </a:solidFill>
              <a:round/>
            </a:ln>
            <a:effectLst/>
          </c:spPr>
          <c:marker>
            <c:symbol val="none"/>
          </c:marker>
          <c:cat>
            <c:numRef>
              <c:f>'Transport_use_(GB)'!$A$8:$A$212</c:f>
              <c:numCache>
                <c:formatCode>dd/mm/yyyy</c:formatCode>
                <c:ptCount val="205"/>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pt idx="61">
                  <c:v>43952</c:v>
                </c:pt>
                <c:pt idx="62">
                  <c:v>43953</c:v>
                </c:pt>
                <c:pt idx="63">
                  <c:v>43954</c:v>
                </c:pt>
                <c:pt idx="64">
                  <c:v>43955</c:v>
                </c:pt>
                <c:pt idx="65">
                  <c:v>43956</c:v>
                </c:pt>
                <c:pt idx="66">
                  <c:v>43957</c:v>
                </c:pt>
                <c:pt idx="67">
                  <c:v>43958</c:v>
                </c:pt>
                <c:pt idx="68">
                  <c:v>43959</c:v>
                </c:pt>
                <c:pt idx="69">
                  <c:v>43960</c:v>
                </c:pt>
                <c:pt idx="70">
                  <c:v>43961</c:v>
                </c:pt>
                <c:pt idx="71">
                  <c:v>43962</c:v>
                </c:pt>
                <c:pt idx="72">
                  <c:v>43963</c:v>
                </c:pt>
                <c:pt idx="73">
                  <c:v>43964</c:v>
                </c:pt>
                <c:pt idx="74">
                  <c:v>43965</c:v>
                </c:pt>
                <c:pt idx="75">
                  <c:v>43966</c:v>
                </c:pt>
                <c:pt idx="76">
                  <c:v>43967</c:v>
                </c:pt>
                <c:pt idx="77">
                  <c:v>43968</c:v>
                </c:pt>
                <c:pt idx="78">
                  <c:v>43969</c:v>
                </c:pt>
                <c:pt idx="79">
                  <c:v>43970</c:v>
                </c:pt>
                <c:pt idx="80">
                  <c:v>43971</c:v>
                </c:pt>
                <c:pt idx="81">
                  <c:v>43972</c:v>
                </c:pt>
                <c:pt idx="82">
                  <c:v>43973</c:v>
                </c:pt>
                <c:pt idx="83">
                  <c:v>43974</c:v>
                </c:pt>
                <c:pt idx="84">
                  <c:v>43975</c:v>
                </c:pt>
                <c:pt idx="85">
                  <c:v>43976</c:v>
                </c:pt>
                <c:pt idx="86">
                  <c:v>43977</c:v>
                </c:pt>
                <c:pt idx="87">
                  <c:v>43978</c:v>
                </c:pt>
                <c:pt idx="88">
                  <c:v>43979</c:v>
                </c:pt>
                <c:pt idx="89">
                  <c:v>43980</c:v>
                </c:pt>
                <c:pt idx="90">
                  <c:v>43981</c:v>
                </c:pt>
                <c:pt idx="91">
                  <c:v>43982</c:v>
                </c:pt>
                <c:pt idx="92">
                  <c:v>43983</c:v>
                </c:pt>
                <c:pt idx="93">
                  <c:v>43984</c:v>
                </c:pt>
                <c:pt idx="94">
                  <c:v>43985</c:v>
                </c:pt>
                <c:pt idx="95">
                  <c:v>43986</c:v>
                </c:pt>
                <c:pt idx="96">
                  <c:v>43987</c:v>
                </c:pt>
                <c:pt idx="97">
                  <c:v>43988</c:v>
                </c:pt>
                <c:pt idx="98">
                  <c:v>43989</c:v>
                </c:pt>
                <c:pt idx="99">
                  <c:v>43990</c:v>
                </c:pt>
                <c:pt idx="100">
                  <c:v>43991</c:v>
                </c:pt>
                <c:pt idx="101">
                  <c:v>43992</c:v>
                </c:pt>
                <c:pt idx="102">
                  <c:v>43993</c:v>
                </c:pt>
                <c:pt idx="103">
                  <c:v>43994</c:v>
                </c:pt>
                <c:pt idx="104">
                  <c:v>43995</c:v>
                </c:pt>
                <c:pt idx="105">
                  <c:v>43996</c:v>
                </c:pt>
                <c:pt idx="106">
                  <c:v>43997</c:v>
                </c:pt>
                <c:pt idx="107">
                  <c:v>43998</c:v>
                </c:pt>
                <c:pt idx="108">
                  <c:v>43999</c:v>
                </c:pt>
                <c:pt idx="109">
                  <c:v>44000</c:v>
                </c:pt>
                <c:pt idx="110">
                  <c:v>44001</c:v>
                </c:pt>
                <c:pt idx="111">
                  <c:v>44002</c:v>
                </c:pt>
                <c:pt idx="112">
                  <c:v>44003</c:v>
                </c:pt>
                <c:pt idx="113">
                  <c:v>44004</c:v>
                </c:pt>
                <c:pt idx="114">
                  <c:v>44005</c:v>
                </c:pt>
                <c:pt idx="115">
                  <c:v>44006</c:v>
                </c:pt>
                <c:pt idx="116">
                  <c:v>44007</c:v>
                </c:pt>
                <c:pt idx="117">
                  <c:v>44008</c:v>
                </c:pt>
                <c:pt idx="118">
                  <c:v>44009</c:v>
                </c:pt>
                <c:pt idx="119">
                  <c:v>44010</c:v>
                </c:pt>
                <c:pt idx="120">
                  <c:v>44011</c:v>
                </c:pt>
                <c:pt idx="121">
                  <c:v>44012</c:v>
                </c:pt>
                <c:pt idx="122">
                  <c:v>44013</c:v>
                </c:pt>
                <c:pt idx="123">
                  <c:v>44014</c:v>
                </c:pt>
                <c:pt idx="124">
                  <c:v>44015</c:v>
                </c:pt>
                <c:pt idx="125">
                  <c:v>44016</c:v>
                </c:pt>
                <c:pt idx="126">
                  <c:v>44017</c:v>
                </c:pt>
                <c:pt idx="127">
                  <c:v>44018</c:v>
                </c:pt>
                <c:pt idx="128">
                  <c:v>44019</c:v>
                </c:pt>
                <c:pt idx="129">
                  <c:v>44020</c:v>
                </c:pt>
                <c:pt idx="130">
                  <c:v>44021</c:v>
                </c:pt>
                <c:pt idx="131">
                  <c:v>44022</c:v>
                </c:pt>
                <c:pt idx="132">
                  <c:v>44023</c:v>
                </c:pt>
                <c:pt idx="133">
                  <c:v>44024</c:v>
                </c:pt>
                <c:pt idx="134">
                  <c:v>44025</c:v>
                </c:pt>
                <c:pt idx="135">
                  <c:v>44026</c:v>
                </c:pt>
                <c:pt idx="136">
                  <c:v>44027</c:v>
                </c:pt>
                <c:pt idx="137">
                  <c:v>44028</c:v>
                </c:pt>
                <c:pt idx="138">
                  <c:v>44029</c:v>
                </c:pt>
                <c:pt idx="139">
                  <c:v>44030</c:v>
                </c:pt>
                <c:pt idx="140">
                  <c:v>44031</c:v>
                </c:pt>
                <c:pt idx="141">
                  <c:v>44032</c:v>
                </c:pt>
                <c:pt idx="142">
                  <c:v>44033</c:v>
                </c:pt>
                <c:pt idx="143">
                  <c:v>44034</c:v>
                </c:pt>
                <c:pt idx="144">
                  <c:v>44035</c:v>
                </c:pt>
                <c:pt idx="145">
                  <c:v>44036</c:v>
                </c:pt>
                <c:pt idx="146">
                  <c:v>44037</c:v>
                </c:pt>
                <c:pt idx="147">
                  <c:v>44038</c:v>
                </c:pt>
                <c:pt idx="148">
                  <c:v>44039</c:v>
                </c:pt>
                <c:pt idx="149">
                  <c:v>44040</c:v>
                </c:pt>
                <c:pt idx="150">
                  <c:v>44041</c:v>
                </c:pt>
                <c:pt idx="151">
                  <c:v>44042</c:v>
                </c:pt>
                <c:pt idx="152">
                  <c:v>44043</c:v>
                </c:pt>
                <c:pt idx="153">
                  <c:v>44044</c:v>
                </c:pt>
                <c:pt idx="154">
                  <c:v>44045</c:v>
                </c:pt>
                <c:pt idx="155">
                  <c:v>44046</c:v>
                </c:pt>
                <c:pt idx="156">
                  <c:v>44047</c:v>
                </c:pt>
                <c:pt idx="157">
                  <c:v>44048</c:v>
                </c:pt>
                <c:pt idx="158">
                  <c:v>44049</c:v>
                </c:pt>
                <c:pt idx="159">
                  <c:v>44050</c:v>
                </c:pt>
                <c:pt idx="160">
                  <c:v>44051</c:v>
                </c:pt>
                <c:pt idx="161">
                  <c:v>44052</c:v>
                </c:pt>
                <c:pt idx="162">
                  <c:v>44053</c:v>
                </c:pt>
                <c:pt idx="163">
                  <c:v>44054</c:v>
                </c:pt>
                <c:pt idx="164">
                  <c:v>44055</c:v>
                </c:pt>
                <c:pt idx="165">
                  <c:v>44056</c:v>
                </c:pt>
                <c:pt idx="166">
                  <c:v>44057</c:v>
                </c:pt>
                <c:pt idx="167">
                  <c:v>44058</c:v>
                </c:pt>
                <c:pt idx="168">
                  <c:v>44059</c:v>
                </c:pt>
                <c:pt idx="169">
                  <c:v>44060</c:v>
                </c:pt>
                <c:pt idx="170">
                  <c:v>44061</c:v>
                </c:pt>
                <c:pt idx="171">
                  <c:v>44062</c:v>
                </c:pt>
                <c:pt idx="172">
                  <c:v>44063</c:v>
                </c:pt>
                <c:pt idx="173">
                  <c:v>44064</c:v>
                </c:pt>
                <c:pt idx="174">
                  <c:v>44065</c:v>
                </c:pt>
                <c:pt idx="175">
                  <c:v>44066</c:v>
                </c:pt>
                <c:pt idx="176">
                  <c:v>44067</c:v>
                </c:pt>
                <c:pt idx="177">
                  <c:v>44068</c:v>
                </c:pt>
                <c:pt idx="178">
                  <c:v>44069</c:v>
                </c:pt>
                <c:pt idx="179">
                  <c:v>44070</c:v>
                </c:pt>
                <c:pt idx="180">
                  <c:v>44071</c:v>
                </c:pt>
                <c:pt idx="181">
                  <c:v>44072</c:v>
                </c:pt>
                <c:pt idx="182">
                  <c:v>44073</c:v>
                </c:pt>
                <c:pt idx="183">
                  <c:v>44074</c:v>
                </c:pt>
                <c:pt idx="184">
                  <c:v>44075</c:v>
                </c:pt>
                <c:pt idx="185">
                  <c:v>44076</c:v>
                </c:pt>
                <c:pt idx="186">
                  <c:v>44077</c:v>
                </c:pt>
                <c:pt idx="187">
                  <c:v>44078</c:v>
                </c:pt>
                <c:pt idx="188">
                  <c:v>44079</c:v>
                </c:pt>
                <c:pt idx="189">
                  <c:v>44080</c:v>
                </c:pt>
                <c:pt idx="190">
                  <c:v>44081</c:v>
                </c:pt>
                <c:pt idx="191">
                  <c:v>44082</c:v>
                </c:pt>
                <c:pt idx="192">
                  <c:v>44083</c:v>
                </c:pt>
                <c:pt idx="193">
                  <c:v>44084</c:v>
                </c:pt>
                <c:pt idx="194">
                  <c:v>44085</c:v>
                </c:pt>
                <c:pt idx="195">
                  <c:v>44086</c:v>
                </c:pt>
                <c:pt idx="196">
                  <c:v>44087</c:v>
                </c:pt>
                <c:pt idx="197">
                  <c:v>44088</c:v>
                </c:pt>
                <c:pt idx="198">
                  <c:v>44089</c:v>
                </c:pt>
                <c:pt idx="199">
                  <c:v>44090</c:v>
                </c:pt>
                <c:pt idx="200">
                  <c:v>44091</c:v>
                </c:pt>
                <c:pt idx="201">
                  <c:v>44092</c:v>
                </c:pt>
                <c:pt idx="202">
                  <c:v>44093</c:v>
                </c:pt>
                <c:pt idx="203">
                  <c:v>44094</c:v>
                </c:pt>
                <c:pt idx="204">
                  <c:v>44095</c:v>
                </c:pt>
              </c:numCache>
            </c:numRef>
          </c:cat>
          <c:val>
            <c:numRef>
              <c:f>'Transport_use_(GB)'!$D$8:$D$212</c:f>
              <c:numCache>
                <c:formatCode>0%</c:formatCode>
                <c:ptCount val="205"/>
                <c:pt idx="0">
                  <c:v>1.08</c:v>
                </c:pt>
                <c:pt idx="1">
                  <c:v>1.03</c:v>
                </c:pt>
                <c:pt idx="2">
                  <c:v>1.02</c:v>
                </c:pt>
                <c:pt idx="3">
                  <c:v>1.03</c:v>
                </c:pt>
                <c:pt idx="4">
                  <c:v>1.02</c:v>
                </c:pt>
                <c:pt idx="5">
                  <c:v>1.02</c:v>
                </c:pt>
                <c:pt idx="6">
                  <c:v>1.08</c:v>
                </c:pt>
                <c:pt idx="7">
                  <c:v>1.1200000000000001</c:v>
                </c:pt>
                <c:pt idx="8">
                  <c:v>1.04</c:v>
                </c:pt>
                <c:pt idx="9">
                  <c:v>1.03</c:v>
                </c:pt>
                <c:pt idx="10">
                  <c:v>1.03</c:v>
                </c:pt>
                <c:pt idx="11">
                  <c:v>1.02</c:v>
                </c:pt>
                <c:pt idx="12">
                  <c:v>1.02</c:v>
                </c:pt>
                <c:pt idx="13">
                  <c:v>1.08</c:v>
                </c:pt>
                <c:pt idx="14">
                  <c:v>1.1200000000000001</c:v>
                </c:pt>
                <c:pt idx="15">
                  <c:v>1.04</c:v>
                </c:pt>
                <c:pt idx="16">
                  <c:v>1.03</c:v>
                </c:pt>
                <c:pt idx="17">
                  <c:v>1</c:v>
                </c:pt>
                <c:pt idx="18">
                  <c:v>1</c:v>
                </c:pt>
                <c:pt idx="19">
                  <c:v>0.98</c:v>
                </c:pt>
                <c:pt idx="20">
                  <c:v>1.02</c:v>
                </c:pt>
                <c:pt idx="21">
                  <c:v>1.01</c:v>
                </c:pt>
                <c:pt idx="22">
                  <c:v>0.97</c:v>
                </c:pt>
                <c:pt idx="23">
                  <c:v>0.84</c:v>
                </c:pt>
                <c:pt idx="24">
                  <c:v>0.77</c:v>
                </c:pt>
                <c:pt idx="25">
                  <c:v>0.72</c:v>
                </c:pt>
                <c:pt idx="26">
                  <c:v>0.69</c:v>
                </c:pt>
                <c:pt idx="27">
                  <c:v>0.71</c:v>
                </c:pt>
                <c:pt idx="28">
                  <c:v>0.72</c:v>
                </c:pt>
                <c:pt idx="29">
                  <c:v>0.64</c:v>
                </c:pt>
                <c:pt idx="30">
                  <c:v>0.62</c:v>
                </c:pt>
                <c:pt idx="31">
                  <c:v>0.61</c:v>
                </c:pt>
                <c:pt idx="32">
                  <c:v>0.6</c:v>
                </c:pt>
                <c:pt idx="33">
                  <c:v>0.6</c:v>
                </c:pt>
                <c:pt idx="34">
                  <c:v>0.66</c:v>
                </c:pt>
                <c:pt idx="35">
                  <c:v>0.7</c:v>
                </c:pt>
                <c:pt idx="36">
                  <c:v>0.61</c:v>
                </c:pt>
                <c:pt idx="37">
                  <c:v>0.6</c:v>
                </c:pt>
                <c:pt idx="38">
                  <c:v>0.62</c:v>
                </c:pt>
                <c:pt idx="39">
                  <c:v>0.61</c:v>
                </c:pt>
                <c:pt idx="40">
                  <c:v>0.33</c:v>
                </c:pt>
                <c:pt idx="41">
                  <c:v>0.55000000000000004</c:v>
                </c:pt>
                <c:pt idx="42">
                  <c:v>0.5</c:v>
                </c:pt>
                <c:pt idx="43">
                  <c:v>0.25</c:v>
                </c:pt>
                <c:pt idx="44">
                  <c:v>0.6</c:v>
                </c:pt>
                <c:pt idx="45">
                  <c:v>0.63</c:v>
                </c:pt>
                <c:pt idx="46">
                  <c:v>0.63</c:v>
                </c:pt>
                <c:pt idx="47">
                  <c:v>0.63</c:v>
                </c:pt>
                <c:pt idx="48">
                  <c:v>0.71</c:v>
                </c:pt>
                <c:pt idx="49">
                  <c:v>0.73</c:v>
                </c:pt>
                <c:pt idx="50">
                  <c:v>0.65</c:v>
                </c:pt>
                <c:pt idx="51">
                  <c:v>0.64</c:v>
                </c:pt>
                <c:pt idx="52">
                  <c:v>0.65</c:v>
                </c:pt>
                <c:pt idx="53">
                  <c:v>0.64</c:v>
                </c:pt>
                <c:pt idx="54">
                  <c:v>0.65</c:v>
                </c:pt>
                <c:pt idx="55">
                  <c:v>0.71</c:v>
                </c:pt>
                <c:pt idx="56">
                  <c:v>0.75</c:v>
                </c:pt>
                <c:pt idx="57">
                  <c:v>0.68</c:v>
                </c:pt>
                <c:pt idx="58">
                  <c:v>0.67</c:v>
                </c:pt>
                <c:pt idx="59">
                  <c:v>0.68</c:v>
                </c:pt>
                <c:pt idx="60">
                  <c:v>0.67</c:v>
                </c:pt>
                <c:pt idx="61">
                  <c:v>0.66</c:v>
                </c:pt>
                <c:pt idx="62">
                  <c:v>0.72</c:v>
                </c:pt>
                <c:pt idx="63">
                  <c:v>0.76</c:v>
                </c:pt>
                <c:pt idx="64">
                  <c:v>0.7</c:v>
                </c:pt>
                <c:pt idx="65">
                  <c:v>0.71</c:v>
                </c:pt>
                <c:pt idx="66">
                  <c:v>0.73</c:v>
                </c:pt>
                <c:pt idx="67">
                  <c:v>0.71</c:v>
                </c:pt>
                <c:pt idx="68">
                  <c:v>0.35</c:v>
                </c:pt>
                <c:pt idx="69">
                  <c:v>0.65</c:v>
                </c:pt>
                <c:pt idx="70">
                  <c:v>0.77</c:v>
                </c:pt>
                <c:pt idx="71">
                  <c:v>0.74</c:v>
                </c:pt>
                <c:pt idx="72">
                  <c:v>0.75</c:v>
                </c:pt>
                <c:pt idx="73">
                  <c:v>0.76</c:v>
                </c:pt>
                <c:pt idx="74">
                  <c:v>0.75</c:v>
                </c:pt>
                <c:pt idx="75">
                  <c:v>0.74</c:v>
                </c:pt>
                <c:pt idx="76">
                  <c:v>0.8</c:v>
                </c:pt>
                <c:pt idx="77">
                  <c:v>0.84</c:v>
                </c:pt>
                <c:pt idx="78">
                  <c:v>0.79</c:v>
                </c:pt>
                <c:pt idx="79">
                  <c:v>0.79</c:v>
                </c:pt>
                <c:pt idx="80">
                  <c:v>0.8</c:v>
                </c:pt>
                <c:pt idx="81">
                  <c:v>0.8</c:v>
                </c:pt>
                <c:pt idx="82">
                  <c:v>0.79</c:v>
                </c:pt>
                <c:pt idx="83">
                  <c:v>0.84</c:v>
                </c:pt>
                <c:pt idx="84">
                  <c:v>0.8</c:v>
                </c:pt>
                <c:pt idx="85">
                  <c:v>0.34</c:v>
                </c:pt>
                <c:pt idx="86">
                  <c:v>0.81</c:v>
                </c:pt>
                <c:pt idx="87">
                  <c:v>0.84</c:v>
                </c:pt>
                <c:pt idx="88">
                  <c:v>0.83</c:v>
                </c:pt>
                <c:pt idx="89">
                  <c:v>0.83</c:v>
                </c:pt>
                <c:pt idx="90">
                  <c:v>0.92</c:v>
                </c:pt>
                <c:pt idx="91">
                  <c:v>0.94</c:v>
                </c:pt>
                <c:pt idx="92">
                  <c:v>0.87</c:v>
                </c:pt>
                <c:pt idx="93">
                  <c:v>0.84</c:v>
                </c:pt>
                <c:pt idx="94">
                  <c:v>0.85</c:v>
                </c:pt>
                <c:pt idx="95">
                  <c:v>0.85</c:v>
                </c:pt>
                <c:pt idx="96">
                  <c:v>0.85</c:v>
                </c:pt>
                <c:pt idx="97">
                  <c:v>0.9</c:v>
                </c:pt>
                <c:pt idx="98">
                  <c:v>0.93</c:v>
                </c:pt>
                <c:pt idx="99">
                  <c:v>0.87</c:v>
                </c:pt>
                <c:pt idx="100">
                  <c:v>0.88</c:v>
                </c:pt>
                <c:pt idx="101">
                  <c:v>0.88</c:v>
                </c:pt>
                <c:pt idx="102">
                  <c:v>0.88</c:v>
                </c:pt>
                <c:pt idx="103">
                  <c:v>0.87</c:v>
                </c:pt>
                <c:pt idx="104">
                  <c:v>0.93</c:v>
                </c:pt>
                <c:pt idx="105">
                  <c:v>0.97</c:v>
                </c:pt>
                <c:pt idx="106">
                  <c:v>0.92</c:v>
                </c:pt>
                <c:pt idx="107">
                  <c:v>0.91</c:v>
                </c:pt>
                <c:pt idx="108">
                  <c:v>0.92</c:v>
                </c:pt>
                <c:pt idx="109">
                  <c:v>0.89</c:v>
                </c:pt>
                <c:pt idx="110">
                  <c:v>0.9</c:v>
                </c:pt>
                <c:pt idx="111">
                  <c:v>0.97</c:v>
                </c:pt>
                <c:pt idx="112">
                  <c:v>0.95</c:v>
                </c:pt>
                <c:pt idx="113">
                  <c:v>0.93</c:v>
                </c:pt>
                <c:pt idx="114">
                  <c:v>0.94</c:v>
                </c:pt>
                <c:pt idx="115">
                  <c:v>0.94</c:v>
                </c:pt>
                <c:pt idx="116">
                  <c:v>0.92</c:v>
                </c:pt>
                <c:pt idx="117">
                  <c:v>0.91</c:v>
                </c:pt>
                <c:pt idx="118">
                  <c:v>0.97</c:v>
                </c:pt>
                <c:pt idx="119">
                  <c:v>0.99</c:v>
                </c:pt>
                <c:pt idx="120">
                  <c:v>0.96</c:v>
                </c:pt>
                <c:pt idx="121">
                  <c:v>0.96</c:v>
                </c:pt>
                <c:pt idx="122">
                  <c:v>0.97</c:v>
                </c:pt>
                <c:pt idx="123">
                  <c:v>0.96</c:v>
                </c:pt>
                <c:pt idx="124">
                  <c:v>0.96</c:v>
                </c:pt>
                <c:pt idx="125">
                  <c:v>1.01</c:v>
                </c:pt>
                <c:pt idx="126">
                  <c:v>1.05</c:v>
                </c:pt>
                <c:pt idx="127">
                  <c:v>0.97</c:v>
                </c:pt>
                <c:pt idx="128">
                  <c:v>0.97</c:v>
                </c:pt>
                <c:pt idx="129">
                  <c:v>0.97</c:v>
                </c:pt>
                <c:pt idx="130">
                  <c:v>0.96</c:v>
                </c:pt>
                <c:pt idx="131">
                  <c:v>0.96</c:v>
                </c:pt>
                <c:pt idx="132">
                  <c:v>1.04</c:v>
                </c:pt>
                <c:pt idx="133">
                  <c:v>1.1100000000000001</c:v>
                </c:pt>
                <c:pt idx="134">
                  <c:v>0.98</c:v>
                </c:pt>
                <c:pt idx="135">
                  <c:v>0.98</c:v>
                </c:pt>
                <c:pt idx="136">
                  <c:v>0.98</c:v>
                </c:pt>
                <c:pt idx="137">
                  <c:v>0.98</c:v>
                </c:pt>
                <c:pt idx="138">
                  <c:v>0.97</c:v>
                </c:pt>
                <c:pt idx="139">
                  <c:v>1.04</c:v>
                </c:pt>
                <c:pt idx="140">
                  <c:v>1.1100000000000001</c:v>
                </c:pt>
                <c:pt idx="141">
                  <c:v>0.99</c:v>
                </c:pt>
                <c:pt idx="142">
                  <c:v>0.98</c:v>
                </c:pt>
                <c:pt idx="143">
                  <c:v>0.98</c:v>
                </c:pt>
                <c:pt idx="144">
                  <c:v>0.95</c:v>
                </c:pt>
                <c:pt idx="145">
                  <c:v>0.97</c:v>
                </c:pt>
                <c:pt idx="146">
                  <c:v>1.05</c:v>
                </c:pt>
                <c:pt idx="147">
                  <c:v>1.1200000000000001</c:v>
                </c:pt>
                <c:pt idx="148">
                  <c:v>0.96</c:v>
                </c:pt>
                <c:pt idx="149">
                  <c:v>0.97</c:v>
                </c:pt>
                <c:pt idx="150">
                  <c:v>0.96</c:v>
                </c:pt>
                <c:pt idx="151">
                  <c:v>0.96</c:v>
                </c:pt>
                <c:pt idx="152">
                  <c:v>0.95</c:v>
                </c:pt>
                <c:pt idx="153">
                  <c:v>1.06</c:v>
                </c:pt>
                <c:pt idx="154">
                  <c:v>1.1399999999999999</c:v>
                </c:pt>
                <c:pt idx="155">
                  <c:v>0.97</c:v>
                </c:pt>
                <c:pt idx="156">
                  <c:v>0.98</c:v>
                </c:pt>
                <c:pt idx="157">
                  <c:v>0.98</c:v>
                </c:pt>
                <c:pt idx="158">
                  <c:v>0.96</c:v>
                </c:pt>
                <c:pt idx="159">
                  <c:v>0.96</c:v>
                </c:pt>
                <c:pt idx="160">
                  <c:v>1.08</c:v>
                </c:pt>
                <c:pt idx="161">
                  <c:v>1.1599999999999999</c:v>
                </c:pt>
                <c:pt idx="162">
                  <c:v>1</c:v>
                </c:pt>
                <c:pt idx="163">
                  <c:v>0.99</c:v>
                </c:pt>
                <c:pt idx="164">
                  <c:v>0.99</c:v>
                </c:pt>
                <c:pt idx="165">
                  <c:v>0.98</c:v>
                </c:pt>
                <c:pt idx="166">
                  <c:v>0.98</c:v>
                </c:pt>
                <c:pt idx="167">
                  <c:v>1.07</c:v>
                </c:pt>
                <c:pt idx="168">
                  <c:v>1.1499999999999999</c:v>
                </c:pt>
                <c:pt idx="169">
                  <c:v>1</c:v>
                </c:pt>
                <c:pt idx="170">
                  <c:v>0.99</c:v>
                </c:pt>
                <c:pt idx="171">
                  <c:v>0.97</c:v>
                </c:pt>
                <c:pt idx="172">
                  <c:v>0.98</c:v>
                </c:pt>
                <c:pt idx="173">
                  <c:v>0.95</c:v>
                </c:pt>
                <c:pt idx="174">
                  <c:v>1.08</c:v>
                </c:pt>
                <c:pt idx="175">
                  <c:v>1.1599999999999999</c:v>
                </c:pt>
                <c:pt idx="176">
                  <c:v>0.99</c:v>
                </c:pt>
                <c:pt idx="177">
                  <c:v>0.95</c:v>
                </c:pt>
                <c:pt idx="178">
                  <c:v>0.99</c:v>
                </c:pt>
                <c:pt idx="179">
                  <c:v>0.98</c:v>
                </c:pt>
                <c:pt idx="180">
                  <c:v>0.97</c:v>
                </c:pt>
                <c:pt idx="181">
                  <c:v>1.07</c:v>
                </c:pt>
                <c:pt idx="182">
                  <c:v>1.07</c:v>
                </c:pt>
                <c:pt idx="183">
                  <c:v>0.46</c:v>
                </c:pt>
                <c:pt idx="184">
                  <c:v>0.99</c:v>
                </c:pt>
                <c:pt idx="185">
                  <c:v>1.03</c:v>
                </c:pt>
                <c:pt idx="186">
                  <c:v>1.02</c:v>
                </c:pt>
                <c:pt idx="187">
                  <c:v>1.02</c:v>
                </c:pt>
                <c:pt idx="188">
                  <c:v>1.1599999999999999</c:v>
                </c:pt>
                <c:pt idx="189">
                  <c:v>1.2</c:v>
                </c:pt>
                <c:pt idx="190">
                  <c:v>1.04</c:v>
                </c:pt>
                <c:pt idx="191">
                  <c:v>1.04</c:v>
                </c:pt>
                <c:pt idx="192">
                  <c:v>1.04</c:v>
                </c:pt>
                <c:pt idx="193">
                  <c:v>1.02</c:v>
                </c:pt>
                <c:pt idx="194">
                  <c:v>1.03</c:v>
                </c:pt>
                <c:pt idx="195">
                  <c:v>1.1299999999999999</c:v>
                </c:pt>
                <c:pt idx="196">
                  <c:v>1.23</c:v>
                </c:pt>
                <c:pt idx="197">
                  <c:v>1.05</c:v>
                </c:pt>
                <c:pt idx="198">
                  <c:v>1.02</c:v>
                </c:pt>
                <c:pt idx="199">
                  <c:v>1.05</c:v>
                </c:pt>
                <c:pt idx="200">
                  <c:v>1.03</c:v>
                </c:pt>
                <c:pt idx="201">
                  <c:v>1.03</c:v>
                </c:pt>
                <c:pt idx="202">
                  <c:v>1.1399999999999999</c:v>
                </c:pt>
                <c:pt idx="203">
                  <c:v>1.25</c:v>
                </c:pt>
                <c:pt idx="204">
                  <c:v>1.06</c:v>
                </c:pt>
              </c:numCache>
            </c:numRef>
          </c:val>
          <c:smooth val="0"/>
          <c:extLst>
            <c:ext xmlns:c16="http://schemas.microsoft.com/office/drawing/2014/chart" uri="{C3380CC4-5D6E-409C-BE32-E72D297353CC}">
              <c16:uniqueId val="{00000002-F073-4F75-8778-9E9A32726D30}"/>
            </c:ext>
          </c:extLst>
        </c:ser>
        <c:dLbls>
          <c:showLegendKey val="0"/>
          <c:showVal val="0"/>
          <c:showCatName val="0"/>
          <c:showSerName val="0"/>
          <c:showPercent val="0"/>
          <c:showBubbleSize val="0"/>
        </c:dLbls>
        <c:smooth val="0"/>
        <c:axId val="667677416"/>
        <c:axId val="667676432"/>
      </c:lineChart>
      <c:dateAx>
        <c:axId val="667677416"/>
        <c:scaling>
          <c:orientation val="minMax"/>
        </c:scaling>
        <c:delete val="0"/>
        <c:axPos val="b"/>
        <c:numFmt formatCode="dd/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667676432"/>
        <c:crosses val="autoZero"/>
        <c:auto val="1"/>
        <c:lblOffset val="100"/>
        <c:baseTimeUnit val="days"/>
      </c:dateAx>
      <c:valAx>
        <c:axId val="667676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667677416"/>
        <c:crosses val="autoZero"/>
        <c:crossBetween val="between"/>
      </c:valAx>
      <c:spPr>
        <a:noFill/>
        <a:ln>
          <a:noFill/>
        </a:ln>
        <a:effectLst/>
      </c:spPr>
    </c:plotArea>
    <c:legend>
      <c:legendPos val="b"/>
      <c:layout>
        <c:manualLayout>
          <c:xMode val="edge"/>
          <c:yMode val="edge"/>
          <c:x val="0.23124833356396243"/>
          <c:y val="6.9917452393669061E-2"/>
          <c:w val="0.38748190123898463"/>
          <c:h val="7.9319004043413494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0.42752</cdr:x>
      <cdr:y>0.06753</cdr:y>
    </cdr:from>
    <cdr:to>
      <cdr:x>0.49226</cdr:x>
      <cdr:y>0.13292</cdr:y>
    </cdr:to>
    <cdr:sp macro="" textlink="">
      <cdr:nvSpPr>
        <cdr:cNvPr id="2" name="Надпись 2"/>
        <cdr:cNvSpPr txBox="1">
          <a:spLocks xmlns:a="http://schemas.openxmlformats.org/drawingml/2006/main" noChangeArrowheads="1"/>
        </cdr:cNvSpPr>
      </cdr:nvSpPr>
      <cdr:spPr bwMode="auto">
        <a:xfrm xmlns:a="http://schemas.openxmlformats.org/drawingml/2006/main">
          <a:off x="1900060" y="127696"/>
          <a:ext cx="287729" cy="12365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noAutofit/>
        </a:bodyPr>
        <a:lstStyle xmlns:a="http://schemas.openxmlformats.org/drawingml/2006/main"/>
        <a:p xmlns:a="http://schemas.openxmlformats.org/drawingml/2006/main">
          <a:pPr>
            <a:lnSpc>
              <a:spcPts val="1200"/>
            </a:lnSpc>
            <a:spcAft>
              <a:spcPts val="0"/>
            </a:spcAft>
          </a:pPr>
          <a:r>
            <a:rPr lang="ru-RU" sz="800" b="1">
              <a:effectLst/>
              <a:latin typeface="Times New Roman" panose="02020603050405020304" pitchFamily="18" charset="0"/>
              <a:ea typeface="Calibri" panose="020F0502020204030204" pitchFamily="34" charset="0"/>
              <a:cs typeface="Arial" panose="020B0604020202020204" pitchFamily="34" charset="0"/>
            </a:rPr>
            <a:t>ЛГА</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0.55724</cdr:x>
      <cdr:y>0.06768</cdr:y>
    </cdr:from>
    <cdr:to>
      <cdr:x>0.62124</cdr:x>
      <cdr:y>0.1413</cdr:y>
    </cdr:to>
    <cdr:sp macro="" textlink="">
      <cdr:nvSpPr>
        <cdr:cNvPr id="3" name="Надпись 2"/>
        <cdr:cNvSpPr txBox="1">
          <a:spLocks xmlns:a="http://schemas.openxmlformats.org/drawingml/2006/main" noChangeArrowheads="1"/>
        </cdr:cNvSpPr>
      </cdr:nvSpPr>
      <cdr:spPr bwMode="auto">
        <a:xfrm xmlns:a="http://schemas.openxmlformats.org/drawingml/2006/main">
          <a:off x="2476583" y="127989"/>
          <a:ext cx="284430" cy="13920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200"/>
            </a:lnSpc>
            <a:spcAft>
              <a:spcPts val="0"/>
            </a:spcAft>
          </a:pPr>
          <a:r>
            <a:rPr lang="ru-RU" sz="800" b="1">
              <a:effectLst/>
              <a:latin typeface="Times New Roman" panose="02020603050405020304" pitchFamily="18" charset="0"/>
              <a:ea typeface="Calibri" panose="020F0502020204030204" pitchFamily="34" charset="0"/>
              <a:cs typeface="Arial" panose="020B0604020202020204" pitchFamily="34" charset="0"/>
            </a:rPr>
            <a:t>БГТС</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ECE.dotm</Template>
  <TotalTime>1</TotalTime>
  <Pages>5</Pages>
  <Words>1275</Words>
  <Characters>9093</Characters>
  <Application>Microsoft Office Word</Application>
  <DocSecurity>0</DocSecurity>
  <Lines>568</Lines>
  <Paragraphs>76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ECE/TRANS/2021/23</vt:lpstr>
      <vt:lpstr>A/</vt:lpstr>
      <vt:lpstr>A/</vt:lpstr>
    </vt:vector>
  </TitlesOfParts>
  <Company>DCM</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ECE/TRANS/2021/23</dc:title>
  <dc:subject/>
  <dc:creator>Staff Assistant</dc:creator>
  <cp:keywords/>
  <cp:lastModifiedBy>Tatiana SHARKINA</cp:lastModifiedBy>
  <cp:revision>3</cp:revision>
  <cp:lastPrinted>2020-12-17T11:15:00Z</cp:lastPrinted>
  <dcterms:created xsi:type="dcterms:W3CDTF">2020-12-17T11:15:00Z</dcterms:created>
  <dcterms:modified xsi:type="dcterms:W3CDTF">2020-12-17T11:16:00Z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