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735AB2"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735AB2" w:rsidRDefault="009E6CB7" w:rsidP="00B20551">
            <w:pPr>
              <w:spacing w:after="80"/>
            </w:pPr>
            <w:bookmarkStart w:id="0" w:name="_GoBack"/>
            <w:bookmarkEnd w:id="0"/>
          </w:p>
        </w:tc>
        <w:tc>
          <w:tcPr>
            <w:tcW w:w="2268" w:type="dxa"/>
            <w:tcBorders>
              <w:bottom w:val="single" w:sz="4" w:space="0" w:color="auto"/>
            </w:tcBorders>
            <w:vAlign w:val="bottom"/>
          </w:tcPr>
          <w:p w14:paraId="60899344" w14:textId="77777777" w:rsidR="009E6CB7" w:rsidRPr="00735AB2" w:rsidRDefault="009E6CB7" w:rsidP="00B20551">
            <w:pPr>
              <w:spacing w:after="80" w:line="300" w:lineRule="exact"/>
              <w:rPr>
                <w:b/>
                <w:sz w:val="24"/>
                <w:szCs w:val="24"/>
              </w:rPr>
            </w:pPr>
            <w:r w:rsidRPr="00735AB2">
              <w:rPr>
                <w:sz w:val="28"/>
                <w:szCs w:val="28"/>
              </w:rPr>
              <w:t>United Nations</w:t>
            </w:r>
          </w:p>
        </w:tc>
        <w:tc>
          <w:tcPr>
            <w:tcW w:w="6095" w:type="dxa"/>
            <w:gridSpan w:val="2"/>
            <w:tcBorders>
              <w:bottom w:val="single" w:sz="4" w:space="0" w:color="auto"/>
            </w:tcBorders>
            <w:vAlign w:val="bottom"/>
          </w:tcPr>
          <w:p w14:paraId="60899345" w14:textId="3CC4AB69" w:rsidR="009E6CB7" w:rsidRPr="00735AB2" w:rsidRDefault="0039451F" w:rsidP="00954785">
            <w:pPr>
              <w:jc w:val="right"/>
            </w:pPr>
            <w:r w:rsidRPr="00735AB2">
              <w:rPr>
                <w:sz w:val="40"/>
              </w:rPr>
              <w:t>ECE</w:t>
            </w:r>
            <w:r w:rsidRPr="00735AB2">
              <w:t>/TRANS/2021/1</w:t>
            </w:r>
          </w:p>
        </w:tc>
      </w:tr>
      <w:tr w:rsidR="00FF02F5" w:rsidRPr="00735AB2"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735AB2" w:rsidRDefault="00686A48" w:rsidP="00B20551">
            <w:pPr>
              <w:spacing w:before="120"/>
            </w:pPr>
            <w:r w:rsidRPr="00735AB2">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735AB2" w:rsidRDefault="009E6CB7" w:rsidP="00B20551">
            <w:pPr>
              <w:spacing w:before="120" w:line="420" w:lineRule="exact"/>
              <w:rPr>
                <w:sz w:val="40"/>
                <w:szCs w:val="40"/>
              </w:rPr>
            </w:pPr>
            <w:r w:rsidRPr="00735AB2">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735AB2" w:rsidRDefault="00954785" w:rsidP="00954785">
            <w:pPr>
              <w:spacing w:before="240" w:line="240" w:lineRule="exact"/>
            </w:pPr>
            <w:r w:rsidRPr="00735AB2">
              <w:t>Distr.: General</w:t>
            </w:r>
          </w:p>
          <w:p w14:paraId="6089934A" w14:textId="4D59E526" w:rsidR="00954785" w:rsidRPr="00735AB2" w:rsidRDefault="00CD47C5" w:rsidP="00954785">
            <w:pPr>
              <w:spacing w:line="240" w:lineRule="exact"/>
            </w:pPr>
            <w:r>
              <w:t>10</w:t>
            </w:r>
            <w:r w:rsidR="00EF573F">
              <w:t xml:space="preserve"> </w:t>
            </w:r>
            <w:r w:rsidR="001B1344" w:rsidRPr="00735AB2">
              <w:t>December</w:t>
            </w:r>
            <w:r w:rsidR="00CD3488" w:rsidRPr="00735AB2">
              <w:t xml:space="preserve"> </w:t>
            </w:r>
            <w:r w:rsidR="00954785" w:rsidRPr="00735AB2">
              <w:t>20</w:t>
            </w:r>
            <w:r w:rsidR="006B3ABA" w:rsidRPr="00735AB2">
              <w:t>20</w:t>
            </w:r>
          </w:p>
          <w:p w14:paraId="6089934B" w14:textId="77777777" w:rsidR="00954785" w:rsidRPr="00735AB2" w:rsidRDefault="00954785" w:rsidP="00954785">
            <w:pPr>
              <w:spacing w:line="240" w:lineRule="exact"/>
            </w:pPr>
          </w:p>
          <w:p w14:paraId="6089934C" w14:textId="77777777" w:rsidR="00954785" w:rsidRPr="00735AB2" w:rsidRDefault="00954785" w:rsidP="00954785">
            <w:pPr>
              <w:spacing w:line="240" w:lineRule="exact"/>
            </w:pPr>
            <w:r w:rsidRPr="00735AB2">
              <w:t>Original: English</w:t>
            </w:r>
          </w:p>
        </w:tc>
      </w:tr>
    </w:tbl>
    <w:p w14:paraId="6089934E" w14:textId="77777777" w:rsidR="00250503" w:rsidRPr="00735AB2" w:rsidRDefault="00250503" w:rsidP="00250503">
      <w:pPr>
        <w:spacing w:before="120"/>
        <w:rPr>
          <w:b/>
          <w:bCs/>
          <w:sz w:val="28"/>
          <w:szCs w:val="28"/>
        </w:rPr>
      </w:pPr>
      <w:r w:rsidRPr="00735AB2">
        <w:rPr>
          <w:b/>
          <w:bCs/>
          <w:sz w:val="28"/>
          <w:szCs w:val="28"/>
        </w:rPr>
        <w:t>Economic Commission for Europe</w:t>
      </w:r>
    </w:p>
    <w:p w14:paraId="6089934F" w14:textId="77777777" w:rsidR="00250503" w:rsidRPr="00735AB2" w:rsidRDefault="00250503" w:rsidP="00250503">
      <w:pPr>
        <w:spacing w:before="120"/>
        <w:rPr>
          <w:sz w:val="28"/>
          <w:szCs w:val="28"/>
        </w:rPr>
      </w:pPr>
      <w:r w:rsidRPr="00735AB2">
        <w:rPr>
          <w:sz w:val="28"/>
          <w:szCs w:val="28"/>
        </w:rPr>
        <w:t>Inland Transport Committee</w:t>
      </w:r>
    </w:p>
    <w:p w14:paraId="60899350" w14:textId="2BEAC26F" w:rsidR="00250503" w:rsidRPr="00735AB2" w:rsidRDefault="00250503" w:rsidP="00250503">
      <w:pPr>
        <w:spacing w:before="120"/>
        <w:rPr>
          <w:b/>
          <w:bCs/>
        </w:rPr>
      </w:pPr>
      <w:r w:rsidRPr="00735AB2">
        <w:rPr>
          <w:b/>
          <w:bCs/>
        </w:rPr>
        <w:t>Eighty-</w:t>
      </w:r>
      <w:r w:rsidR="006B3ABA" w:rsidRPr="00735AB2">
        <w:rPr>
          <w:b/>
          <w:bCs/>
        </w:rPr>
        <w:t>third</w:t>
      </w:r>
      <w:r w:rsidRPr="00735AB2">
        <w:rPr>
          <w:b/>
          <w:bCs/>
        </w:rPr>
        <w:t xml:space="preserve"> session</w:t>
      </w:r>
    </w:p>
    <w:p w14:paraId="60899351" w14:textId="59163130" w:rsidR="00250503" w:rsidRPr="00735AB2" w:rsidRDefault="00250503" w:rsidP="00250482">
      <w:pPr>
        <w:rPr>
          <w:b/>
          <w:bCs/>
        </w:rPr>
      </w:pPr>
      <w:r w:rsidRPr="00735AB2">
        <w:t>Geneva, 2</w:t>
      </w:r>
      <w:r w:rsidR="006B3ABA" w:rsidRPr="00735AB2">
        <w:t>3</w:t>
      </w:r>
      <w:r w:rsidR="00CD47C5">
        <w:t>–</w:t>
      </w:r>
      <w:r w:rsidRPr="00735AB2">
        <w:t>2</w:t>
      </w:r>
      <w:r w:rsidR="006B3ABA" w:rsidRPr="00735AB2">
        <w:t>6</w:t>
      </w:r>
      <w:r w:rsidRPr="00735AB2">
        <w:t xml:space="preserve"> February 202</w:t>
      </w:r>
      <w:r w:rsidR="006B3ABA" w:rsidRPr="00735AB2">
        <w:t>1</w:t>
      </w:r>
      <w:r w:rsidRPr="00735AB2">
        <w:br/>
        <w:t xml:space="preserve">Item </w:t>
      </w:r>
      <w:r w:rsidR="000E585C" w:rsidRPr="00735AB2">
        <w:t>2</w:t>
      </w:r>
      <w:r w:rsidRPr="00735AB2">
        <w:t xml:space="preserve"> of the provisional agenda</w:t>
      </w:r>
      <w:r w:rsidRPr="00735AB2">
        <w:br/>
      </w:r>
      <w:r w:rsidR="00DC4785" w:rsidRPr="00DC4785">
        <w:rPr>
          <w:b/>
          <w:bCs/>
        </w:rPr>
        <w:t xml:space="preserve">Back to a sustainable future: achieving resilient connectivity </w:t>
      </w:r>
      <w:r w:rsidR="00DC4785">
        <w:rPr>
          <w:b/>
          <w:bCs/>
        </w:rPr>
        <w:br/>
      </w:r>
      <w:r w:rsidR="00DC4785" w:rsidRPr="00DC4785">
        <w:rPr>
          <w:b/>
          <w:bCs/>
        </w:rPr>
        <w:t>for post-COVID-19 sustained recovery and economic growth</w:t>
      </w:r>
      <w:r w:rsidR="00DC4785" w:rsidRPr="00DC4785" w:rsidDel="00DC4785">
        <w:rPr>
          <w:b/>
          <w:bCs/>
        </w:rPr>
        <w:t xml:space="preserve"> </w:t>
      </w:r>
    </w:p>
    <w:p w14:paraId="30B701D7" w14:textId="37CCED23" w:rsidR="00B138F0" w:rsidRPr="00735AB2" w:rsidRDefault="00250503" w:rsidP="00250503">
      <w:pPr>
        <w:pStyle w:val="HChG"/>
      </w:pPr>
      <w:r w:rsidRPr="00735AB2">
        <w:tab/>
      </w:r>
      <w:r w:rsidRPr="00735AB2">
        <w:tab/>
      </w:r>
      <w:r w:rsidR="00690537">
        <w:t>C</w:t>
      </w:r>
      <w:r w:rsidR="00B138F0" w:rsidRPr="00735AB2">
        <w:t>oncept note of the high-level policy segment “</w:t>
      </w:r>
      <w:r w:rsidR="00FC3E5C" w:rsidRPr="00FC3E5C">
        <w:t xml:space="preserve">Back to </w:t>
      </w:r>
      <w:r w:rsidR="00250482">
        <w:br/>
      </w:r>
      <w:r w:rsidR="00FC3E5C" w:rsidRPr="00FC3E5C">
        <w:t xml:space="preserve">a sustainable future: achieving resilient connectivity for </w:t>
      </w:r>
      <w:r w:rsidR="00250482">
        <w:br/>
      </w:r>
      <w:r w:rsidR="00FC3E5C" w:rsidRPr="00FC3E5C">
        <w:t>post-COVID-19 sustained recovery and economic growth</w:t>
      </w:r>
      <w:r w:rsidR="00B138F0" w:rsidRPr="00735AB2">
        <w:t>”</w:t>
      </w:r>
    </w:p>
    <w:p w14:paraId="25521D00" w14:textId="51D904A5" w:rsidR="00E239B9" w:rsidRPr="00735AB2" w:rsidRDefault="008053DC" w:rsidP="00E239B9">
      <w:pPr>
        <w:pStyle w:val="H1G"/>
      </w:pPr>
      <w:r w:rsidRPr="00735AB2">
        <w:tab/>
      </w:r>
      <w:r w:rsidRPr="00735AB2">
        <w:tab/>
      </w:r>
      <w:r w:rsidR="00E239B9" w:rsidRPr="00735AB2">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E239B9" w:rsidRPr="00735AB2" w14:paraId="640FC4E2" w14:textId="77777777" w:rsidTr="009F214E">
        <w:trPr>
          <w:jc w:val="center"/>
        </w:trPr>
        <w:tc>
          <w:tcPr>
            <w:tcW w:w="9629" w:type="dxa"/>
            <w:shd w:val="clear" w:color="auto" w:fill="auto"/>
          </w:tcPr>
          <w:p w14:paraId="5A2F4FA8" w14:textId="77777777" w:rsidR="00E239B9" w:rsidRPr="00735AB2" w:rsidRDefault="00E239B9" w:rsidP="009F214E">
            <w:pPr>
              <w:spacing w:before="240" w:after="120"/>
              <w:ind w:left="255"/>
              <w:rPr>
                <w:i/>
                <w:sz w:val="24"/>
              </w:rPr>
            </w:pPr>
            <w:r w:rsidRPr="00735AB2">
              <w:rPr>
                <w:i/>
                <w:sz w:val="24"/>
              </w:rPr>
              <w:t>Summary</w:t>
            </w:r>
          </w:p>
        </w:tc>
      </w:tr>
      <w:tr w:rsidR="00E239B9" w:rsidRPr="00735AB2" w14:paraId="5D36EDE4" w14:textId="77777777" w:rsidTr="009F214E">
        <w:trPr>
          <w:jc w:val="center"/>
        </w:trPr>
        <w:tc>
          <w:tcPr>
            <w:tcW w:w="9629" w:type="dxa"/>
            <w:shd w:val="clear" w:color="auto" w:fill="auto"/>
          </w:tcPr>
          <w:p w14:paraId="4C00FEAC" w14:textId="20958097" w:rsidR="00E239B9" w:rsidRPr="00735AB2" w:rsidRDefault="00E239B9" w:rsidP="009F214E">
            <w:pPr>
              <w:pStyle w:val="SingleTxtG"/>
            </w:pPr>
            <w:r w:rsidRPr="00735AB2">
              <w:tab/>
            </w:r>
            <w:r w:rsidRPr="00735AB2">
              <w:tab/>
              <w:t xml:space="preserve">This document outlines the concept and main themes of the high-level policy segment organized around </w:t>
            </w:r>
            <w:r w:rsidR="00490928" w:rsidRPr="00490928">
              <w:t>Back to a sustainable future: achieving resilient connectivity for post-COVID-19 sustained recovery and economic growth</w:t>
            </w:r>
            <w:r w:rsidRPr="00735AB2">
              <w:t xml:space="preserve">. This document also contains information on planned activities, side events and other social events. The Bureau of the Inland Transport Committee, at its </w:t>
            </w:r>
            <w:r w:rsidR="00F50230" w:rsidRPr="00735AB2">
              <w:t>July 2020</w:t>
            </w:r>
            <w:r w:rsidRPr="00735AB2">
              <w:t xml:space="preserve"> meeting, agreed that the themes of the panels of the first day of the eighty-</w:t>
            </w:r>
            <w:r w:rsidR="00C804F9" w:rsidRPr="00735AB2">
              <w:t xml:space="preserve">third </w:t>
            </w:r>
            <w:r w:rsidRPr="00735AB2">
              <w:t xml:space="preserve">session of the Committee would focus on this topic. The High-level policy segment will conclude with the endorsement of the </w:t>
            </w:r>
            <w:r w:rsidR="00490928">
              <w:t>Ministerial</w:t>
            </w:r>
            <w:r w:rsidR="00490928" w:rsidRPr="00735AB2">
              <w:t xml:space="preserve"> </w:t>
            </w:r>
            <w:r w:rsidR="00935A49" w:rsidRPr="00735AB2">
              <w:t>Resolution on Enhancing resilient inland transport connectivity under emergency situations: an urgent call for concerted action” (ECE/TRANS/2021/2)</w:t>
            </w:r>
            <w:r w:rsidRPr="00735AB2">
              <w:t>.</w:t>
            </w:r>
          </w:p>
        </w:tc>
      </w:tr>
      <w:tr w:rsidR="00E239B9" w:rsidRPr="00735AB2" w14:paraId="06AF7201" w14:textId="77777777" w:rsidTr="009F214E">
        <w:trPr>
          <w:jc w:val="center"/>
        </w:trPr>
        <w:tc>
          <w:tcPr>
            <w:tcW w:w="9629" w:type="dxa"/>
            <w:shd w:val="clear" w:color="auto" w:fill="auto"/>
          </w:tcPr>
          <w:p w14:paraId="1F5122C4" w14:textId="77777777" w:rsidR="00E239B9" w:rsidRPr="00735AB2" w:rsidRDefault="00E239B9" w:rsidP="009F214E"/>
        </w:tc>
      </w:tr>
    </w:tbl>
    <w:p w14:paraId="13B537B4" w14:textId="77777777" w:rsidR="00E239B9" w:rsidRPr="00735AB2" w:rsidRDefault="00E239B9" w:rsidP="00E239B9">
      <w:pPr>
        <w:pStyle w:val="HChG"/>
      </w:pPr>
      <w:r w:rsidRPr="00735AB2">
        <w:tab/>
        <w:t>I.</w:t>
      </w:r>
      <w:r w:rsidRPr="00735AB2">
        <w:tab/>
        <w:t>Policy Context</w:t>
      </w:r>
    </w:p>
    <w:p w14:paraId="2A26B5BB" w14:textId="77777777" w:rsidR="00E239B9" w:rsidRPr="00735AB2" w:rsidRDefault="00E239B9" w:rsidP="00E239B9">
      <w:pPr>
        <w:pStyle w:val="H1G"/>
      </w:pPr>
      <w:r w:rsidRPr="00735AB2">
        <w:tab/>
      </w:r>
      <w:r w:rsidRPr="00735AB2">
        <w:tab/>
        <w:t>Background and general outlook</w:t>
      </w:r>
    </w:p>
    <w:p w14:paraId="31FFD73F" w14:textId="46414A19" w:rsidR="009035C7" w:rsidRPr="00735AB2" w:rsidRDefault="00E239B9" w:rsidP="00AC5EA3">
      <w:pPr>
        <w:pStyle w:val="SingleTxtG"/>
      </w:pPr>
      <w:r w:rsidRPr="00735AB2">
        <w:t>1.</w:t>
      </w:r>
      <w:r w:rsidRPr="00735AB2">
        <w:tab/>
        <w:t xml:space="preserve">Five years after the adoption </w:t>
      </w:r>
      <w:r w:rsidR="004243AA" w:rsidRPr="00735AB2">
        <w:t xml:space="preserve">in 2015 </w:t>
      </w:r>
      <w:r w:rsidRPr="00735AB2">
        <w:t xml:space="preserve">of the Sustainable Development Goals by the United Nations General Assembly, </w:t>
      </w:r>
      <w:r w:rsidR="005D10C6" w:rsidRPr="00735AB2">
        <w:t>due the COVID-19 pandemic and its epidemiological and socioeconomic impacts</w:t>
      </w:r>
      <w:r w:rsidR="005D10C6">
        <w:t>,</w:t>
      </w:r>
      <w:r w:rsidR="005D10C6" w:rsidRPr="00735AB2">
        <w:t xml:space="preserve"> </w:t>
      </w:r>
      <w:r w:rsidR="007F76BE" w:rsidRPr="00735AB2">
        <w:t xml:space="preserve">the world </w:t>
      </w:r>
      <w:r w:rsidR="007306CC" w:rsidRPr="00735AB2">
        <w:t xml:space="preserve">experienced </w:t>
      </w:r>
      <w:r w:rsidR="00F233D5" w:rsidRPr="00735AB2">
        <w:t xml:space="preserve">a </w:t>
      </w:r>
      <w:r w:rsidR="007306CC" w:rsidRPr="00735AB2">
        <w:t>global emergency of unseen proportions for a peace-time era</w:t>
      </w:r>
      <w:r w:rsidR="00F233D5" w:rsidRPr="00735AB2">
        <w:t xml:space="preserve">. </w:t>
      </w:r>
      <w:r w:rsidR="000C2BCF" w:rsidRPr="00735AB2">
        <w:t xml:space="preserve">The 2020 </w:t>
      </w:r>
      <w:r w:rsidR="005D10C6" w:rsidRPr="00735AB2">
        <w:t>Sustainable Development Goals</w:t>
      </w:r>
      <w:r w:rsidR="005D10C6" w:rsidRPr="00735AB2" w:rsidDel="005D10C6">
        <w:t xml:space="preserve"> </w:t>
      </w:r>
      <w:r w:rsidR="000C2BCF" w:rsidRPr="00735AB2">
        <w:t xml:space="preserve">Report issued a global alert, pointing out that </w:t>
      </w:r>
      <w:r w:rsidR="001E13FA" w:rsidRPr="00735AB2">
        <w:t xml:space="preserve">the world faces the worst economic recession since the great depression, with </w:t>
      </w:r>
      <w:r w:rsidR="00051037">
        <w:t>gross domestic product (</w:t>
      </w:r>
      <w:r w:rsidR="001E13FA" w:rsidRPr="00735AB2">
        <w:t>GDP</w:t>
      </w:r>
      <w:r w:rsidR="00051037">
        <w:t>)</w:t>
      </w:r>
      <w:r w:rsidR="001E13FA" w:rsidRPr="00735AB2">
        <w:t xml:space="preserve"> per capita expected to decline </w:t>
      </w:r>
      <w:r w:rsidR="00891A60" w:rsidRPr="00735AB2">
        <w:t>b</w:t>
      </w:r>
      <w:r w:rsidR="001E13FA" w:rsidRPr="00735AB2">
        <w:t xml:space="preserve">y 4.2 per cent in 2020. In a similar </w:t>
      </w:r>
      <w:r w:rsidR="00891A60" w:rsidRPr="00735AB2">
        <w:t xml:space="preserve">vein, </w:t>
      </w:r>
      <w:r w:rsidR="00051037">
        <w:t>the International Monetary Fund</w:t>
      </w:r>
      <w:r w:rsidR="00051037" w:rsidRPr="00735AB2">
        <w:t xml:space="preserve"> </w:t>
      </w:r>
      <w:r w:rsidR="00051037">
        <w:t>(</w:t>
      </w:r>
      <w:r w:rsidR="005A1A83" w:rsidRPr="00735AB2">
        <w:t>IMF</w:t>
      </w:r>
      <w:r w:rsidR="00051037">
        <w:t>)</w:t>
      </w:r>
      <w:r w:rsidR="005A1A83" w:rsidRPr="00735AB2">
        <w:t xml:space="preserve"> warned that several developing countries are at the brink of bankruptcy and default. </w:t>
      </w:r>
      <w:r w:rsidR="00D352C5" w:rsidRPr="00735AB2">
        <w:t>A</w:t>
      </w:r>
      <w:r w:rsidR="00CD4FBD" w:rsidRPr="00735AB2">
        <w:t xml:space="preserve">s a direct implication of </w:t>
      </w:r>
      <w:r w:rsidR="00D352C5" w:rsidRPr="00735AB2">
        <w:t xml:space="preserve">these developments, </w:t>
      </w:r>
      <w:r w:rsidR="00CD4FBD" w:rsidRPr="00735AB2">
        <w:t xml:space="preserve">we </w:t>
      </w:r>
      <w:r w:rsidR="006D5C12" w:rsidRPr="00735AB2">
        <w:t xml:space="preserve">observe </w:t>
      </w:r>
      <w:r w:rsidR="00CD4FBD" w:rsidRPr="00735AB2">
        <w:t>increases in poverty and income inequality in several vulnerable countrie</w:t>
      </w:r>
      <w:r w:rsidR="00D352C5" w:rsidRPr="00735AB2">
        <w:t>s</w:t>
      </w:r>
      <w:r w:rsidR="006D5C12" w:rsidRPr="00735AB2">
        <w:t xml:space="preserve">. </w:t>
      </w:r>
      <w:r w:rsidR="008A0ABF" w:rsidRPr="00735AB2">
        <w:t xml:space="preserve">It is also becoming increasingly clear that, as a result, </w:t>
      </w:r>
      <w:r w:rsidR="0085321C" w:rsidRPr="00735AB2">
        <w:t xml:space="preserve">several </w:t>
      </w:r>
      <w:r w:rsidR="008A0ABF" w:rsidRPr="00735AB2">
        <w:t>U</w:t>
      </w:r>
      <w:r w:rsidR="00ED7F7E">
        <w:t xml:space="preserve">nited </w:t>
      </w:r>
      <w:r w:rsidR="008A0ABF" w:rsidRPr="00735AB2">
        <w:t>N</w:t>
      </w:r>
      <w:r w:rsidR="00ED7F7E">
        <w:t>ations</w:t>
      </w:r>
      <w:r w:rsidR="008A0ABF" w:rsidRPr="00735AB2">
        <w:t xml:space="preserve"> </w:t>
      </w:r>
      <w:r w:rsidR="008A0ABF" w:rsidRPr="00735AB2">
        <w:lastRenderedPageBreak/>
        <w:t xml:space="preserve">Member States will face serious challenges in achieving the </w:t>
      </w:r>
      <w:r w:rsidR="005D10C6" w:rsidRPr="00735AB2">
        <w:t>Sustainable Development Goals</w:t>
      </w:r>
      <w:r w:rsidR="005D10C6" w:rsidRPr="00735AB2" w:rsidDel="005D10C6">
        <w:t xml:space="preserve"> </w:t>
      </w:r>
      <w:r w:rsidR="008A0ABF" w:rsidRPr="00735AB2">
        <w:t>targets.</w:t>
      </w:r>
      <w:r w:rsidR="00CD4FBD" w:rsidRPr="00735AB2">
        <w:t xml:space="preserve"> </w:t>
      </w:r>
    </w:p>
    <w:p w14:paraId="29FE2D54" w14:textId="28A36BE0" w:rsidR="007D344F" w:rsidRPr="00735AB2" w:rsidRDefault="00743147" w:rsidP="007F76BE">
      <w:pPr>
        <w:pStyle w:val="SingleTxtG"/>
      </w:pPr>
      <w:r w:rsidRPr="00735AB2">
        <w:t>2.</w:t>
      </w:r>
      <w:r w:rsidRPr="00735AB2">
        <w:tab/>
      </w:r>
      <w:r w:rsidR="00954FD8" w:rsidRPr="00735AB2">
        <w:t>Under these circumstances re</w:t>
      </w:r>
      <w:r w:rsidR="002D037E" w:rsidRPr="00735AB2">
        <w:t>turning to</w:t>
      </w:r>
      <w:r w:rsidR="004568C9" w:rsidRPr="00735AB2">
        <w:t xml:space="preserve"> </w:t>
      </w:r>
      <w:r w:rsidR="002D037E" w:rsidRPr="00735AB2">
        <w:t xml:space="preserve">a robust and quick recovery is </w:t>
      </w:r>
      <w:r w:rsidR="008E1E29" w:rsidRPr="00735AB2">
        <w:t>a top priority, nationally, regionally and globally</w:t>
      </w:r>
      <w:r w:rsidR="004568C9" w:rsidRPr="00735AB2">
        <w:t xml:space="preserve">. </w:t>
      </w:r>
      <w:r w:rsidR="007D344F" w:rsidRPr="00735AB2">
        <w:t xml:space="preserve">There is no doubt that from an economic, social and operational point of view, transport has a key role to play in supporting </w:t>
      </w:r>
      <w:r w:rsidR="00F70135" w:rsidRPr="00735AB2">
        <w:t xml:space="preserve">worldwide </w:t>
      </w:r>
      <w:r w:rsidR="007D344F" w:rsidRPr="00735AB2">
        <w:t xml:space="preserve">recovery </w:t>
      </w:r>
      <w:r w:rsidR="00F70135" w:rsidRPr="00735AB2">
        <w:t>efforts</w:t>
      </w:r>
      <w:r w:rsidR="007D344F" w:rsidRPr="00735AB2">
        <w:t>.</w:t>
      </w:r>
    </w:p>
    <w:p w14:paraId="6115BB40" w14:textId="4DFD4683" w:rsidR="00B1749C" w:rsidRPr="00735AB2" w:rsidRDefault="00743147" w:rsidP="007F76BE">
      <w:pPr>
        <w:pStyle w:val="SingleTxtG"/>
      </w:pPr>
      <w:r w:rsidRPr="00735AB2">
        <w:t>3.</w:t>
      </w:r>
      <w:r w:rsidRPr="00735AB2">
        <w:tab/>
      </w:r>
      <w:r w:rsidR="004568C9" w:rsidRPr="00735AB2">
        <w:t xml:space="preserve">At the same time, </w:t>
      </w:r>
      <w:r w:rsidR="00150539" w:rsidRPr="00735AB2">
        <w:t xml:space="preserve">returning to a “business-as-usual”-based recovery would mean that the lessons of the emergency the world </w:t>
      </w:r>
      <w:r w:rsidR="005D10C6" w:rsidRPr="00735AB2">
        <w:t xml:space="preserve">still </w:t>
      </w:r>
      <w:r w:rsidR="00150539" w:rsidRPr="00735AB2">
        <w:t xml:space="preserve">faces today have not been fully utilized. To accomplish </w:t>
      </w:r>
      <w:r w:rsidR="00150539" w:rsidRPr="00735AB2">
        <w:rPr>
          <w:i/>
          <w:iCs/>
        </w:rPr>
        <w:t>sustained</w:t>
      </w:r>
      <w:r w:rsidR="00150539" w:rsidRPr="00735AB2">
        <w:t xml:space="preserve"> recovery, </w:t>
      </w:r>
      <w:r w:rsidR="00F5527A" w:rsidRPr="00735AB2">
        <w:t xml:space="preserve">it is equally critical </w:t>
      </w:r>
      <w:r w:rsidR="00150539" w:rsidRPr="00735AB2">
        <w:t xml:space="preserve">to fully understand the weaknesses exposed by the responses to the pandemic impacting the supply chains of the inland transport systems that link economic activity worldwide and bridge national borders. Only when </w:t>
      </w:r>
      <w:r w:rsidR="00B1749C" w:rsidRPr="00735AB2">
        <w:t xml:space="preserve">these </w:t>
      </w:r>
      <w:r w:rsidR="00150539" w:rsidRPr="00735AB2">
        <w:t>weaknesses</w:t>
      </w:r>
      <w:r w:rsidR="00B1749C" w:rsidRPr="00735AB2">
        <w:t xml:space="preserve"> are addressed</w:t>
      </w:r>
      <w:r w:rsidR="00150539" w:rsidRPr="00735AB2">
        <w:t>, will we be able to assert that we have contributed towards making inland transport systems more resilient and have achieved a sustained, as well as full, recovery</w:t>
      </w:r>
      <w:r w:rsidR="00DD7481" w:rsidRPr="00735AB2">
        <w:t>.</w:t>
      </w:r>
    </w:p>
    <w:p w14:paraId="2A168966" w14:textId="1B3BC2B5" w:rsidR="00E239B9" w:rsidRPr="00735AB2" w:rsidRDefault="00743147" w:rsidP="007F76BE">
      <w:pPr>
        <w:pStyle w:val="SingleTxtG"/>
      </w:pPr>
      <w:r w:rsidRPr="00735AB2">
        <w:t>4.</w:t>
      </w:r>
      <w:r w:rsidRPr="00735AB2">
        <w:tab/>
      </w:r>
      <w:r w:rsidR="00D536D2" w:rsidRPr="00735AB2">
        <w:t xml:space="preserve">The High-level policy segment will contribute </w:t>
      </w:r>
      <w:r w:rsidR="00D111B6" w:rsidRPr="00735AB2">
        <w:t>to</w:t>
      </w:r>
      <w:r w:rsidR="00BE4266" w:rsidRPr="00735AB2">
        <w:t xml:space="preserve"> the</w:t>
      </w:r>
      <w:r w:rsidR="00D111B6" w:rsidRPr="00735AB2">
        <w:t xml:space="preserve"> global debate by addressing these questions and by showing </w:t>
      </w:r>
      <w:r w:rsidR="00EC1144" w:rsidRPr="00735AB2">
        <w:t xml:space="preserve">transitioning to sustainable and resilient connectivity </w:t>
      </w:r>
      <w:r w:rsidR="007F76BE" w:rsidRPr="00735AB2">
        <w:t>is an area where “Building back better” is not merely a motto but has a tangible meaning and real positive implications</w:t>
      </w:r>
      <w:r w:rsidR="00EC1144" w:rsidRPr="00735AB2">
        <w:t>.</w:t>
      </w:r>
    </w:p>
    <w:p w14:paraId="0233E874" w14:textId="22B68312" w:rsidR="00E239B9" w:rsidRPr="00735AB2" w:rsidRDefault="00743147" w:rsidP="00E239B9">
      <w:pPr>
        <w:pStyle w:val="SingleTxtG"/>
      </w:pPr>
      <w:r w:rsidRPr="00735AB2">
        <w:t>5</w:t>
      </w:r>
      <w:r w:rsidR="00E239B9" w:rsidRPr="00735AB2">
        <w:t>.</w:t>
      </w:r>
      <w:r w:rsidR="00E239B9" w:rsidRPr="00735AB2">
        <w:tab/>
        <w:t xml:space="preserve">The Inland Transport Committee (ITC) is uniquely situated to contribute to solutions that would </w:t>
      </w:r>
      <w:r w:rsidR="00FE6503" w:rsidRPr="00735AB2">
        <w:t xml:space="preserve">accelerate </w:t>
      </w:r>
      <w:r w:rsidR="00FD2A16" w:rsidRPr="00735AB2">
        <w:t>the transition to sustainable and resilient connectivity</w:t>
      </w:r>
      <w:r w:rsidR="00E239B9" w:rsidRPr="00735AB2">
        <w:t xml:space="preserve">. </w:t>
      </w:r>
      <w:r w:rsidR="000D49CC" w:rsidRPr="00735AB2">
        <w:t xml:space="preserve">Through its </w:t>
      </w:r>
      <w:r w:rsidR="00BE4266" w:rsidRPr="00735AB2">
        <w:t xml:space="preserve">global </w:t>
      </w:r>
      <w:r w:rsidR="000D49CC" w:rsidRPr="00735AB2">
        <w:t>normative and operational impact</w:t>
      </w:r>
      <w:r w:rsidR="00BE4266" w:rsidRPr="00735AB2">
        <w:t xml:space="preserve"> in border-crossing facilitation a</w:t>
      </w:r>
      <w:r w:rsidR="00E239B9" w:rsidRPr="00735AB2">
        <w:t>s a global regulator, solutions proposed at the conference stand to result in real, tangible outcomes.</w:t>
      </w:r>
    </w:p>
    <w:p w14:paraId="1C695035" w14:textId="248AD2F7" w:rsidR="00E239B9" w:rsidRPr="00735AB2" w:rsidRDefault="00E239B9" w:rsidP="00E239B9">
      <w:pPr>
        <w:pStyle w:val="HChG"/>
      </w:pPr>
      <w:r w:rsidRPr="00735AB2">
        <w:tab/>
        <w:t>II.</w:t>
      </w:r>
      <w:r w:rsidRPr="00735AB2">
        <w:tab/>
        <w:t xml:space="preserve">High-level Policy Segment </w:t>
      </w:r>
    </w:p>
    <w:p w14:paraId="74A593FB" w14:textId="51A692F1" w:rsidR="00BB1C33" w:rsidRPr="00735AB2" w:rsidRDefault="00A4360F" w:rsidP="009D4CA7">
      <w:pPr>
        <w:pStyle w:val="SingleTxtG"/>
      </w:pPr>
      <w:r w:rsidRPr="00735AB2">
        <w:t>6</w:t>
      </w:r>
      <w:r w:rsidR="00E239B9" w:rsidRPr="00735AB2">
        <w:t>.</w:t>
      </w:r>
      <w:r w:rsidR="00E239B9" w:rsidRPr="00735AB2">
        <w:tab/>
      </w:r>
      <w:r w:rsidR="00BB1C33" w:rsidRPr="00735AB2">
        <w:t xml:space="preserve">Building on recommendations by the </w:t>
      </w:r>
      <w:r w:rsidR="009D4CA7">
        <w:t>ITC</w:t>
      </w:r>
      <w:r w:rsidR="00BB1C33" w:rsidRPr="00735AB2">
        <w:t xml:space="preserve"> and Bureau debates, the general theme of the policy segment will be on </w:t>
      </w:r>
      <w:r w:rsidR="00A510AA" w:rsidRPr="00A510AA">
        <w:t>Back to a sustainable future: achieving resilient connectivity for post-COVID-19 sustained recovery and economic growth</w:t>
      </w:r>
      <w:r w:rsidR="00BB1C33" w:rsidRPr="00735AB2">
        <w:t>. This theme will provide an opportunity to reflect on the unique assets of the Committee, highlighting its value added and underlining its future potential in a heavily impacted global economy due to the pandemic and a fast-changing production and trade landscape regionally and globally.</w:t>
      </w:r>
    </w:p>
    <w:p w14:paraId="4252C081" w14:textId="357D2B09" w:rsidR="00E239B9" w:rsidRPr="00735AB2" w:rsidRDefault="00A4360F" w:rsidP="00E239B9">
      <w:pPr>
        <w:pStyle w:val="SingleTxtG"/>
      </w:pPr>
      <w:r w:rsidRPr="00735AB2">
        <w:t>7</w:t>
      </w:r>
      <w:r w:rsidR="00E239B9" w:rsidRPr="00735AB2">
        <w:t>.</w:t>
      </w:r>
      <w:r w:rsidR="00E239B9" w:rsidRPr="00735AB2">
        <w:tab/>
        <w:t xml:space="preserve">The draft programme on </w:t>
      </w:r>
      <w:r w:rsidR="00E239B9" w:rsidRPr="00735AB2">
        <w:rPr>
          <w:iCs/>
        </w:rPr>
        <w:t>Tuesday, 2</w:t>
      </w:r>
      <w:r w:rsidR="00740230" w:rsidRPr="00735AB2">
        <w:rPr>
          <w:iCs/>
        </w:rPr>
        <w:t>3</w:t>
      </w:r>
      <w:r w:rsidR="00E239B9" w:rsidRPr="00735AB2">
        <w:rPr>
          <w:iCs/>
        </w:rPr>
        <w:t xml:space="preserve"> February 202</w:t>
      </w:r>
      <w:r w:rsidR="00740230" w:rsidRPr="00735AB2">
        <w:rPr>
          <w:iCs/>
        </w:rPr>
        <w:t>1</w:t>
      </w:r>
      <w:r w:rsidR="00E239B9" w:rsidRPr="00735AB2">
        <w:rPr>
          <w:i/>
        </w:rPr>
        <w:t>,</w:t>
      </w:r>
      <w:r w:rsidR="00E239B9" w:rsidRPr="00735AB2">
        <w:t xml:space="preserve"> includes: </w:t>
      </w:r>
    </w:p>
    <w:p w14:paraId="7BAFE3AF" w14:textId="47B441E0" w:rsidR="00E239B9" w:rsidRPr="00735AB2" w:rsidRDefault="00E239B9" w:rsidP="00E239B9">
      <w:pPr>
        <w:pStyle w:val="SingleTxtG"/>
        <w:ind w:firstLine="567"/>
      </w:pPr>
      <w:r w:rsidRPr="00735AB2">
        <w:t>(a)</w:t>
      </w:r>
      <w:r w:rsidRPr="00735AB2">
        <w:tab/>
        <w:t xml:space="preserve">Opening </w:t>
      </w:r>
      <w:r w:rsidRPr="00694F5B">
        <w:t xml:space="preserve">statements </w:t>
      </w:r>
      <w:r w:rsidRPr="00427C27">
        <w:t xml:space="preserve">and launch of the publication on </w:t>
      </w:r>
      <w:r w:rsidR="00D42356" w:rsidRPr="00D42356">
        <w:t>Sustainable Transport in the Age of COVID-19 -Practices, Initiatives and Responses: Building pandemic-resilient transport systems</w:t>
      </w:r>
      <w:r w:rsidRPr="00694F5B">
        <w:t>;</w:t>
      </w:r>
    </w:p>
    <w:p w14:paraId="25BEB413" w14:textId="1857B0EE" w:rsidR="00E239B9" w:rsidRPr="00735AB2" w:rsidRDefault="00E239B9" w:rsidP="00E239B9">
      <w:pPr>
        <w:pStyle w:val="SingleTxtG"/>
        <w:ind w:firstLine="567"/>
      </w:pPr>
      <w:r w:rsidRPr="00735AB2">
        <w:t>(b)</w:t>
      </w:r>
      <w:r w:rsidRPr="00735AB2">
        <w:tab/>
        <w:t xml:space="preserve">A keynote speech on the importance of addressing </w:t>
      </w:r>
      <w:r w:rsidR="006038FA" w:rsidRPr="00735AB2">
        <w:t xml:space="preserve">connectivity </w:t>
      </w:r>
      <w:r w:rsidRPr="00735AB2">
        <w:t xml:space="preserve">challenges in transport </w:t>
      </w:r>
      <w:r w:rsidR="006618DB" w:rsidRPr="00735AB2">
        <w:t xml:space="preserve">under emergency situations </w:t>
      </w:r>
      <w:r w:rsidRPr="00735AB2">
        <w:t>and the role of the Committee in creating solutions;</w:t>
      </w:r>
    </w:p>
    <w:p w14:paraId="200F0E5A" w14:textId="6950019E" w:rsidR="00E239B9" w:rsidRPr="00735AB2" w:rsidRDefault="00E239B9" w:rsidP="00E239B9">
      <w:pPr>
        <w:pStyle w:val="SingleTxtG"/>
        <w:ind w:firstLine="567"/>
      </w:pPr>
      <w:r w:rsidRPr="00735AB2">
        <w:t>(c)</w:t>
      </w:r>
      <w:r w:rsidRPr="00735AB2">
        <w:tab/>
      </w:r>
      <w:r w:rsidR="008225C3" w:rsidRPr="00735AB2">
        <w:t>Two</w:t>
      </w:r>
      <w:r w:rsidRPr="00735AB2">
        <w:t xml:space="preserve"> thematic panel debates with up to </w:t>
      </w:r>
      <w:r w:rsidR="005D10C6">
        <w:t>five</w:t>
      </w:r>
      <w:r w:rsidR="005D10C6" w:rsidRPr="00735AB2">
        <w:t xml:space="preserve"> </w:t>
      </w:r>
      <w:r w:rsidRPr="00735AB2">
        <w:t>panellists each and followed by scheduled interventions from the floor;</w:t>
      </w:r>
    </w:p>
    <w:p w14:paraId="7CA6572D" w14:textId="111707F9" w:rsidR="00E239B9" w:rsidRPr="00735AB2" w:rsidRDefault="00E239B9" w:rsidP="00E239B9">
      <w:pPr>
        <w:pStyle w:val="SingleTxtG"/>
        <w:ind w:firstLine="567"/>
      </w:pPr>
      <w:r w:rsidRPr="00735AB2">
        <w:t>(d)</w:t>
      </w:r>
      <w:r w:rsidRPr="00735AB2">
        <w:tab/>
        <w:t xml:space="preserve">The conference will conclude with the endorsement of the </w:t>
      </w:r>
      <w:r w:rsidR="000A0E30">
        <w:t>Ministerial</w:t>
      </w:r>
      <w:r w:rsidR="000A0E30" w:rsidRPr="00735AB2">
        <w:t xml:space="preserve"> </w:t>
      </w:r>
      <w:r w:rsidR="008225C3" w:rsidRPr="00735AB2">
        <w:t>Resolution</w:t>
      </w:r>
      <w:r w:rsidRPr="00735AB2">
        <w:t>.</w:t>
      </w:r>
    </w:p>
    <w:p w14:paraId="146B5A4D" w14:textId="20A42BAF" w:rsidR="00E239B9" w:rsidRPr="00735AB2" w:rsidRDefault="00E239B9" w:rsidP="00E239B9">
      <w:pPr>
        <w:pStyle w:val="H1G"/>
      </w:pPr>
      <w:r w:rsidRPr="00735AB2">
        <w:tab/>
        <w:t>A.</w:t>
      </w:r>
      <w:r w:rsidRPr="00735AB2">
        <w:tab/>
      </w:r>
      <w:r w:rsidRPr="00427C27">
        <w:t xml:space="preserve">Opening, launch of </w:t>
      </w:r>
      <w:r w:rsidR="008644F6" w:rsidRPr="00427C27">
        <w:t xml:space="preserve">emergency </w:t>
      </w:r>
      <w:r w:rsidR="00A43DD6" w:rsidRPr="00427C27">
        <w:t xml:space="preserve">resilience </w:t>
      </w:r>
      <w:r w:rsidRPr="00427C27">
        <w:t xml:space="preserve">publication and </w:t>
      </w:r>
      <w:r w:rsidRPr="00735AB2">
        <w:t xml:space="preserve">keynote speech </w:t>
      </w:r>
    </w:p>
    <w:p w14:paraId="757406AC" w14:textId="154D8EF5" w:rsidR="00E239B9" w:rsidRPr="00735AB2" w:rsidRDefault="00A4360F" w:rsidP="00E239B9">
      <w:pPr>
        <w:pStyle w:val="SingleTxtG"/>
      </w:pPr>
      <w:r w:rsidRPr="00735AB2">
        <w:t>8</w:t>
      </w:r>
      <w:r w:rsidR="00E239B9" w:rsidRPr="00735AB2">
        <w:t>.</w:t>
      </w:r>
      <w:r w:rsidR="00E239B9" w:rsidRPr="00735AB2">
        <w:tab/>
        <w:t xml:space="preserve">The traditional opening statements will be followed </w:t>
      </w:r>
      <w:r w:rsidR="00E239B9" w:rsidRPr="00441DF2">
        <w:t>by the official launch of a</w:t>
      </w:r>
      <w:r w:rsidR="00BD7BD4" w:rsidRPr="00441DF2">
        <w:t xml:space="preserve">n in-depth </w:t>
      </w:r>
      <w:r w:rsidR="00E239B9" w:rsidRPr="00441DF2">
        <w:t xml:space="preserve">publication on </w:t>
      </w:r>
      <w:r w:rsidR="00BD7BD4" w:rsidRPr="00441DF2">
        <w:t xml:space="preserve">the resilience of the inland transport </w:t>
      </w:r>
      <w:r w:rsidR="00047B21" w:rsidRPr="00441DF2">
        <w:t>systems</w:t>
      </w:r>
      <w:r w:rsidR="00BD7BD4" w:rsidRPr="00441DF2">
        <w:t xml:space="preserve"> to pandemics and international emergency situations</w:t>
      </w:r>
      <w:r w:rsidR="00E239B9" w:rsidRPr="00441DF2">
        <w:t xml:space="preserve">. </w:t>
      </w:r>
      <w:r w:rsidR="00E239B9" w:rsidRPr="00735AB2">
        <w:t xml:space="preserve">A keynote speech will follow on the vital need of finding and promoting </w:t>
      </w:r>
      <w:r w:rsidR="00325859" w:rsidRPr="00735AB2">
        <w:t>effective</w:t>
      </w:r>
      <w:r w:rsidR="00E239B9" w:rsidRPr="00735AB2">
        <w:t xml:space="preserve"> solutions to </w:t>
      </w:r>
      <w:r w:rsidR="002A2274" w:rsidRPr="00735AB2">
        <w:t>enhance the preparedness</w:t>
      </w:r>
      <w:r w:rsidR="00D25ED9" w:rsidRPr="00735AB2">
        <w:t xml:space="preserve"> of inland transport systems against </w:t>
      </w:r>
      <w:r w:rsidR="003C323D" w:rsidRPr="00735AB2">
        <w:t xml:space="preserve">emergencies and other types </w:t>
      </w:r>
      <w:r w:rsidR="00422B90" w:rsidRPr="00735AB2">
        <w:t xml:space="preserve">of </w:t>
      </w:r>
      <w:r w:rsidR="002A2274" w:rsidRPr="00735AB2">
        <w:t xml:space="preserve">unpredictable </w:t>
      </w:r>
      <w:r w:rsidR="00E239B9" w:rsidRPr="00735AB2">
        <w:t xml:space="preserve">challenges, while addressing issues that may arise when </w:t>
      </w:r>
      <w:r w:rsidR="00840125" w:rsidRPr="00735AB2">
        <w:t>such emergencies do occur</w:t>
      </w:r>
      <w:r w:rsidR="00E239B9" w:rsidRPr="00735AB2">
        <w:t xml:space="preserve">. It will also place an emphasis on the strategic role of the Committee in providing a comprehensive cooperation platform to forge </w:t>
      </w:r>
      <w:r w:rsidR="00610C47" w:rsidRPr="00735AB2">
        <w:t xml:space="preserve">concerted </w:t>
      </w:r>
      <w:r w:rsidR="00E239B9" w:rsidRPr="00735AB2">
        <w:t xml:space="preserve">solutions and enhance international collaboration. </w:t>
      </w:r>
      <w:r w:rsidR="00C16F77" w:rsidRPr="00735AB2">
        <w:t xml:space="preserve">It is increasingly becoming evident that </w:t>
      </w:r>
      <w:r w:rsidR="00C16F77" w:rsidRPr="00735AB2">
        <w:lastRenderedPageBreak/>
        <w:t>i</w:t>
      </w:r>
      <w:r w:rsidR="00E239B9" w:rsidRPr="00735AB2">
        <w:t xml:space="preserve">mproving the </w:t>
      </w:r>
      <w:r w:rsidR="008644F6" w:rsidRPr="00735AB2">
        <w:t xml:space="preserve">emergency </w:t>
      </w:r>
      <w:r w:rsidR="00D26F0C" w:rsidRPr="00735AB2">
        <w:t xml:space="preserve">resilience </w:t>
      </w:r>
      <w:r w:rsidR="00E239B9" w:rsidRPr="00735AB2">
        <w:t xml:space="preserve">of transport </w:t>
      </w:r>
      <w:r w:rsidR="00C16F77" w:rsidRPr="00735AB2">
        <w:t xml:space="preserve">is </w:t>
      </w:r>
      <w:r w:rsidR="00E239B9" w:rsidRPr="00735AB2">
        <w:t xml:space="preserve">of </w:t>
      </w:r>
      <w:r w:rsidR="00C16F77" w:rsidRPr="00735AB2">
        <w:t xml:space="preserve">critical </w:t>
      </w:r>
      <w:r w:rsidR="00E239B9" w:rsidRPr="00735AB2">
        <w:t xml:space="preserve">importance to </w:t>
      </w:r>
      <w:r w:rsidR="00C16F77" w:rsidRPr="00735AB2">
        <w:t xml:space="preserve">ensure </w:t>
      </w:r>
      <w:r w:rsidR="00A747DF" w:rsidRPr="00735AB2">
        <w:t xml:space="preserve">the achievement of </w:t>
      </w:r>
      <w:r w:rsidR="00E239B9" w:rsidRPr="00735AB2">
        <w:t xml:space="preserve">the Sustainable Development Goals by 2030. ITC has demonstrated its long and successful track record of real, positive impacts when working </w:t>
      </w:r>
      <w:r w:rsidR="00B06C58" w:rsidRPr="00735AB2">
        <w:t xml:space="preserve">under business as usual conditions and </w:t>
      </w:r>
      <w:r w:rsidR="00E239B9" w:rsidRPr="00735AB2">
        <w:t xml:space="preserve">in partnership with a wide range of stakeholders from the public and private sectors. </w:t>
      </w:r>
      <w:r w:rsidR="00B06C58" w:rsidRPr="00735AB2">
        <w:t xml:space="preserve">What is </w:t>
      </w:r>
      <w:r w:rsidR="002373E6" w:rsidRPr="00735AB2">
        <w:t xml:space="preserve">new and urgent is to achieve a </w:t>
      </w:r>
      <w:r w:rsidR="00E239B9" w:rsidRPr="00735AB2">
        <w:t xml:space="preserve">strong commitment to </w:t>
      </w:r>
      <w:r w:rsidR="00A816B7" w:rsidRPr="00735AB2">
        <w:t xml:space="preserve">enhance cooperation frameworks </w:t>
      </w:r>
      <w:r w:rsidR="00FB36A0" w:rsidRPr="00735AB2">
        <w:t xml:space="preserve">for </w:t>
      </w:r>
      <w:r w:rsidR="00E239B9" w:rsidRPr="00735AB2">
        <w:t xml:space="preserve">existing inland transport systems </w:t>
      </w:r>
      <w:r w:rsidR="00FB36A0" w:rsidRPr="00735AB2">
        <w:t xml:space="preserve">in hard times and </w:t>
      </w:r>
      <w:r w:rsidR="007F1DA8" w:rsidRPr="00735AB2">
        <w:t xml:space="preserve">under </w:t>
      </w:r>
      <w:r w:rsidR="00FB36A0" w:rsidRPr="00735AB2">
        <w:t xml:space="preserve">atypical operating </w:t>
      </w:r>
      <w:r w:rsidR="007F1DA8" w:rsidRPr="00735AB2">
        <w:t>conditions</w:t>
      </w:r>
      <w:r w:rsidR="00FB36A0" w:rsidRPr="00735AB2">
        <w:t xml:space="preserve">, such as those </w:t>
      </w:r>
      <w:r w:rsidR="00A86B27" w:rsidRPr="00735AB2">
        <w:t xml:space="preserve">that occurred with the COVID-19 pandemic, in order to </w:t>
      </w:r>
      <w:r w:rsidR="00736490" w:rsidRPr="00735AB2">
        <w:t xml:space="preserve">achieve sustained recovery and economic growth at both micro and macro levels of </w:t>
      </w:r>
      <w:r w:rsidR="00E239B9" w:rsidRPr="00735AB2">
        <w:rPr>
          <w:color w:val="000000" w:themeColor="text1"/>
        </w:rPr>
        <w:t>economic activities.</w:t>
      </w:r>
    </w:p>
    <w:p w14:paraId="7F30F85B" w14:textId="77777777" w:rsidR="00E239B9" w:rsidRPr="00735AB2" w:rsidRDefault="00E239B9" w:rsidP="00E239B9">
      <w:pPr>
        <w:pStyle w:val="H1G"/>
      </w:pPr>
      <w:r w:rsidRPr="00735AB2">
        <w:tab/>
        <w:t>B.</w:t>
      </w:r>
      <w:r w:rsidRPr="00735AB2">
        <w:tab/>
        <w:t>Panel debates</w:t>
      </w:r>
    </w:p>
    <w:p w14:paraId="14B4AF46" w14:textId="7BDBA195" w:rsidR="00E239B9" w:rsidRPr="00735AB2" w:rsidRDefault="00A4360F" w:rsidP="00E239B9">
      <w:pPr>
        <w:pStyle w:val="SingleTxtG"/>
      </w:pPr>
      <w:r w:rsidRPr="00735AB2">
        <w:t>9</w:t>
      </w:r>
      <w:r w:rsidR="00E239B9" w:rsidRPr="00735AB2">
        <w:t>.</w:t>
      </w:r>
      <w:r w:rsidR="00E239B9" w:rsidRPr="00735AB2">
        <w:tab/>
      </w:r>
      <w:r w:rsidR="00C82E5C" w:rsidRPr="00735AB2">
        <w:t>Two</w:t>
      </w:r>
      <w:r w:rsidR="00E239B9" w:rsidRPr="00735AB2">
        <w:t xml:space="preserve"> high-level panel debates will follow, with themes on critical policy and regulatory issues of direct relevance to the challenge of </w:t>
      </w:r>
      <w:r w:rsidR="00615C33" w:rsidRPr="00735AB2">
        <w:t xml:space="preserve">achieving emergency resilience </w:t>
      </w:r>
      <w:r w:rsidR="000A093C" w:rsidRPr="00735AB2">
        <w:t xml:space="preserve">and preparedness </w:t>
      </w:r>
      <w:r w:rsidR="00E239B9" w:rsidRPr="00735AB2">
        <w:t xml:space="preserve">more broadly in the work of ITC and its subsidiary bodies. The panel themes are: </w:t>
      </w:r>
    </w:p>
    <w:p w14:paraId="7339C630" w14:textId="77777777" w:rsidR="00F03365" w:rsidRPr="00735AB2" w:rsidRDefault="00F03365" w:rsidP="00F03365">
      <w:pPr>
        <w:spacing w:after="120"/>
        <w:ind w:left="1134" w:right="1134" w:firstLine="567"/>
      </w:pPr>
      <w:r w:rsidRPr="00735AB2">
        <w:t>(a)</w:t>
      </w:r>
      <w:r w:rsidRPr="00735AB2">
        <w:tab/>
        <w:t>Leveraging existing international transport connectivity solutions as enablers of economic growth and development: what room for enhanced international agreements?</w:t>
      </w:r>
    </w:p>
    <w:p w14:paraId="4ACE8582" w14:textId="6FFE813F" w:rsidR="00E239B9" w:rsidRPr="00735AB2" w:rsidRDefault="00F03365" w:rsidP="00051037">
      <w:pPr>
        <w:spacing w:after="120"/>
        <w:ind w:left="1134" w:right="1134" w:firstLine="567"/>
      </w:pPr>
      <w:r w:rsidRPr="00735AB2">
        <w:tab/>
        <w:t>(b)</w:t>
      </w:r>
      <w:r w:rsidRPr="00735AB2">
        <w:tab/>
        <w:t xml:space="preserve">First or last response in a global emergency? International transport conventions as a catalyst of concerted national responses </w:t>
      </w:r>
    </w:p>
    <w:p w14:paraId="6FE49A4D" w14:textId="2241CAD5" w:rsidR="00E239B9" w:rsidRPr="00735AB2" w:rsidRDefault="00A4360F" w:rsidP="00E239B9">
      <w:pPr>
        <w:pStyle w:val="SingleTxtG"/>
      </w:pPr>
      <w:r w:rsidRPr="00735AB2">
        <w:t>10</w:t>
      </w:r>
      <w:r w:rsidR="00E239B9" w:rsidRPr="00735AB2">
        <w:t>.</w:t>
      </w:r>
      <w:r w:rsidR="00E239B9" w:rsidRPr="00735AB2">
        <w:tab/>
        <w:t xml:space="preserve">Each panel debate will accommodate up to </w:t>
      </w:r>
      <w:r w:rsidR="005D10C6">
        <w:t>five</w:t>
      </w:r>
      <w:r w:rsidR="005D10C6" w:rsidRPr="00735AB2">
        <w:t xml:space="preserve"> </w:t>
      </w:r>
      <w:r w:rsidR="00E239B9" w:rsidRPr="00735AB2">
        <w:t xml:space="preserve">high-level panellists. </w:t>
      </w:r>
    </w:p>
    <w:p w14:paraId="30006027" w14:textId="510F1C21" w:rsidR="00E239B9" w:rsidRPr="00735AB2" w:rsidRDefault="00A4360F" w:rsidP="00E239B9">
      <w:pPr>
        <w:pStyle w:val="SingleTxtG"/>
      </w:pPr>
      <w:r w:rsidRPr="00735AB2">
        <w:t>11</w:t>
      </w:r>
      <w:r w:rsidR="00E239B9" w:rsidRPr="00735AB2">
        <w:t>.</w:t>
      </w:r>
      <w:r w:rsidR="00E239B9" w:rsidRPr="00735AB2">
        <w:tab/>
        <w:t xml:space="preserve">Each debate will be moderated, and will last approximately </w:t>
      </w:r>
      <w:r w:rsidR="0047406F" w:rsidRPr="00735AB2">
        <w:t>4</w:t>
      </w:r>
      <w:r w:rsidR="00E239B9" w:rsidRPr="00735AB2">
        <w:t xml:space="preserve">0 minutes, starting with short statements of </w:t>
      </w:r>
      <w:r w:rsidR="005D10C6">
        <w:t>five</w:t>
      </w:r>
      <w:r w:rsidR="005D10C6" w:rsidRPr="00735AB2">
        <w:t xml:space="preserve"> </w:t>
      </w:r>
      <w:r w:rsidR="00E239B9" w:rsidRPr="00735AB2">
        <w:t>minutes by the panellists. The panellist’s statements will be followed by scheduled high-level interventions from the floor (up to three minutes each). Statements and interventions will be followed by an open discussion.</w:t>
      </w:r>
    </w:p>
    <w:p w14:paraId="19758C77" w14:textId="7791DB0C" w:rsidR="00E239B9" w:rsidRPr="00735AB2" w:rsidRDefault="00E239B9" w:rsidP="00E239B9">
      <w:pPr>
        <w:pStyle w:val="H23G"/>
      </w:pPr>
      <w:r w:rsidRPr="00735AB2">
        <w:tab/>
        <w:t>1.</w:t>
      </w:r>
      <w:r w:rsidRPr="00735AB2">
        <w:tab/>
        <w:t xml:space="preserve">Panel I: </w:t>
      </w:r>
      <w:r w:rsidR="0047406F" w:rsidRPr="00735AB2">
        <w:t>Leveraging existing international transport connectivity solutions as enablers of economic growth and development: what room for enhanced international agreements?</w:t>
      </w:r>
    </w:p>
    <w:p w14:paraId="3E267811" w14:textId="4BB6F428" w:rsidR="000E7625" w:rsidRPr="00735AB2" w:rsidRDefault="00A4360F" w:rsidP="00B66EAE">
      <w:pPr>
        <w:pStyle w:val="SingleTxtG"/>
      </w:pPr>
      <w:r w:rsidRPr="00735AB2">
        <w:t>12</w:t>
      </w:r>
      <w:r w:rsidR="00B66EAE" w:rsidRPr="00735AB2">
        <w:t>.</w:t>
      </w:r>
      <w:r w:rsidR="00B66EAE" w:rsidRPr="00735AB2">
        <w:tab/>
      </w:r>
      <w:r w:rsidR="000E7625" w:rsidRPr="00735AB2">
        <w:t xml:space="preserve">Here are some sobering facts from the 2020 </w:t>
      </w:r>
      <w:r w:rsidR="005D10C6" w:rsidRPr="00735AB2">
        <w:t>Sustainable Development Goals</w:t>
      </w:r>
      <w:r w:rsidR="005D10C6" w:rsidRPr="00735AB2" w:rsidDel="005D10C6">
        <w:t xml:space="preserve"> </w:t>
      </w:r>
      <w:r w:rsidR="000E7625" w:rsidRPr="00735AB2">
        <w:t xml:space="preserve">report: </w:t>
      </w:r>
    </w:p>
    <w:p w14:paraId="301066CE" w14:textId="22DA7047" w:rsidR="000E7625" w:rsidRPr="00735AB2" w:rsidRDefault="007B73A7" w:rsidP="007B73A7">
      <w:pPr>
        <w:pStyle w:val="Bullet1G"/>
        <w:numPr>
          <w:ilvl w:val="0"/>
          <w:numId w:val="0"/>
        </w:numPr>
        <w:tabs>
          <w:tab w:val="left" w:pos="1701"/>
        </w:tabs>
        <w:ind w:left="1701" w:hanging="170"/>
      </w:pPr>
      <w:r w:rsidRPr="00735AB2">
        <w:t>•</w:t>
      </w:r>
      <w:r w:rsidRPr="00735AB2">
        <w:tab/>
      </w:r>
      <w:r w:rsidR="005D10C6" w:rsidRPr="00735AB2">
        <w:t xml:space="preserve">in 2020 </w:t>
      </w:r>
      <w:r w:rsidR="000E7625" w:rsidRPr="00735AB2">
        <w:t xml:space="preserve">the world has seen the first increase in global poverty in decades with more than 70 million people pushed into extreme poverty. </w:t>
      </w:r>
    </w:p>
    <w:p w14:paraId="0044BDEA" w14:textId="5C82D962" w:rsidR="000E7625" w:rsidRPr="00735AB2" w:rsidRDefault="007B73A7" w:rsidP="007B73A7">
      <w:pPr>
        <w:pStyle w:val="Bullet1G"/>
        <w:numPr>
          <w:ilvl w:val="0"/>
          <w:numId w:val="0"/>
        </w:numPr>
        <w:tabs>
          <w:tab w:val="left" w:pos="1701"/>
        </w:tabs>
        <w:ind w:left="1701" w:hanging="170"/>
      </w:pPr>
      <w:r w:rsidRPr="00735AB2">
        <w:t>•</w:t>
      </w:r>
      <w:r w:rsidRPr="00735AB2">
        <w:tab/>
      </w:r>
      <w:r w:rsidR="000E7625" w:rsidRPr="00735AB2">
        <w:t>The pandemic is an additional threat to food systems</w:t>
      </w:r>
      <w:r w:rsidR="00FB6995" w:rsidRPr="00735AB2">
        <w:t xml:space="preserve"> and food security</w:t>
      </w:r>
    </w:p>
    <w:p w14:paraId="68365BA6" w14:textId="578D22F4" w:rsidR="000E7625" w:rsidRPr="00735AB2" w:rsidRDefault="007B73A7" w:rsidP="007B73A7">
      <w:pPr>
        <w:pStyle w:val="Bullet1G"/>
        <w:numPr>
          <w:ilvl w:val="0"/>
          <w:numId w:val="0"/>
        </w:numPr>
        <w:tabs>
          <w:tab w:val="left" w:pos="1701"/>
        </w:tabs>
        <w:ind w:left="1701" w:hanging="170"/>
      </w:pPr>
      <w:r w:rsidRPr="00735AB2">
        <w:t>•</w:t>
      </w:r>
      <w:r w:rsidRPr="00735AB2">
        <w:tab/>
      </w:r>
      <w:r w:rsidR="000E7625" w:rsidRPr="00735AB2">
        <w:t>The pandemic has interrupted childhood immunization programmes in around 70 countries</w:t>
      </w:r>
    </w:p>
    <w:p w14:paraId="0866DE81" w14:textId="1AF22BF5" w:rsidR="000E7625" w:rsidRPr="00735AB2" w:rsidRDefault="007B73A7" w:rsidP="007B73A7">
      <w:pPr>
        <w:pStyle w:val="Bullet1G"/>
        <w:numPr>
          <w:ilvl w:val="0"/>
          <w:numId w:val="0"/>
        </w:numPr>
        <w:tabs>
          <w:tab w:val="left" w:pos="1701"/>
        </w:tabs>
        <w:ind w:left="1701" w:hanging="170"/>
      </w:pPr>
      <w:r w:rsidRPr="00735AB2">
        <w:t>•</w:t>
      </w:r>
      <w:r w:rsidRPr="00735AB2">
        <w:tab/>
      </w:r>
      <w:r w:rsidR="000E7625" w:rsidRPr="00735AB2">
        <w:t>School closures kept 90 per cent of all students out of school, thus reversing years of progress on education</w:t>
      </w:r>
    </w:p>
    <w:p w14:paraId="6D72ABA4" w14:textId="7A3D40F7" w:rsidR="000E7625" w:rsidRPr="00735AB2" w:rsidRDefault="007B73A7" w:rsidP="007B73A7">
      <w:pPr>
        <w:pStyle w:val="Bullet1G"/>
        <w:numPr>
          <w:ilvl w:val="0"/>
          <w:numId w:val="0"/>
        </w:numPr>
        <w:tabs>
          <w:tab w:val="left" w:pos="1701"/>
        </w:tabs>
        <w:ind w:left="1701" w:hanging="170"/>
      </w:pPr>
      <w:r w:rsidRPr="00735AB2">
        <w:t>•</w:t>
      </w:r>
      <w:r w:rsidRPr="00735AB2">
        <w:tab/>
      </w:r>
      <w:r w:rsidR="000E7625" w:rsidRPr="00735AB2">
        <w:t>Remote learning remains out of reach for at least 500 million students</w:t>
      </w:r>
    </w:p>
    <w:p w14:paraId="632F95EE" w14:textId="7775B8BE" w:rsidR="000E7625" w:rsidRPr="00735AB2" w:rsidRDefault="007B73A7" w:rsidP="007B73A7">
      <w:pPr>
        <w:pStyle w:val="Bullet1G"/>
        <w:numPr>
          <w:ilvl w:val="0"/>
          <w:numId w:val="0"/>
        </w:numPr>
        <w:tabs>
          <w:tab w:val="left" w:pos="1701"/>
        </w:tabs>
        <w:ind w:left="1701" w:hanging="170"/>
      </w:pPr>
      <w:r w:rsidRPr="00735AB2">
        <w:t>•</w:t>
      </w:r>
      <w:r w:rsidRPr="00735AB2">
        <w:tab/>
      </w:r>
      <w:r w:rsidR="000E7625" w:rsidRPr="00735AB2">
        <w:t>Tourism is facing unprecedented challenges with international tourist movements estimated to have dropped by 0.85 to 1.1 billion arrivals</w:t>
      </w:r>
    </w:p>
    <w:p w14:paraId="4150ED50" w14:textId="1B07BCC6" w:rsidR="00B66EAE" w:rsidRPr="00735AB2" w:rsidRDefault="00C83440" w:rsidP="00B66EAE">
      <w:pPr>
        <w:pStyle w:val="SingleTxtG"/>
      </w:pPr>
      <w:r w:rsidRPr="00735AB2">
        <w:t>13.</w:t>
      </w:r>
      <w:r w:rsidRPr="00735AB2">
        <w:tab/>
      </w:r>
      <w:r w:rsidR="00B66EAE" w:rsidRPr="00735AB2">
        <w:t xml:space="preserve">In today’s world, dominated by the global efforts to accelerate recovery from the economic, social and public health effects of the pandemic, restoring interconnectedness could not be more critical, both as an end and a means underlying global efforts. The first national responses to the COVID-19 pandemic resulted in limiting connectivity and national and international flows of goods and people. These first responses notwithstanding, there is little doubt that in the post-pandemic era and for the years to come, the capacity to participate unimpededly in the global and regional value chains will increasingly become one of the main determinants of economic development and growth. Reverting to the previous equilibrium of physical and nonphysical connectedness may not be automatic or linear but restoring connectivity is critical and an important factor in determining the collective ability of the international community to rationalize and normalize investment, production, distribution and consumption dynamics and trends. </w:t>
      </w:r>
    </w:p>
    <w:p w14:paraId="58ACDC58" w14:textId="3E4445DB" w:rsidR="00B66EAE" w:rsidRPr="00735AB2" w:rsidRDefault="005B3824" w:rsidP="00C60441">
      <w:pPr>
        <w:pStyle w:val="SingleTxtG"/>
      </w:pPr>
      <w:r w:rsidRPr="00735AB2">
        <w:lastRenderedPageBreak/>
        <w:t>1</w:t>
      </w:r>
      <w:r w:rsidR="00B66EAE" w:rsidRPr="00735AB2">
        <w:t>4.</w:t>
      </w:r>
      <w:r w:rsidR="00B66EAE" w:rsidRPr="00735AB2">
        <w:tab/>
        <w:t xml:space="preserve">With these in mind, </w:t>
      </w:r>
      <w:r w:rsidR="00C60441" w:rsidRPr="00735AB2">
        <w:t xml:space="preserve">the first panel of </w:t>
      </w:r>
      <w:r w:rsidR="00B66EAE" w:rsidRPr="00735AB2">
        <w:t xml:space="preserve">the high-level segment </w:t>
      </w:r>
      <w:r w:rsidR="008373F7" w:rsidRPr="00735AB2">
        <w:t xml:space="preserve">will focus on how to </w:t>
      </w:r>
      <w:r w:rsidR="00B66EAE" w:rsidRPr="00735AB2">
        <w:t>leverag</w:t>
      </w:r>
      <w:r w:rsidR="008373F7" w:rsidRPr="00735AB2">
        <w:t>e</w:t>
      </w:r>
      <w:r w:rsidR="00B66EAE" w:rsidRPr="00735AB2">
        <w:t xml:space="preserve"> existing international transport connectivity solutions as enablers of economic growth and development. In the longer-term, the </w:t>
      </w:r>
      <w:bookmarkStart w:id="1" w:name="_Hlk41400126"/>
      <w:r w:rsidR="00B66EAE" w:rsidRPr="00735AB2">
        <w:t xml:space="preserve">physical and nonphysical connectedness </w:t>
      </w:r>
      <w:bookmarkEnd w:id="1"/>
      <w:r w:rsidR="00B66EAE" w:rsidRPr="00735AB2">
        <w:t>is crucial for access to mobility for people and freight</w:t>
      </w:r>
      <w:r w:rsidR="005D10C6">
        <w:t>.</w:t>
      </w:r>
      <w:r w:rsidR="00B66EAE" w:rsidRPr="00735AB2">
        <w:t xml:space="preserve"> </w:t>
      </w:r>
      <w:r w:rsidR="005D10C6">
        <w:t xml:space="preserve">This </w:t>
      </w:r>
      <w:r w:rsidR="005D10C6" w:rsidRPr="00735AB2">
        <w:t>includ</w:t>
      </w:r>
      <w:r w:rsidR="005D10C6">
        <w:t>es</w:t>
      </w:r>
      <w:r w:rsidR="00B66EAE" w:rsidRPr="00735AB2">
        <w:t xml:space="preserve"> both transport infrastructure and services within a country and through facilitated border crossing conditions among the neighbours and those along the corridors. </w:t>
      </w:r>
      <w:r w:rsidR="008373F7" w:rsidRPr="00735AB2">
        <w:t xml:space="preserve">But how will it be possible </w:t>
      </w:r>
      <w:r w:rsidR="0066355A" w:rsidRPr="00735AB2">
        <w:t xml:space="preserve">to achieve resilient connectivity </w:t>
      </w:r>
      <w:r w:rsidR="00D97D8B" w:rsidRPr="00735AB2">
        <w:t>under emergency conditions?</w:t>
      </w:r>
      <w:r w:rsidR="0050494A" w:rsidRPr="00735AB2">
        <w:t xml:space="preserve"> What is the room for </w:t>
      </w:r>
      <w:r w:rsidR="00754ADB" w:rsidRPr="00735AB2">
        <w:t xml:space="preserve">enhancing </w:t>
      </w:r>
      <w:r w:rsidR="0050494A" w:rsidRPr="00735AB2">
        <w:t xml:space="preserve">international agreements? Two angles are </w:t>
      </w:r>
      <w:r w:rsidR="00754ADB" w:rsidRPr="00735AB2">
        <w:t>of crucial importance.</w:t>
      </w:r>
    </w:p>
    <w:p w14:paraId="7A8E0457" w14:textId="6FAC2A4B" w:rsidR="00B66EAE" w:rsidRPr="00735AB2" w:rsidRDefault="005B3824" w:rsidP="00B66EAE">
      <w:pPr>
        <w:pStyle w:val="SingleTxtG"/>
      </w:pPr>
      <w:r w:rsidRPr="00735AB2">
        <w:t>1</w:t>
      </w:r>
      <w:r w:rsidR="00B66EAE" w:rsidRPr="00735AB2">
        <w:t>5.</w:t>
      </w:r>
      <w:r w:rsidR="00B66EAE" w:rsidRPr="00735AB2">
        <w:tab/>
      </w:r>
      <w:r w:rsidR="00754ADB" w:rsidRPr="00735AB2">
        <w:t>First, g</w:t>
      </w:r>
      <w:r w:rsidR="00B66EAE" w:rsidRPr="00735AB2">
        <w:t xml:space="preserve">eographically, how well does the toolkit of border-crossing facilitation legal instruments fare </w:t>
      </w:r>
      <w:r w:rsidR="00A93412">
        <w:t xml:space="preserve">under emergency conditions </w:t>
      </w:r>
      <w:r w:rsidR="00B66EAE" w:rsidRPr="00735AB2">
        <w:t xml:space="preserve">comparatively among the various regions of the world? What lessons </w:t>
      </w:r>
      <w:r w:rsidR="00677D7D">
        <w:t xml:space="preserve">on improving </w:t>
      </w:r>
      <w:r w:rsidR="00980B9A">
        <w:t xml:space="preserve">mutual responses and reducing adverse economic impacts </w:t>
      </w:r>
      <w:r w:rsidR="00B66EAE" w:rsidRPr="00735AB2">
        <w:t>can be drawn from those regions more successfully deploying these instruments and benefiting from them? How can these lessons become useful and relevant for the rest of the regions? Regional perspectives of successes and failures, as well as challenges and opportunities will be critical in shaping the collective understanding of what works best and charting the way forward.</w:t>
      </w:r>
    </w:p>
    <w:p w14:paraId="35497EC8" w14:textId="44A7FFB0" w:rsidR="00B66EAE" w:rsidRPr="00735AB2" w:rsidRDefault="005B3824" w:rsidP="00B66EAE">
      <w:pPr>
        <w:pStyle w:val="SingleTxtG"/>
      </w:pPr>
      <w:r w:rsidRPr="00735AB2">
        <w:t>1</w:t>
      </w:r>
      <w:r w:rsidR="00B66EAE" w:rsidRPr="00735AB2">
        <w:t>6.</w:t>
      </w:r>
      <w:r w:rsidR="00B66EAE" w:rsidRPr="00735AB2">
        <w:tab/>
      </w:r>
      <w:r w:rsidRPr="00735AB2">
        <w:t>Second, f</w:t>
      </w:r>
      <w:r w:rsidR="00B66EAE" w:rsidRPr="00735AB2">
        <w:t xml:space="preserve">unctionally, are all relevant conventions meeting their </w:t>
      </w:r>
      <w:r w:rsidR="00B66EAE" w:rsidRPr="009F352E">
        <w:t>full</w:t>
      </w:r>
      <w:r w:rsidR="00B66EAE" w:rsidRPr="005D10C6">
        <w:t xml:space="preserve"> </w:t>
      </w:r>
      <w:r w:rsidR="00B66EAE" w:rsidRPr="00735AB2">
        <w:t>potential? Which can be upscaled, modernized and possibly adapted to better support national and international supply chains and trade flows</w:t>
      </w:r>
      <w:r w:rsidR="008131C5">
        <w:t xml:space="preserve">, even under </w:t>
      </w:r>
      <w:r w:rsidR="004D5A27">
        <w:t xml:space="preserve">conditions of emergency </w:t>
      </w:r>
      <w:r w:rsidR="00E956FD">
        <w:t>pressures</w:t>
      </w:r>
      <w:r w:rsidR="004910FA">
        <w:t>, thus lower</w:t>
      </w:r>
      <w:r w:rsidR="00607F8B">
        <w:t xml:space="preserve">ing the </w:t>
      </w:r>
      <w:r w:rsidR="008D6C7F">
        <w:t xml:space="preserve">levels of </w:t>
      </w:r>
      <w:r w:rsidR="00607F8B">
        <w:t xml:space="preserve">unpredictability </w:t>
      </w:r>
      <w:r w:rsidR="00AB6F1E">
        <w:t>and</w:t>
      </w:r>
      <w:r w:rsidR="004910FA">
        <w:t xml:space="preserve"> </w:t>
      </w:r>
      <w:r w:rsidR="00607F8B">
        <w:t xml:space="preserve">unintended consequences </w:t>
      </w:r>
      <w:r w:rsidR="00AB6F1E">
        <w:t xml:space="preserve">on economic activity triggered by uncoordinated </w:t>
      </w:r>
      <w:r w:rsidR="00D667E9">
        <w:t>national responses</w:t>
      </w:r>
      <w:r w:rsidR="00B66EAE" w:rsidRPr="00735AB2">
        <w:t xml:space="preserve">? Are new ones needed? What are the benefits and risks of the development and applications of regional alternative instruments and agreements outside the purview of the Committee? Do they better respond to regional characteristics or lead to more fragmentation and duplication? Which is the best response at a time when efficiency is as decisive as ever in determining the ranking of countries in global competitiveness ratings, as well as the long-term opportunities for employment and growth of national economies? </w:t>
      </w:r>
    </w:p>
    <w:p w14:paraId="5F919E30" w14:textId="5AE3B249" w:rsidR="00B66EAE" w:rsidRPr="00735AB2" w:rsidRDefault="002C1A9E" w:rsidP="00B66EAE">
      <w:pPr>
        <w:pStyle w:val="SingleTxtG"/>
      </w:pPr>
      <w:r w:rsidRPr="00735AB2">
        <w:t>1</w:t>
      </w:r>
      <w:r w:rsidR="00B66EAE" w:rsidRPr="00735AB2">
        <w:t>7.</w:t>
      </w:r>
      <w:r w:rsidR="00B66EAE" w:rsidRPr="00735AB2">
        <w:tab/>
      </w:r>
      <w:r w:rsidR="00AE606D" w:rsidRPr="00735AB2">
        <w:t xml:space="preserve">This panel will </w:t>
      </w:r>
      <w:r w:rsidR="00527C02">
        <w:t xml:space="preserve">take a critical look and </w:t>
      </w:r>
      <w:r w:rsidR="00B66EAE" w:rsidRPr="00735AB2">
        <w:t>build on the ITC strengths</w:t>
      </w:r>
      <w:r w:rsidR="001F082B">
        <w:t xml:space="preserve"> in forging </w:t>
      </w:r>
      <w:r w:rsidR="00366C40">
        <w:t>consensus</w:t>
      </w:r>
      <w:r w:rsidR="007C0FFC">
        <w:t>,</w:t>
      </w:r>
      <w:r w:rsidR="00366C40">
        <w:t xml:space="preserve"> </w:t>
      </w:r>
      <w:r w:rsidR="007C0FFC">
        <w:t xml:space="preserve">strengthening coordination and </w:t>
      </w:r>
      <w:r w:rsidR="00366C40">
        <w:t xml:space="preserve">enhancing </w:t>
      </w:r>
      <w:r w:rsidR="00C733C8">
        <w:t xml:space="preserve">intergovernmental </w:t>
      </w:r>
      <w:r w:rsidR="00366C40">
        <w:t>cooperation</w:t>
      </w:r>
      <w:r w:rsidR="00C733C8">
        <w:t>,</w:t>
      </w:r>
      <w:r w:rsidR="00511D15">
        <w:t xml:space="preserve"> especially in hard times, </w:t>
      </w:r>
      <w:r w:rsidR="00250017">
        <w:t xml:space="preserve">through its key assets, its convening power and normative </w:t>
      </w:r>
      <w:r w:rsidR="00660CCF">
        <w:t>functions</w:t>
      </w:r>
      <w:r w:rsidR="00A84778">
        <w:t xml:space="preserve">, </w:t>
      </w:r>
      <w:r w:rsidR="00A84778" w:rsidRPr="00A84778">
        <w:t>as enablers of economic growth and development</w:t>
      </w:r>
      <w:r w:rsidR="00660CCF">
        <w:t>.</w:t>
      </w:r>
    </w:p>
    <w:p w14:paraId="183A41C8" w14:textId="066CD491" w:rsidR="00E239B9" w:rsidRPr="00735AB2" w:rsidRDefault="00E239B9" w:rsidP="00E239B9">
      <w:pPr>
        <w:pStyle w:val="H23G"/>
      </w:pPr>
      <w:r w:rsidRPr="00735AB2">
        <w:tab/>
        <w:t>2.</w:t>
      </w:r>
      <w:r w:rsidRPr="00735AB2">
        <w:tab/>
        <w:t xml:space="preserve">Panel II: </w:t>
      </w:r>
      <w:r w:rsidR="00A33615" w:rsidRPr="00735AB2">
        <w:t>First or last response in a global emergency? International transport conventions as a catalyst of concerted national responses</w:t>
      </w:r>
    </w:p>
    <w:p w14:paraId="36469540" w14:textId="48F9237D" w:rsidR="008B2E77" w:rsidRPr="00735AB2" w:rsidRDefault="00A3051A" w:rsidP="008B2E77">
      <w:pPr>
        <w:pStyle w:val="SingleTxtG"/>
      </w:pPr>
      <w:r w:rsidRPr="00735AB2">
        <w:t>18</w:t>
      </w:r>
      <w:r w:rsidR="008B2E77" w:rsidRPr="00735AB2">
        <w:t>.</w:t>
      </w:r>
      <w:r w:rsidR="008B2E77" w:rsidRPr="00735AB2">
        <w:tab/>
        <w:t>International movement and connectivity have faced unprecedented challenges as an increasing number of countries around the world closed their borders and imposed travel restrictions in response to the COVID-19 pandemic. At the same time the implementation of United Nations inland transport conventions was not universally homogenous, as some governments opted for selective or adjusted implementation of legal instruments</w:t>
      </w:r>
      <w:r w:rsidR="00FD7315">
        <w:t xml:space="preserve"> </w:t>
      </w:r>
      <w:r w:rsidR="008B2E77" w:rsidRPr="00735AB2">
        <w:t>to which they are contracting parties. Last but not least, the networks utilized by Member States that are contracting parties to the TIR convention provided a unique governance network and mechanism that made it possible to set up</w:t>
      </w:r>
      <w:r w:rsidR="005D10C6">
        <w:t>,</w:t>
      </w:r>
      <w:r w:rsidR="008B2E77" w:rsidRPr="00735AB2">
        <w:t xml:space="preserve"> </w:t>
      </w:r>
      <w:r w:rsidR="005D10C6" w:rsidRPr="00735AB2">
        <w:t>in record time</w:t>
      </w:r>
      <w:r w:rsidR="005D10C6">
        <w:t>,</w:t>
      </w:r>
      <w:r w:rsidR="005D10C6" w:rsidRPr="00735AB2">
        <w:t xml:space="preserve"> </w:t>
      </w:r>
      <w:r w:rsidR="008B2E77" w:rsidRPr="00735AB2">
        <w:t>mechanisms for collection and dissemination of business-critical information on border crossing limitations worldwide.</w:t>
      </w:r>
    </w:p>
    <w:p w14:paraId="4CD8776A" w14:textId="7DC1FDAD" w:rsidR="008B2E77" w:rsidRPr="00735AB2" w:rsidRDefault="00A3051A" w:rsidP="008B2E77">
      <w:pPr>
        <w:pStyle w:val="SingleTxtG"/>
      </w:pPr>
      <w:r w:rsidRPr="00735AB2">
        <w:t>19</w:t>
      </w:r>
      <w:r w:rsidR="008B2E77" w:rsidRPr="00735AB2">
        <w:t>.</w:t>
      </w:r>
      <w:r w:rsidR="008B2E77" w:rsidRPr="00735AB2">
        <w:tab/>
      </w:r>
      <w:r w:rsidR="002F552E" w:rsidRPr="00735AB2">
        <w:t xml:space="preserve">This was </w:t>
      </w:r>
      <w:r w:rsidR="004E3DB1" w:rsidRPr="00735AB2">
        <w:t>the manifestation of the last response scenario</w:t>
      </w:r>
      <w:r w:rsidR="001614E4" w:rsidRPr="00735AB2">
        <w:t xml:space="preserve"> for </w:t>
      </w:r>
      <w:r w:rsidR="007E6107" w:rsidRPr="00735AB2">
        <w:t>the international regulatory system</w:t>
      </w:r>
      <w:r w:rsidR="004E3DB1" w:rsidRPr="00735AB2">
        <w:t xml:space="preserve">: </w:t>
      </w:r>
      <w:r w:rsidR="001614E4" w:rsidRPr="00735AB2">
        <w:t>t</w:t>
      </w:r>
      <w:r w:rsidR="008B2E77" w:rsidRPr="00735AB2">
        <w:t xml:space="preserve">he entry into force of national emergency plans, without an overarching international coordinating framework, </w:t>
      </w:r>
      <w:r w:rsidR="004D065A" w:rsidRPr="00735AB2">
        <w:t>has</w:t>
      </w:r>
      <w:r w:rsidR="008B2E77" w:rsidRPr="00735AB2">
        <w:t xml:space="preserve"> led to suboptimal outcomes (lose-lose situations). The observed immediate COVID-19 responses at the national and international level create unique opportunities to </w:t>
      </w:r>
      <w:r w:rsidR="00C3660A" w:rsidRPr="00735AB2">
        <w:t xml:space="preserve">critically </w:t>
      </w:r>
      <w:r w:rsidR="008B2E77" w:rsidRPr="00735AB2">
        <w:t>reflect</w:t>
      </w:r>
      <w:r w:rsidR="00C3660A" w:rsidRPr="00735AB2">
        <w:t xml:space="preserve"> on the </w:t>
      </w:r>
      <w:r w:rsidR="00757FF8" w:rsidRPr="00735AB2">
        <w:t xml:space="preserve">“first </w:t>
      </w:r>
      <w:r w:rsidR="00E52704">
        <w:t xml:space="preserve">or last </w:t>
      </w:r>
      <w:r w:rsidR="00757FF8" w:rsidRPr="00735AB2">
        <w:t xml:space="preserve">response” </w:t>
      </w:r>
      <w:r w:rsidR="00C3660A" w:rsidRPr="00735AB2">
        <w:t>alternative</w:t>
      </w:r>
      <w:r w:rsidR="00757FF8" w:rsidRPr="00735AB2">
        <w:t>, and specifically on</w:t>
      </w:r>
      <w:r w:rsidR="008B2E77" w:rsidRPr="00735AB2">
        <w:t xml:space="preserve">: </w:t>
      </w:r>
    </w:p>
    <w:p w14:paraId="2769FC12" w14:textId="17F950F6" w:rsidR="008B2E77" w:rsidRPr="00735AB2" w:rsidRDefault="008B2E77" w:rsidP="008B2E77">
      <w:pPr>
        <w:pStyle w:val="SingleTxtG"/>
        <w:ind w:firstLine="567"/>
      </w:pPr>
      <w:r w:rsidRPr="00735AB2">
        <w:t>(a)</w:t>
      </w:r>
      <w:r w:rsidRPr="00735AB2">
        <w:tab/>
      </w:r>
      <w:r w:rsidR="007E6107" w:rsidRPr="00735AB2">
        <w:t>T</w:t>
      </w:r>
      <w:r w:rsidRPr="00735AB2">
        <w:t>he role of the international regulatory system, as a potential enabler for establishing mechanisms for enhanced intergovernmental cooperation and coordination, thus creating win-win situations even under extraordinary circumstances. Under this theme/panel, the focus of the discussions would be on immediate actions to coordinate crisis measures but also a coordinated exit strategy to ensure supply chain flows. Cooperation with relevant international organizations and agencies is key, as the health and sanitary measures must be evidence-based and fully in line with existing recommendations and guidance.</w:t>
      </w:r>
    </w:p>
    <w:p w14:paraId="27F7FADC" w14:textId="1439015E" w:rsidR="008B2E77" w:rsidRPr="00735AB2" w:rsidRDefault="008B2E77" w:rsidP="008B2E77">
      <w:pPr>
        <w:pStyle w:val="SingleTxtG"/>
        <w:ind w:firstLine="567"/>
      </w:pPr>
      <w:r w:rsidRPr="00735AB2">
        <w:lastRenderedPageBreak/>
        <w:t>(b)</w:t>
      </w:r>
      <w:r w:rsidRPr="00735AB2">
        <w:tab/>
      </w:r>
      <w:r w:rsidR="00FC4015">
        <w:t>T</w:t>
      </w:r>
      <w:r w:rsidRPr="00735AB2">
        <w:t xml:space="preserve">he resilience of conventions for future pandemics and extraordinary circumstances. This theme </w:t>
      </w:r>
      <w:r w:rsidR="0073107B" w:rsidRPr="00735AB2">
        <w:t>will</w:t>
      </w:r>
      <w:r w:rsidRPr="00735AB2">
        <w:t xml:space="preserve"> be examined both top-down and bottom-up. </w:t>
      </w:r>
      <w:r w:rsidR="0073107B" w:rsidRPr="00735AB2">
        <w:t>The</w:t>
      </w:r>
      <w:r w:rsidRPr="00735AB2">
        <w:t xml:space="preserve"> top-down perspective </w:t>
      </w:r>
      <w:r w:rsidR="0073107B" w:rsidRPr="00735AB2">
        <w:t xml:space="preserve">will </w:t>
      </w:r>
      <w:r w:rsidRPr="00735AB2">
        <w:t xml:space="preserve">examine diverging implementation of existing conventions, in order to assess their resilience and derive lessons that may lead to possible amendments or other responses to ensure harmonized implementation and, potentially, enforcement. </w:t>
      </w:r>
      <w:r w:rsidR="00E35D5F" w:rsidRPr="00735AB2">
        <w:t xml:space="preserve">The </w:t>
      </w:r>
      <w:r w:rsidRPr="00735AB2">
        <w:t xml:space="preserve">bottom-up perspective </w:t>
      </w:r>
      <w:r w:rsidR="00E35D5F" w:rsidRPr="00735AB2">
        <w:t xml:space="preserve">will </w:t>
      </w:r>
      <w:r w:rsidRPr="00735AB2">
        <w:t>start at the level of operators who, at a time of crisis</w:t>
      </w:r>
      <w:r w:rsidR="00B27D6D">
        <w:t>,</w:t>
      </w:r>
      <w:r w:rsidRPr="00735AB2">
        <w:t xml:space="preserve"> face competing rationales that could lead to non-compliance with existing rules and regulations set out in U</w:t>
      </w:r>
      <w:r w:rsidR="00376770">
        <w:t xml:space="preserve">nited </w:t>
      </w:r>
      <w:r w:rsidRPr="00735AB2">
        <w:t>N</w:t>
      </w:r>
      <w:r w:rsidR="00376770">
        <w:t>ations</w:t>
      </w:r>
      <w:r w:rsidRPr="00735AB2">
        <w:t xml:space="preserve"> transport conventions. Offsetting losses and rewarding compliance at the micro level could go a long way into strengthening the resilience and relevance of the Conventions under the purview of the Committee.</w:t>
      </w:r>
    </w:p>
    <w:p w14:paraId="6F5F85DD" w14:textId="1D00BA08" w:rsidR="008B2E77" w:rsidRPr="00735AB2" w:rsidRDefault="008B2E77" w:rsidP="008B2E77">
      <w:pPr>
        <w:pStyle w:val="SingleTxtG"/>
        <w:ind w:firstLine="567"/>
      </w:pPr>
      <w:r w:rsidRPr="00735AB2">
        <w:t>(c)</w:t>
      </w:r>
      <w:r w:rsidRPr="00735AB2">
        <w:tab/>
      </w:r>
      <w:r w:rsidR="00F71FE1">
        <w:t>T</w:t>
      </w:r>
      <w:r w:rsidRPr="00735AB2">
        <w:t>he economic dimension. The most compelling argument for further developing the existing inland transport regulatory system would be derived by an examination of the economic impacts of non-concerted actions and, conversely, the economic benefits of international cooperation and coordination. Trade</w:t>
      </w:r>
      <w:r w:rsidR="00E01512" w:rsidRPr="00735AB2">
        <w:t>-</w:t>
      </w:r>
      <w:r w:rsidRPr="00735AB2">
        <w:t>offs and co-benefits with large scale government interventions, including on green recovery, could also enrich the discussion which is of direct relevance to the development of international regulatory architecture.</w:t>
      </w:r>
    </w:p>
    <w:p w14:paraId="1D5AFAC0" w14:textId="3597A966" w:rsidR="00FB1BA2" w:rsidRPr="00735AB2" w:rsidRDefault="00A3051A" w:rsidP="008B2E77">
      <w:pPr>
        <w:pStyle w:val="SingleTxtG"/>
      </w:pPr>
      <w:r w:rsidRPr="00735AB2">
        <w:t>20</w:t>
      </w:r>
      <w:r w:rsidR="008B2E77" w:rsidRPr="00735AB2">
        <w:t>.</w:t>
      </w:r>
      <w:r w:rsidR="008B2E77" w:rsidRPr="00735AB2">
        <w:tab/>
        <w:t xml:space="preserve">At its </w:t>
      </w:r>
      <w:r w:rsidR="00CD47C5">
        <w:t>eighty-second</w:t>
      </w:r>
      <w:r w:rsidR="008B2E77" w:rsidRPr="00735AB2">
        <w:t xml:space="preserve"> session in February 2020, the Committee decided to conduct necessary research on provisions in existing frameworks and new needed areas of work, with the support of interested governments and key stakeholders</w:t>
      </w:r>
      <w:r w:rsidR="00B27D6D">
        <w:t>. The purpose was</w:t>
      </w:r>
      <w:r w:rsidR="008B2E77" w:rsidRPr="00735AB2">
        <w:t xml:space="preserve"> to promote cooperation between transport authorities in the field of counteracting the effects of emergency situations of cross-country nature, including epidemics and pandemics. Th</w:t>
      </w:r>
      <w:r w:rsidR="0000521F" w:rsidRPr="00735AB2">
        <w:t xml:space="preserve">is panel will </w:t>
      </w:r>
      <w:r w:rsidR="008B2E77" w:rsidRPr="00735AB2">
        <w:t>create room for a high-level discussion</w:t>
      </w:r>
      <w:r w:rsidR="004073FE" w:rsidRPr="00735AB2">
        <w:t xml:space="preserve">, the conclusions of which </w:t>
      </w:r>
      <w:r w:rsidR="00D81586" w:rsidRPr="00735AB2">
        <w:t>will pave the way</w:t>
      </w:r>
      <w:r w:rsidR="0036184D">
        <w:t xml:space="preserve"> towards</w:t>
      </w:r>
      <w:r w:rsidR="00D81586" w:rsidRPr="00735AB2">
        <w:t xml:space="preserve"> enhancing </w:t>
      </w:r>
      <w:r w:rsidR="008B2E77" w:rsidRPr="00735AB2">
        <w:t>intergovernmental and inter-institutional cooperation in this high-impact, critical area.</w:t>
      </w:r>
    </w:p>
    <w:p w14:paraId="003CF43B" w14:textId="03B54B7C" w:rsidR="00E239B9" w:rsidRPr="00735AB2" w:rsidRDefault="00E239B9" w:rsidP="00E239B9">
      <w:pPr>
        <w:pStyle w:val="H1G"/>
      </w:pPr>
      <w:r w:rsidRPr="00735AB2">
        <w:tab/>
        <w:t>C.</w:t>
      </w:r>
      <w:r w:rsidRPr="00735AB2">
        <w:tab/>
        <w:t xml:space="preserve">Endorsement of the </w:t>
      </w:r>
      <w:r w:rsidR="00024409">
        <w:t>Ministerial</w:t>
      </w:r>
      <w:r w:rsidR="00024409" w:rsidRPr="00735AB2">
        <w:t xml:space="preserve"> </w:t>
      </w:r>
      <w:r w:rsidR="00ED5B5E" w:rsidRPr="00735AB2">
        <w:t>Resolution</w:t>
      </w:r>
      <w:r w:rsidRPr="00735AB2">
        <w:t xml:space="preserve"> </w:t>
      </w:r>
      <w:r w:rsidR="00C07234" w:rsidRPr="00735AB2">
        <w:t>Enhancing resilient inland transport connectivity under emergency situations: an urgent call for concerted action</w:t>
      </w:r>
    </w:p>
    <w:p w14:paraId="3D722193" w14:textId="172AF306" w:rsidR="00E239B9" w:rsidRPr="00735AB2" w:rsidRDefault="00A3051A" w:rsidP="00901E43">
      <w:pPr>
        <w:pStyle w:val="SingleTxtG"/>
      </w:pPr>
      <w:r w:rsidRPr="00735AB2">
        <w:t>21</w:t>
      </w:r>
      <w:r w:rsidR="00E239B9" w:rsidRPr="00735AB2">
        <w:t>.</w:t>
      </w:r>
      <w:r w:rsidR="00E239B9" w:rsidRPr="00735AB2">
        <w:tab/>
        <w:t>At the end of the meeting, Ministers and Heads of delegations of</w:t>
      </w:r>
      <w:r w:rsidR="00B27D6D">
        <w:t xml:space="preserve"> </w:t>
      </w:r>
      <w:r w:rsidR="00E239B9" w:rsidRPr="00735AB2">
        <w:t xml:space="preserve">Contracting Parties will be invited to express their support for the </w:t>
      </w:r>
      <w:r w:rsidR="00024409">
        <w:t>Ministerial</w:t>
      </w:r>
      <w:r w:rsidR="00024409" w:rsidRPr="00735AB2">
        <w:t xml:space="preserve"> </w:t>
      </w:r>
      <w:r w:rsidR="00F74D68" w:rsidRPr="00735AB2">
        <w:t xml:space="preserve">Resolution on </w:t>
      </w:r>
      <w:bookmarkStart w:id="2" w:name="_Hlk26458064"/>
      <w:r w:rsidR="00F74D68" w:rsidRPr="00735AB2">
        <w:t>Enhancing resilient inland transport connectivity under emergency situations: an urgent call for concerted action</w:t>
      </w:r>
      <w:bookmarkEnd w:id="2"/>
      <w:r w:rsidR="00F74D68" w:rsidRPr="00735AB2">
        <w:t xml:space="preserve"> (ECE/TRANS/2021/2)</w:t>
      </w:r>
      <w:r w:rsidR="00E239B9" w:rsidRPr="00735AB2">
        <w:t xml:space="preserve">. The </w:t>
      </w:r>
      <w:r w:rsidR="00AE4144" w:rsidRPr="00735AB2">
        <w:t>Resolution takes stock of the global emergency underway</w:t>
      </w:r>
      <w:r w:rsidR="00901E43" w:rsidRPr="00735AB2">
        <w:t xml:space="preserve">, recognizes the unique strengths of the Committee and </w:t>
      </w:r>
      <w:r w:rsidR="00E239B9" w:rsidRPr="00735AB2">
        <w:t xml:space="preserve">articulates the </w:t>
      </w:r>
      <w:r w:rsidR="00901E43" w:rsidRPr="00735AB2">
        <w:t xml:space="preserve">urgent </w:t>
      </w:r>
      <w:r w:rsidR="00E239B9" w:rsidRPr="00735AB2">
        <w:t xml:space="preserve">call for </w:t>
      </w:r>
      <w:r w:rsidR="00284AB3" w:rsidRPr="00735AB2">
        <w:t xml:space="preserve">concerted action in the face of international emergencies </w:t>
      </w:r>
      <w:r w:rsidR="00E239B9" w:rsidRPr="00735AB2">
        <w:t>in terms relevant to the Committee’s mandates. It does so by recognizing the Committee’s relevance as a main avenue of the international efforts to find solutions for these challenges and by calling upon world transport leaders to embrace and intensify their support for the work of the Committee as the U</w:t>
      </w:r>
      <w:r w:rsidR="00B81BCB">
        <w:t xml:space="preserve">nited </w:t>
      </w:r>
      <w:r w:rsidR="00E239B9" w:rsidRPr="00735AB2">
        <w:t>N</w:t>
      </w:r>
      <w:r w:rsidR="00B81BCB">
        <w:t>ations</w:t>
      </w:r>
      <w:r w:rsidR="00E239B9" w:rsidRPr="00735AB2">
        <w:t xml:space="preserve"> Platform for Inland Transport, to the benefit of the global community. </w:t>
      </w:r>
    </w:p>
    <w:p w14:paraId="5E7EC956" w14:textId="77777777" w:rsidR="00E239B9" w:rsidRPr="00735AB2" w:rsidRDefault="00E239B9" w:rsidP="00E239B9">
      <w:pPr>
        <w:pStyle w:val="HChG"/>
      </w:pPr>
      <w:r w:rsidRPr="00735AB2">
        <w:tab/>
        <w:t>III.</w:t>
      </w:r>
      <w:r w:rsidRPr="00735AB2">
        <w:tab/>
        <w:t>Scheduled high-level side-events</w:t>
      </w:r>
    </w:p>
    <w:p w14:paraId="40FED4AA" w14:textId="3F0E690D" w:rsidR="00E239B9" w:rsidRPr="00735AB2" w:rsidRDefault="00E239B9" w:rsidP="00E239B9">
      <w:pPr>
        <w:pStyle w:val="H1G"/>
      </w:pPr>
      <w:r w:rsidRPr="00735AB2">
        <w:tab/>
      </w:r>
      <w:r w:rsidRPr="00735AB2">
        <w:tab/>
      </w:r>
      <w:r w:rsidR="00E87632" w:rsidRPr="00735AB2">
        <w:t>ITC Roundtable</w:t>
      </w:r>
      <w:r w:rsidR="00702DC9" w:rsidRPr="00735AB2">
        <w:t>:</w:t>
      </w:r>
      <w:r w:rsidRPr="00735AB2">
        <w:t xml:space="preserve"> </w:t>
      </w:r>
      <w:r w:rsidR="00806E5B" w:rsidRPr="00735AB2">
        <w:t>“Road safety at a crossroads at the dawn of the new Decade of Action”</w:t>
      </w:r>
    </w:p>
    <w:p w14:paraId="6986C262" w14:textId="26BF50E4" w:rsidR="0071459A" w:rsidRPr="00735AB2" w:rsidRDefault="00493908" w:rsidP="0071459A">
      <w:pPr>
        <w:pStyle w:val="SingleTxtG"/>
      </w:pPr>
      <w:r w:rsidRPr="00735AB2">
        <w:t>22</w:t>
      </w:r>
      <w:r w:rsidR="00E239B9" w:rsidRPr="00735AB2">
        <w:t>.</w:t>
      </w:r>
      <w:r w:rsidR="00E239B9" w:rsidRPr="00735AB2">
        <w:tab/>
      </w:r>
      <w:r w:rsidR="008D09E2" w:rsidRPr="00B82E4D">
        <w:t xml:space="preserve">Despite strong and consistent efforts by Member States, the international community was not able to achieve by 2020 the target of the Sustainable Development Goals on road safety </w:t>
      </w:r>
      <w:r w:rsidR="008D09E2">
        <w:t xml:space="preserve">as evidenced by </w:t>
      </w:r>
      <w:r w:rsidR="008D09E2" w:rsidRPr="00B82E4D">
        <w:t>increasing, rather than decreasing, road fatalities and injuries globally.</w:t>
      </w:r>
      <w:r w:rsidR="00CD47C5">
        <w:t xml:space="preserve"> </w:t>
      </w:r>
    </w:p>
    <w:p w14:paraId="71DC290D" w14:textId="02A01C6D" w:rsidR="0071459A" w:rsidRPr="00735AB2" w:rsidRDefault="00493908" w:rsidP="0071459A">
      <w:pPr>
        <w:pStyle w:val="SingleTxtG"/>
      </w:pPr>
      <w:r w:rsidRPr="00735AB2">
        <w:t>23.</w:t>
      </w:r>
      <w:r w:rsidRPr="00735AB2">
        <w:tab/>
      </w:r>
      <w:r w:rsidR="00F47AD5" w:rsidRPr="00B82E4D">
        <w:t xml:space="preserve">There were three milestones in 2020 for the global community’s and United Nations’ efforts to recognize the shortcomings and address this challenge. First, the international community came together at the </w:t>
      </w:r>
      <w:r w:rsidR="00CD47C5">
        <w:t>3rd</w:t>
      </w:r>
      <w:r w:rsidR="00F47AD5">
        <w:t xml:space="preserve"> </w:t>
      </w:r>
      <w:r w:rsidR="00F47AD5" w:rsidRPr="00B82E4D">
        <w:t>Global Ministerial Conference (Stockholm, 19</w:t>
      </w:r>
      <w:r w:rsidR="00CD47C5">
        <w:t>–</w:t>
      </w:r>
      <w:r w:rsidR="00F47AD5" w:rsidRPr="00B82E4D">
        <w:t>20 February 2020), in order to reach global consensus through the Stockholm Declaration on continued international collaboration on road safety up to 2030.</w:t>
      </w:r>
      <w:r w:rsidR="00CD47C5">
        <w:t xml:space="preserve"> </w:t>
      </w:r>
      <w:r w:rsidR="00F47AD5" w:rsidRPr="00B82E4D">
        <w:t xml:space="preserve">Second, the ITC of ECE adopted at its </w:t>
      </w:r>
      <w:r w:rsidR="00F47AD5">
        <w:t>eighty-second</w:t>
      </w:r>
      <w:r w:rsidR="00CD47C5">
        <w:t xml:space="preserve"> </w:t>
      </w:r>
      <w:r w:rsidR="00F47AD5" w:rsidRPr="00B82E4D">
        <w:t>session (Geneva, 25</w:t>
      </w:r>
      <w:r w:rsidR="00CD47C5">
        <w:t>–</w:t>
      </w:r>
      <w:r w:rsidR="00F47AD5" w:rsidRPr="00B82E4D">
        <w:t xml:space="preserve">28 February 2020), effective 1 April 2020, the ITC Recommendations on Enhancing National Road Safety Systems, providing much </w:t>
      </w:r>
      <w:r w:rsidR="00F47AD5" w:rsidRPr="00B82E4D">
        <w:lastRenderedPageBreak/>
        <w:t xml:space="preserve">needed direction and guidelines to Member States on how to strengthen </w:t>
      </w:r>
      <w:r w:rsidR="00F47AD5">
        <w:t>systematic improvement</w:t>
      </w:r>
      <w:r w:rsidR="00F47AD5" w:rsidRPr="00B82E4D">
        <w:t xml:space="preserve"> </w:t>
      </w:r>
      <w:r w:rsidR="00F47AD5">
        <w:t xml:space="preserve">of </w:t>
      </w:r>
      <w:r w:rsidR="00F47AD5" w:rsidRPr="00B82E4D">
        <w:t>road safety</w:t>
      </w:r>
      <w:r w:rsidR="00F47AD5">
        <w:t xml:space="preserve"> in a sustainable manner</w:t>
      </w:r>
      <w:r w:rsidR="00F47AD5" w:rsidRPr="00B82E4D">
        <w:t>. Third, the General Assembly adopted on 31</w:t>
      </w:r>
      <w:r w:rsidR="00F47AD5">
        <w:t xml:space="preserve"> </w:t>
      </w:r>
      <w:r w:rsidR="00F47AD5" w:rsidRPr="00B82E4D">
        <w:t>September 2020 Resolution 74/299 on Improving global road safety, inaugurating the second Decade of Action for Road Safety, setting new ambitious goals and calling for the preparation of a plan of action of the Second Decade as a guiding document to support the implementation of its objectives. All three milestones recognize the unique and critical role of</w:t>
      </w:r>
      <w:r w:rsidR="00F47AD5">
        <w:t xml:space="preserve"> ECE</w:t>
      </w:r>
      <w:r w:rsidR="00F47AD5" w:rsidRPr="00B82E4D">
        <w:t xml:space="preserve"> and </w:t>
      </w:r>
      <w:r w:rsidR="00F47AD5">
        <w:t>ITC.</w:t>
      </w:r>
    </w:p>
    <w:p w14:paraId="4804204C" w14:textId="32A8A257" w:rsidR="00E239B9" w:rsidRPr="00735AB2" w:rsidRDefault="00493908" w:rsidP="00690D8F">
      <w:pPr>
        <w:pStyle w:val="SingleTxtG"/>
      </w:pPr>
      <w:r w:rsidRPr="00735AB2">
        <w:t>24.</w:t>
      </w:r>
      <w:r w:rsidRPr="00735AB2">
        <w:tab/>
      </w:r>
      <w:r w:rsidR="00A41E5C">
        <w:t xml:space="preserve">The ITC Roundtable will bring together key worldwide stakeholders for a strategic discussion on the new </w:t>
      </w:r>
      <w:r w:rsidR="00A41E5C" w:rsidRPr="00331644">
        <w:t xml:space="preserve">course of action that </w:t>
      </w:r>
      <w:r w:rsidR="00A41E5C">
        <w:t xml:space="preserve">is needed in order to make measurable progress in </w:t>
      </w:r>
      <w:r w:rsidR="00A41E5C" w:rsidRPr="00B82E4D">
        <w:t>successfully addressing the continuing crisis</w:t>
      </w:r>
      <w:r w:rsidR="00A41E5C">
        <w:t>.</w:t>
      </w:r>
    </w:p>
    <w:p w14:paraId="6157D85A" w14:textId="77777777" w:rsidR="00E239B9" w:rsidRPr="00735AB2" w:rsidRDefault="00E239B9" w:rsidP="00E239B9">
      <w:pPr>
        <w:pStyle w:val="HChG"/>
      </w:pPr>
      <w:r w:rsidRPr="00735AB2">
        <w:br w:type="page"/>
      </w:r>
      <w:r w:rsidRPr="00735AB2">
        <w:lastRenderedPageBreak/>
        <w:t>Annex I</w:t>
      </w:r>
    </w:p>
    <w:p w14:paraId="0213DF3F" w14:textId="68950731" w:rsidR="00E239B9" w:rsidRPr="00735AB2" w:rsidRDefault="00E239B9" w:rsidP="00E239B9">
      <w:pPr>
        <w:pStyle w:val="HChG"/>
      </w:pPr>
      <w:r w:rsidRPr="00735AB2">
        <w:tab/>
      </w:r>
      <w:r w:rsidRPr="00735AB2">
        <w:tab/>
        <w:t>Draft weekly programme (2</w:t>
      </w:r>
      <w:r w:rsidR="00F35A50" w:rsidRPr="00735AB2">
        <w:t>2</w:t>
      </w:r>
      <w:r w:rsidRPr="00735AB2">
        <w:t>–2</w:t>
      </w:r>
      <w:r w:rsidR="00776E31" w:rsidRPr="00735AB2">
        <w:t>6</w:t>
      </w:r>
      <w:r w:rsidRPr="00735AB2">
        <w:t xml:space="preserve"> February 202</w:t>
      </w:r>
      <w:r w:rsidR="00776E31" w:rsidRPr="00735AB2">
        <w:t>1</w:t>
      </w:r>
      <w:r w:rsidRPr="00735AB2">
        <w:t>)</w:t>
      </w:r>
    </w:p>
    <w:tbl>
      <w:tblPr>
        <w:tblW w:w="9639" w:type="dxa"/>
        <w:tblLook w:val="04A0" w:firstRow="1" w:lastRow="0" w:firstColumn="1" w:lastColumn="0" w:noHBand="0" w:noVBand="1"/>
      </w:tblPr>
      <w:tblGrid>
        <w:gridCol w:w="1395"/>
        <w:gridCol w:w="1701"/>
        <w:gridCol w:w="6543"/>
      </w:tblGrid>
      <w:tr w:rsidR="00776E31" w:rsidRPr="00735AB2" w14:paraId="4F07CA26" w14:textId="77777777" w:rsidTr="006D138B">
        <w:trPr>
          <w:trHeight w:val="630"/>
        </w:trPr>
        <w:tc>
          <w:tcPr>
            <w:tcW w:w="1395"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4F68329A" w14:textId="061B6DB7" w:rsidR="00776E31" w:rsidRPr="00735AB2" w:rsidRDefault="00776E31" w:rsidP="009F214E">
            <w:pPr>
              <w:suppressAutoHyphens w:val="0"/>
              <w:spacing w:line="240" w:lineRule="auto"/>
              <w:jc w:val="center"/>
              <w:rPr>
                <w:rFonts w:asciiTheme="majorBidi" w:hAnsiTheme="majorBidi" w:cstheme="majorBidi"/>
                <w:b/>
                <w:bCs/>
                <w:color w:val="000000"/>
                <w:sz w:val="22"/>
                <w:szCs w:val="22"/>
                <w:lang w:eastAsia="zh-CN"/>
              </w:rPr>
            </w:pPr>
            <w:bookmarkStart w:id="3" w:name="RANGE!A1:F15"/>
            <w:r w:rsidRPr="00735AB2">
              <w:rPr>
                <w:rFonts w:asciiTheme="majorBidi" w:hAnsiTheme="majorBidi" w:cstheme="majorBidi"/>
                <w:b/>
                <w:bCs/>
                <w:color w:val="000000"/>
                <w:sz w:val="22"/>
                <w:szCs w:val="22"/>
                <w:lang w:eastAsia="zh-CN"/>
              </w:rPr>
              <w:t xml:space="preserve">Monday </w:t>
            </w:r>
            <w:r w:rsidRPr="00735AB2">
              <w:rPr>
                <w:rFonts w:asciiTheme="majorBidi" w:hAnsiTheme="majorBidi" w:cstheme="majorBidi"/>
                <w:b/>
                <w:bCs/>
                <w:color w:val="000000"/>
                <w:sz w:val="22"/>
                <w:szCs w:val="22"/>
                <w:lang w:eastAsia="zh-CN"/>
              </w:rPr>
              <w:br/>
            </w:r>
            <w:r w:rsidR="00191664" w:rsidRPr="00735AB2">
              <w:rPr>
                <w:rFonts w:asciiTheme="majorBidi" w:hAnsiTheme="majorBidi" w:cstheme="majorBidi"/>
                <w:b/>
                <w:bCs/>
                <w:color w:val="000000"/>
                <w:sz w:val="22"/>
                <w:szCs w:val="22"/>
                <w:lang w:eastAsia="zh-CN"/>
              </w:rPr>
              <w:t>22</w:t>
            </w:r>
            <w:r w:rsidRPr="00735AB2">
              <w:rPr>
                <w:rFonts w:asciiTheme="majorBidi" w:hAnsiTheme="majorBidi" w:cstheme="majorBidi"/>
                <w:b/>
                <w:bCs/>
                <w:color w:val="000000"/>
                <w:sz w:val="22"/>
                <w:szCs w:val="22"/>
                <w:lang w:eastAsia="zh-CN"/>
              </w:rPr>
              <w:t xml:space="preserve"> February</w:t>
            </w:r>
            <w:bookmarkEnd w:id="3"/>
          </w:p>
        </w:tc>
        <w:tc>
          <w:tcPr>
            <w:tcW w:w="1701" w:type="dxa"/>
            <w:tcBorders>
              <w:top w:val="double" w:sz="6" w:space="0" w:color="auto"/>
              <w:left w:val="nil"/>
              <w:bottom w:val="single" w:sz="4" w:space="0" w:color="auto"/>
              <w:right w:val="double" w:sz="6" w:space="0" w:color="auto"/>
            </w:tcBorders>
            <w:shd w:val="clear" w:color="auto" w:fill="auto"/>
            <w:vAlign w:val="center"/>
            <w:hideMark/>
          </w:tcPr>
          <w:p w14:paraId="6B6A190F" w14:textId="49668843" w:rsidR="00776E31" w:rsidRPr="00735AB2" w:rsidRDefault="00723379" w:rsidP="009F214E">
            <w:pPr>
              <w:suppressAutoHyphens w:val="0"/>
              <w:spacing w:line="240" w:lineRule="auto"/>
              <w:jc w:val="center"/>
              <w:rPr>
                <w:rFonts w:asciiTheme="majorBidi" w:hAnsiTheme="majorBidi" w:cstheme="majorBidi"/>
                <w:b/>
                <w:bCs/>
                <w:color w:val="000000"/>
                <w:sz w:val="22"/>
                <w:szCs w:val="22"/>
                <w:lang w:eastAsia="zh-CN"/>
              </w:rPr>
            </w:pPr>
            <w:r>
              <w:rPr>
                <w:rFonts w:asciiTheme="majorBidi" w:hAnsiTheme="majorBidi" w:cstheme="majorBidi"/>
                <w:b/>
                <w:bCs/>
                <w:color w:val="000000"/>
                <w:sz w:val="22"/>
                <w:szCs w:val="22"/>
                <w:lang w:eastAsia="zh-CN"/>
              </w:rPr>
              <w:t>3</w:t>
            </w:r>
            <w:r w:rsidR="00776E31" w:rsidRPr="00735AB2">
              <w:rPr>
                <w:rFonts w:asciiTheme="majorBidi" w:hAnsiTheme="majorBidi" w:cstheme="majorBidi"/>
                <w:b/>
                <w:bCs/>
                <w:color w:val="000000"/>
                <w:sz w:val="22"/>
                <w:szCs w:val="22"/>
                <w:lang w:eastAsia="zh-CN"/>
              </w:rPr>
              <w:t>–6 p.m.</w:t>
            </w:r>
          </w:p>
        </w:tc>
        <w:tc>
          <w:tcPr>
            <w:tcW w:w="6543" w:type="dxa"/>
            <w:tcBorders>
              <w:top w:val="double" w:sz="6" w:space="0" w:color="auto"/>
              <w:left w:val="nil"/>
              <w:bottom w:val="double" w:sz="6" w:space="0" w:color="auto"/>
              <w:right w:val="double" w:sz="6" w:space="0" w:color="000000"/>
            </w:tcBorders>
            <w:shd w:val="clear" w:color="000000" w:fill="92D050"/>
            <w:vAlign w:val="center"/>
            <w:hideMark/>
          </w:tcPr>
          <w:p w14:paraId="01C71F48" w14:textId="238A3FD7" w:rsidR="00776E31" w:rsidRPr="00735AB2" w:rsidRDefault="00776E31" w:rsidP="00776E31">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 xml:space="preserve">ITC Bureau meeting </w:t>
            </w:r>
          </w:p>
        </w:tc>
      </w:tr>
      <w:tr w:rsidR="0042437B" w:rsidRPr="00735AB2" w14:paraId="61A8751F" w14:textId="77777777" w:rsidTr="003943C1">
        <w:trPr>
          <w:trHeight w:val="660"/>
        </w:trPr>
        <w:tc>
          <w:tcPr>
            <w:tcW w:w="1395" w:type="dxa"/>
            <w:vMerge w:val="restart"/>
            <w:tcBorders>
              <w:top w:val="double" w:sz="6" w:space="0" w:color="auto"/>
              <w:left w:val="double" w:sz="6" w:space="0" w:color="auto"/>
              <w:right w:val="single" w:sz="4" w:space="0" w:color="auto"/>
            </w:tcBorders>
            <w:shd w:val="clear" w:color="auto" w:fill="auto"/>
            <w:vAlign w:val="center"/>
            <w:hideMark/>
          </w:tcPr>
          <w:p w14:paraId="78E2E819" w14:textId="1FFD9272" w:rsidR="0042437B" w:rsidRPr="00735AB2" w:rsidRDefault="0042437B" w:rsidP="009F214E">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 xml:space="preserve">Tuesday </w:t>
            </w:r>
            <w:r w:rsidRPr="00735AB2">
              <w:rPr>
                <w:rFonts w:asciiTheme="majorBidi" w:hAnsiTheme="majorBidi" w:cstheme="majorBidi"/>
                <w:b/>
                <w:bCs/>
                <w:color w:val="000000"/>
                <w:sz w:val="22"/>
                <w:szCs w:val="22"/>
                <w:lang w:eastAsia="zh-CN"/>
              </w:rPr>
              <w:br/>
              <w:t>23 February</w:t>
            </w:r>
          </w:p>
        </w:tc>
        <w:tc>
          <w:tcPr>
            <w:tcW w:w="1701" w:type="dxa"/>
            <w:tcBorders>
              <w:top w:val="double" w:sz="6" w:space="0" w:color="auto"/>
              <w:left w:val="nil"/>
              <w:bottom w:val="single" w:sz="4" w:space="0" w:color="auto"/>
              <w:right w:val="double" w:sz="6" w:space="0" w:color="auto"/>
            </w:tcBorders>
            <w:shd w:val="clear" w:color="auto" w:fill="auto"/>
            <w:vAlign w:val="center"/>
            <w:hideMark/>
          </w:tcPr>
          <w:p w14:paraId="33EF0530" w14:textId="5F745F30" w:rsidR="0042437B" w:rsidRPr="00735AB2" w:rsidRDefault="0042437B" w:rsidP="009F214E">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11 a.m.–1 p.m.</w:t>
            </w:r>
          </w:p>
        </w:tc>
        <w:tc>
          <w:tcPr>
            <w:tcW w:w="6543" w:type="dxa"/>
            <w:tcBorders>
              <w:top w:val="double" w:sz="6" w:space="0" w:color="auto"/>
              <w:left w:val="nil"/>
              <w:bottom w:val="nil"/>
              <w:right w:val="double" w:sz="6" w:space="0" w:color="000000"/>
            </w:tcBorders>
            <w:shd w:val="clear" w:color="000000" w:fill="9BC2E6"/>
            <w:vAlign w:val="center"/>
            <w:hideMark/>
          </w:tcPr>
          <w:p w14:paraId="73A6D0E2" w14:textId="1046DD92" w:rsidR="0042437B" w:rsidRPr="00735AB2" w:rsidRDefault="0042437B" w:rsidP="009F214E">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ITC High-level Policy segment</w:t>
            </w:r>
            <w:r w:rsidRPr="00735AB2">
              <w:rPr>
                <w:rFonts w:asciiTheme="majorBidi" w:hAnsiTheme="majorBidi" w:cstheme="majorBidi"/>
                <w:b/>
                <w:bCs/>
                <w:color w:val="000000"/>
                <w:sz w:val="22"/>
                <w:szCs w:val="22"/>
                <w:lang w:eastAsia="zh-CN"/>
              </w:rPr>
              <w:br/>
            </w:r>
            <w:r w:rsidR="004A203A">
              <w:rPr>
                <w:rFonts w:asciiTheme="majorBidi" w:hAnsiTheme="majorBidi" w:cstheme="majorBidi"/>
                <w:b/>
                <w:bCs/>
                <w:color w:val="000000"/>
                <w:sz w:val="22"/>
                <w:szCs w:val="22"/>
                <w:lang w:eastAsia="zh-CN"/>
              </w:rPr>
              <w:t>Hybrid session with interpretation</w:t>
            </w:r>
          </w:p>
        </w:tc>
      </w:tr>
      <w:tr w:rsidR="0042437B" w:rsidRPr="00735AB2" w14:paraId="07EAD272" w14:textId="77777777" w:rsidTr="003943C1">
        <w:trPr>
          <w:trHeight w:val="585"/>
        </w:trPr>
        <w:tc>
          <w:tcPr>
            <w:tcW w:w="1395" w:type="dxa"/>
            <w:vMerge/>
            <w:tcBorders>
              <w:left w:val="double" w:sz="6" w:space="0" w:color="auto"/>
              <w:right w:val="single" w:sz="4" w:space="0" w:color="auto"/>
            </w:tcBorders>
            <w:shd w:val="clear" w:color="auto" w:fill="auto"/>
            <w:vAlign w:val="center"/>
            <w:hideMark/>
          </w:tcPr>
          <w:p w14:paraId="16A20C64" w14:textId="77777777" w:rsidR="0042437B" w:rsidRPr="00735AB2" w:rsidRDefault="0042437B" w:rsidP="00F2566B">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single" w:sz="4" w:space="0" w:color="auto"/>
              <w:right w:val="double" w:sz="6" w:space="0" w:color="auto"/>
            </w:tcBorders>
            <w:shd w:val="clear" w:color="auto" w:fill="auto"/>
            <w:vAlign w:val="center"/>
            <w:hideMark/>
          </w:tcPr>
          <w:p w14:paraId="61C221E8" w14:textId="77777777" w:rsidR="0042437B" w:rsidRPr="00735AB2" w:rsidRDefault="0042437B" w:rsidP="00F2566B">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1–3 p.m.</w:t>
            </w:r>
          </w:p>
        </w:tc>
        <w:tc>
          <w:tcPr>
            <w:tcW w:w="6543" w:type="dxa"/>
            <w:tcBorders>
              <w:top w:val="nil"/>
              <w:left w:val="nil"/>
              <w:bottom w:val="nil"/>
              <w:right w:val="double" w:sz="6" w:space="0" w:color="000000"/>
            </w:tcBorders>
            <w:shd w:val="clear" w:color="auto" w:fill="auto"/>
            <w:vAlign w:val="center"/>
            <w:hideMark/>
          </w:tcPr>
          <w:p w14:paraId="41BCED5D" w14:textId="63A8674C" w:rsidR="0042437B" w:rsidRPr="00735AB2" w:rsidRDefault="0042437B" w:rsidP="00F2566B">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i/>
                <w:iCs/>
                <w:color w:val="000000"/>
                <w:sz w:val="22"/>
                <w:szCs w:val="22"/>
                <w:lang w:eastAsia="zh-CN"/>
              </w:rPr>
              <w:t xml:space="preserve">Break </w:t>
            </w:r>
          </w:p>
        </w:tc>
      </w:tr>
      <w:tr w:rsidR="0042437B" w:rsidRPr="00735AB2" w14:paraId="248FFB9F" w14:textId="77777777" w:rsidTr="003943C1">
        <w:trPr>
          <w:trHeight w:val="675"/>
        </w:trPr>
        <w:tc>
          <w:tcPr>
            <w:tcW w:w="1395" w:type="dxa"/>
            <w:vMerge/>
            <w:tcBorders>
              <w:left w:val="double" w:sz="6" w:space="0" w:color="auto"/>
              <w:right w:val="single" w:sz="4" w:space="0" w:color="auto"/>
            </w:tcBorders>
            <w:shd w:val="clear" w:color="auto" w:fill="auto"/>
            <w:vAlign w:val="center"/>
            <w:hideMark/>
          </w:tcPr>
          <w:p w14:paraId="569801BB" w14:textId="77777777" w:rsidR="0042437B" w:rsidRPr="00735AB2" w:rsidRDefault="0042437B" w:rsidP="009F214E">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single" w:sz="4" w:space="0" w:color="auto"/>
              <w:right w:val="double" w:sz="6" w:space="0" w:color="auto"/>
            </w:tcBorders>
            <w:shd w:val="clear" w:color="auto" w:fill="auto"/>
            <w:vAlign w:val="center"/>
            <w:hideMark/>
          </w:tcPr>
          <w:p w14:paraId="2087441E" w14:textId="5A8F87A4" w:rsidR="0042437B" w:rsidRPr="00735AB2" w:rsidRDefault="0042437B" w:rsidP="009F214E">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3–5 p.m.</w:t>
            </w:r>
          </w:p>
        </w:tc>
        <w:tc>
          <w:tcPr>
            <w:tcW w:w="6543" w:type="dxa"/>
            <w:tcBorders>
              <w:top w:val="double" w:sz="6" w:space="0" w:color="auto"/>
              <w:left w:val="nil"/>
              <w:bottom w:val="nil"/>
              <w:right w:val="double" w:sz="6" w:space="0" w:color="000000"/>
            </w:tcBorders>
            <w:shd w:val="clear" w:color="000000" w:fill="9BC2E6"/>
            <w:vAlign w:val="center"/>
          </w:tcPr>
          <w:p w14:paraId="004CFCEF" w14:textId="614F0E04" w:rsidR="0042437B" w:rsidRPr="00735AB2" w:rsidRDefault="0042437B" w:rsidP="00A037F2">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 xml:space="preserve">ITC Annual Session - Restricted session* </w:t>
            </w:r>
            <w:r w:rsidR="004A203A">
              <w:rPr>
                <w:rFonts w:asciiTheme="majorBidi" w:hAnsiTheme="majorBidi" w:cstheme="majorBidi"/>
                <w:b/>
                <w:bCs/>
                <w:color w:val="000000"/>
                <w:sz w:val="22"/>
                <w:szCs w:val="22"/>
                <w:lang w:eastAsia="zh-CN"/>
              </w:rPr>
              <w:t>Hybrid session with interpretation</w:t>
            </w:r>
            <w:r w:rsidR="004A203A" w:rsidRPr="00735AB2">
              <w:rPr>
                <w:rFonts w:asciiTheme="majorBidi" w:hAnsiTheme="majorBidi" w:cstheme="majorBidi"/>
                <w:b/>
                <w:bCs/>
                <w:color w:val="000000"/>
                <w:sz w:val="22"/>
                <w:szCs w:val="22"/>
                <w:lang w:eastAsia="zh-CN"/>
              </w:rPr>
              <w:t xml:space="preserve"> </w:t>
            </w:r>
            <w:r w:rsidRPr="00735AB2">
              <w:rPr>
                <w:rFonts w:asciiTheme="majorBidi" w:hAnsiTheme="majorBidi" w:cstheme="majorBidi"/>
                <w:b/>
                <w:bCs/>
                <w:color w:val="000000"/>
                <w:sz w:val="22"/>
                <w:szCs w:val="22"/>
                <w:lang w:eastAsia="zh-CN"/>
              </w:rPr>
              <w:t xml:space="preserve">(*Government representatives only) </w:t>
            </w:r>
          </w:p>
        </w:tc>
      </w:tr>
      <w:tr w:rsidR="0042437B" w:rsidRPr="004A203A" w14:paraId="46FC404C" w14:textId="77777777" w:rsidTr="003943C1">
        <w:trPr>
          <w:trHeight w:val="315"/>
        </w:trPr>
        <w:tc>
          <w:tcPr>
            <w:tcW w:w="1395" w:type="dxa"/>
            <w:vMerge/>
            <w:tcBorders>
              <w:left w:val="double" w:sz="6" w:space="0" w:color="auto"/>
              <w:bottom w:val="double" w:sz="6" w:space="0" w:color="000000"/>
              <w:right w:val="single" w:sz="4" w:space="0" w:color="auto"/>
            </w:tcBorders>
            <w:shd w:val="clear" w:color="auto" w:fill="auto"/>
            <w:vAlign w:val="center"/>
            <w:hideMark/>
          </w:tcPr>
          <w:p w14:paraId="65668BFB" w14:textId="77777777" w:rsidR="0042437B" w:rsidRPr="00735AB2" w:rsidRDefault="0042437B" w:rsidP="009F214E">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double" w:sz="6" w:space="0" w:color="auto"/>
              <w:right w:val="double" w:sz="6" w:space="0" w:color="auto"/>
            </w:tcBorders>
            <w:shd w:val="clear" w:color="auto" w:fill="auto"/>
            <w:vAlign w:val="center"/>
            <w:hideMark/>
          </w:tcPr>
          <w:p w14:paraId="2A1505FC" w14:textId="77777777" w:rsidR="0042437B" w:rsidRPr="00735AB2" w:rsidRDefault="0042437B" w:rsidP="009F214E">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6–8 p.m.</w:t>
            </w:r>
          </w:p>
        </w:tc>
        <w:tc>
          <w:tcPr>
            <w:tcW w:w="6543" w:type="dxa"/>
            <w:tcBorders>
              <w:top w:val="nil"/>
              <w:left w:val="nil"/>
              <w:bottom w:val="double" w:sz="6" w:space="0" w:color="auto"/>
              <w:right w:val="double" w:sz="6" w:space="0" w:color="000000"/>
            </w:tcBorders>
            <w:shd w:val="clear" w:color="000000" w:fill="FFC000"/>
            <w:vAlign w:val="center"/>
            <w:hideMark/>
          </w:tcPr>
          <w:p w14:paraId="03935A4F" w14:textId="06EAF79C" w:rsidR="0042437B" w:rsidRPr="008E271A" w:rsidRDefault="0042437B" w:rsidP="009F214E">
            <w:pPr>
              <w:suppressAutoHyphens w:val="0"/>
              <w:spacing w:line="240" w:lineRule="auto"/>
              <w:jc w:val="center"/>
              <w:rPr>
                <w:rFonts w:asciiTheme="majorBidi" w:hAnsiTheme="majorBidi" w:cstheme="majorBidi"/>
                <w:b/>
                <w:bCs/>
                <w:color w:val="000000"/>
                <w:sz w:val="22"/>
                <w:szCs w:val="22"/>
                <w:lang w:val="fr-CH" w:eastAsia="zh-CN"/>
              </w:rPr>
            </w:pPr>
            <w:r w:rsidRPr="008E271A">
              <w:rPr>
                <w:rFonts w:asciiTheme="majorBidi" w:hAnsiTheme="majorBidi" w:cstheme="majorBidi"/>
                <w:b/>
                <w:bCs/>
                <w:color w:val="000000"/>
                <w:sz w:val="22"/>
                <w:szCs w:val="22"/>
                <w:lang w:val="fr-CH" w:eastAsia="zh-CN"/>
              </w:rPr>
              <w:t>Cocktail/Reception (Palais des Nations) (</w:t>
            </w:r>
            <w:r w:rsidRPr="008E271A">
              <w:rPr>
                <w:rFonts w:asciiTheme="majorBidi" w:hAnsiTheme="majorBidi" w:cstheme="majorBidi"/>
                <w:b/>
                <w:bCs/>
                <w:color w:val="FF0000"/>
                <w:sz w:val="22"/>
                <w:szCs w:val="22"/>
                <w:lang w:val="fr-CH" w:eastAsia="zh-CN"/>
              </w:rPr>
              <w:t>tbc</w:t>
            </w:r>
            <w:r w:rsidRPr="008E271A">
              <w:rPr>
                <w:rFonts w:asciiTheme="majorBidi" w:hAnsiTheme="majorBidi" w:cstheme="majorBidi"/>
                <w:b/>
                <w:bCs/>
                <w:color w:val="000000"/>
                <w:sz w:val="22"/>
                <w:szCs w:val="22"/>
                <w:lang w:val="fr-CH" w:eastAsia="zh-CN"/>
              </w:rPr>
              <w:t>)</w:t>
            </w:r>
          </w:p>
        </w:tc>
      </w:tr>
      <w:tr w:rsidR="00E239B9" w:rsidRPr="00735AB2" w14:paraId="5125CFBB" w14:textId="77777777" w:rsidTr="009F214E">
        <w:trPr>
          <w:trHeight w:val="975"/>
        </w:trPr>
        <w:tc>
          <w:tcPr>
            <w:tcW w:w="1395" w:type="dxa"/>
            <w:vMerge w:val="restart"/>
            <w:tcBorders>
              <w:top w:val="nil"/>
              <w:left w:val="double" w:sz="6" w:space="0" w:color="auto"/>
              <w:bottom w:val="double" w:sz="6" w:space="0" w:color="000000"/>
              <w:right w:val="single" w:sz="4" w:space="0" w:color="auto"/>
            </w:tcBorders>
            <w:shd w:val="clear" w:color="auto" w:fill="auto"/>
            <w:vAlign w:val="center"/>
            <w:hideMark/>
          </w:tcPr>
          <w:p w14:paraId="563B74E8" w14:textId="65E8F5DC" w:rsidR="00E239B9" w:rsidRPr="00735AB2" w:rsidRDefault="00E239B9" w:rsidP="009F214E">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Wednesday</w:t>
            </w:r>
            <w:r w:rsidRPr="00735AB2">
              <w:rPr>
                <w:rFonts w:asciiTheme="majorBidi" w:hAnsiTheme="majorBidi" w:cstheme="majorBidi"/>
                <w:b/>
                <w:bCs/>
                <w:color w:val="000000"/>
                <w:sz w:val="22"/>
                <w:szCs w:val="22"/>
                <w:lang w:eastAsia="zh-CN"/>
              </w:rPr>
              <w:br/>
            </w:r>
            <w:r w:rsidR="00191664" w:rsidRPr="00735AB2">
              <w:rPr>
                <w:rFonts w:asciiTheme="majorBidi" w:hAnsiTheme="majorBidi" w:cstheme="majorBidi"/>
                <w:b/>
                <w:bCs/>
                <w:color w:val="000000"/>
                <w:sz w:val="22"/>
                <w:szCs w:val="22"/>
                <w:lang w:eastAsia="zh-CN"/>
              </w:rPr>
              <w:t>24</w:t>
            </w:r>
            <w:r w:rsidRPr="00735AB2">
              <w:rPr>
                <w:rFonts w:asciiTheme="majorBidi" w:hAnsiTheme="majorBidi" w:cstheme="majorBidi"/>
                <w:b/>
                <w:bCs/>
                <w:color w:val="000000"/>
                <w:sz w:val="22"/>
                <w:szCs w:val="22"/>
                <w:lang w:eastAsia="zh-CN"/>
              </w:rPr>
              <w:t xml:space="preserve"> February</w:t>
            </w:r>
          </w:p>
        </w:tc>
        <w:tc>
          <w:tcPr>
            <w:tcW w:w="1701" w:type="dxa"/>
            <w:tcBorders>
              <w:top w:val="nil"/>
              <w:left w:val="nil"/>
              <w:bottom w:val="single" w:sz="4" w:space="0" w:color="auto"/>
              <w:right w:val="double" w:sz="6" w:space="0" w:color="auto"/>
            </w:tcBorders>
            <w:shd w:val="clear" w:color="auto" w:fill="auto"/>
            <w:vAlign w:val="center"/>
            <w:hideMark/>
          </w:tcPr>
          <w:p w14:paraId="4200C531" w14:textId="36D631E4" w:rsidR="00E239B9" w:rsidRPr="00735AB2" w:rsidRDefault="00E239B9" w:rsidP="009F214E">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1</w:t>
            </w:r>
            <w:r w:rsidR="0001535C" w:rsidRPr="00735AB2">
              <w:rPr>
                <w:rFonts w:asciiTheme="majorBidi" w:hAnsiTheme="majorBidi" w:cstheme="majorBidi"/>
                <w:b/>
                <w:bCs/>
                <w:color w:val="000000"/>
                <w:sz w:val="22"/>
                <w:szCs w:val="22"/>
                <w:lang w:eastAsia="zh-CN"/>
              </w:rPr>
              <w:t>1</w:t>
            </w:r>
            <w:r w:rsidRPr="00735AB2">
              <w:rPr>
                <w:rFonts w:asciiTheme="majorBidi" w:hAnsiTheme="majorBidi" w:cstheme="majorBidi"/>
                <w:b/>
                <w:bCs/>
                <w:color w:val="000000"/>
                <w:sz w:val="22"/>
                <w:szCs w:val="22"/>
                <w:lang w:eastAsia="zh-CN"/>
              </w:rPr>
              <w:t xml:space="preserve"> a.m.–1 p.m.</w:t>
            </w:r>
          </w:p>
        </w:tc>
        <w:tc>
          <w:tcPr>
            <w:tcW w:w="6543" w:type="dxa"/>
            <w:tcBorders>
              <w:top w:val="double" w:sz="6" w:space="0" w:color="auto"/>
              <w:left w:val="nil"/>
              <w:bottom w:val="nil"/>
              <w:right w:val="double" w:sz="6" w:space="0" w:color="000000"/>
            </w:tcBorders>
            <w:shd w:val="clear" w:color="000000" w:fill="9BC2E6"/>
            <w:vAlign w:val="center"/>
            <w:hideMark/>
          </w:tcPr>
          <w:p w14:paraId="3299CBA2" w14:textId="26EA5799" w:rsidR="00E239B9" w:rsidRPr="00735AB2" w:rsidRDefault="00E239B9" w:rsidP="009F214E">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 xml:space="preserve">ITC Annual Session </w:t>
            </w:r>
            <w:r w:rsidRPr="00735AB2">
              <w:rPr>
                <w:rFonts w:asciiTheme="majorBidi" w:hAnsiTheme="majorBidi" w:cstheme="majorBidi"/>
                <w:b/>
                <w:bCs/>
                <w:color w:val="000000"/>
                <w:sz w:val="22"/>
                <w:szCs w:val="22"/>
                <w:lang w:eastAsia="zh-CN"/>
              </w:rPr>
              <w:br/>
              <w:t>Regular session</w:t>
            </w:r>
            <w:r w:rsidRPr="00735AB2">
              <w:rPr>
                <w:rFonts w:asciiTheme="majorBidi" w:hAnsiTheme="majorBidi" w:cstheme="majorBidi"/>
                <w:b/>
                <w:bCs/>
                <w:color w:val="000000"/>
                <w:sz w:val="22"/>
                <w:szCs w:val="22"/>
                <w:lang w:eastAsia="zh-CN"/>
              </w:rPr>
              <w:br/>
            </w:r>
            <w:r w:rsidR="004A203A">
              <w:rPr>
                <w:rFonts w:asciiTheme="majorBidi" w:hAnsiTheme="majorBidi" w:cstheme="majorBidi"/>
                <w:b/>
                <w:bCs/>
                <w:color w:val="000000"/>
                <w:sz w:val="22"/>
                <w:szCs w:val="22"/>
                <w:lang w:eastAsia="zh-CN"/>
              </w:rPr>
              <w:t>Hybrid session with interpretation</w:t>
            </w:r>
          </w:p>
        </w:tc>
      </w:tr>
      <w:tr w:rsidR="00E239B9" w:rsidRPr="00735AB2" w14:paraId="000CF39C" w14:textId="77777777" w:rsidTr="009F214E">
        <w:trPr>
          <w:trHeight w:val="315"/>
        </w:trPr>
        <w:tc>
          <w:tcPr>
            <w:tcW w:w="1395" w:type="dxa"/>
            <w:vMerge/>
            <w:tcBorders>
              <w:top w:val="nil"/>
              <w:left w:val="double" w:sz="6" w:space="0" w:color="auto"/>
              <w:bottom w:val="double" w:sz="6" w:space="0" w:color="000000"/>
              <w:right w:val="single" w:sz="4" w:space="0" w:color="auto"/>
            </w:tcBorders>
            <w:vAlign w:val="center"/>
            <w:hideMark/>
          </w:tcPr>
          <w:p w14:paraId="329F1685" w14:textId="77777777" w:rsidR="00E239B9" w:rsidRPr="00735AB2" w:rsidRDefault="00E239B9" w:rsidP="009F214E">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single" w:sz="4" w:space="0" w:color="auto"/>
              <w:right w:val="double" w:sz="6" w:space="0" w:color="auto"/>
            </w:tcBorders>
            <w:shd w:val="clear" w:color="auto" w:fill="auto"/>
            <w:vAlign w:val="center"/>
            <w:hideMark/>
          </w:tcPr>
          <w:p w14:paraId="1C2FC123" w14:textId="77777777" w:rsidR="00E239B9" w:rsidRPr="00735AB2" w:rsidRDefault="00E239B9" w:rsidP="009F214E">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1–3 p.m.</w:t>
            </w:r>
          </w:p>
        </w:tc>
        <w:tc>
          <w:tcPr>
            <w:tcW w:w="6543" w:type="dxa"/>
            <w:tcBorders>
              <w:top w:val="nil"/>
              <w:left w:val="nil"/>
              <w:bottom w:val="nil"/>
              <w:right w:val="double" w:sz="6" w:space="0" w:color="000000"/>
            </w:tcBorders>
            <w:shd w:val="clear" w:color="auto" w:fill="auto"/>
            <w:vAlign w:val="center"/>
            <w:hideMark/>
          </w:tcPr>
          <w:p w14:paraId="6F1126DE" w14:textId="77777777" w:rsidR="00E239B9" w:rsidRPr="00735AB2" w:rsidRDefault="00E239B9" w:rsidP="009F214E">
            <w:pPr>
              <w:suppressAutoHyphens w:val="0"/>
              <w:spacing w:line="240" w:lineRule="auto"/>
              <w:jc w:val="center"/>
              <w:rPr>
                <w:rFonts w:asciiTheme="majorBidi" w:hAnsiTheme="majorBidi" w:cstheme="majorBidi"/>
                <w:b/>
                <w:bCs/>
                <w:i/>
                <w:iCs/>
                <w:color w:val="000000"/>
                <w:sz w:val="22"/>
                <w:szCs w:val="22"/>
                <w:lang w:eastAsia="zh-CN"/>
              </w:rPr>
            </w:pPr>
            <w:r w:rsidRPr="00735AB2">
              <w:rPr>
                <w:rFonts w:asciiTheme="majorBidi" w:hAnsiTheme="majorBidi" w:cstheme="majorBidi"/>
                <w:b/>
                <w:bCs/>
                <w:i/>
                <w:iCs/>
                <w:color w:val="000000"/>
                <w:sz w:val="22"/>
                <w:szCs w:val="22"/>
                <w:lang w:eastAsia="zh-CN"/>
              </w:rPr>
              <w:t xml:space="preserve">Break </w:t>
            </w:r>
          </w:p>
        </w:tc>
      </w:tr>
      <w:tr w:rsidR="00E239B9" w:rsidRPr="00735AB2" w14:paraId="627C189E" w14:textId="77777777" w:rsidTr="009F214E">
        <w:trPr>
          <w:trHeight w:val="1065"/>
        </w:trPr>
        <w:tc>
          <w:tcPr>
            <w:tcW w:w="1395" w:type="dxa"/>
            <w:vMerge/>
            <w:tcBorders>
              <w:top w:val="nil"/>
              <w:left w:val="double" w:sz="6" w:space="0" w:color="auto"/>
              <w:bottom w:val="double" w:sz="6" w:space="0" w:color="000000"/>
              <w:right w:val="single" w:sz="4" w:space="0" w:color="auto"/>
            </w:tcBorders>
            <w:vAlign w:val="center"/>
            <w:hideMark/>
          </w:tcPr>
          <w:p w14:paraId="0BEA5CF3" w14:textId="77777777" w:rsidR="00E239B9" w:rsidRPr="00735AB2" w:rsidRDefault="00E239B9" w:rsidP="009F214E">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double" w:sz="6" w:space="0" w:color="auto"/>
              <w:right w:val="double" w:sz="6" w:space="0" w:color="auto"/>
            </w:tcBorders>
            <w:shd w:val="clear" w:color="auto" w:fill="auto"/>
            <w:vAlign w:val="center"/>
            <w:hideMark/>
          </w:tcPr>
          <w:p w14:paraId="38FC8F60" w14:textId="318EC870" w:rsidR="00E239B9" w:rsidRPr="00735AB2" w:rsidRDefault="00E239B9" w:rsidP="009F214E">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3–</w:t>
            </w:r>
            <w:r w:rsidR="0001535C" w:rsidRPr="00735AB2">
              <w:rPr>
                <w:rFonts w:asciiTheme="majorBidi" w:hAnsiTheme="majorBidi" w:cstheme="majorBidi"/>
                <w:b/>
                <w:bCs/>
                <w:color w:val="000000"/>
                <w:sz w:val="22"/>
                <w:szCs w:val="22"/>
                <w:lang w:eastAsia="zh-CN"/>
              </w:rPr>
              <w:t>5</w:t>
            </w:r>
            <w:r w:rsidRPr="00735AB2">
              <w:rPr>
                <w:rFonts w:asciiTheme="majorBidi" w:hAnsiTheme="majorBidi" w:cstheme="majorBidi"/>
                <w:b/>
                <w:bCs/>
                <w:color w:val="000000"/>
                <w:sz w:val="22"/>
                <w:szCs w:val="22"/>
                <w:lang w:eastAsia="zh-CN"/>
              </w:rPr>
              <w:t xml:space="preserve"> p.m.</w:t>
            </w:r>
          </w:p>
        </w:tc>
        <w:tc>
          <w:tcPr>
            <w:tcW w:w="6543" w:type="dxa"/>
            <w:tcBorders>
              <w:top w:val="double" w:sz="6" w:space="0" w:color="auto"/>
              <w:left w:val="nil"/>
              <w:bottom w:val="nil"/>
              <w:right w:val="double" w:sz="6" w:space="0" w:color="000000"/>
            </w:tcBorders>
            <w:shd w:val="clear" w:color="000000" w:fill="9BC2E6"/>
            <w:vAlign w:val="center"/>
            <w:hideMark/>
          </w:tcPr>
          <w:p w14:paraId="4C1526BE" w14:textId="3CC91E79" w:rsidR="00E239B9" w:rsidRPr="00735AB2" w:rsidRDefault="00E239B9" w:rsidP="009F214E">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 xml:space="preserve">ITC Annual Session </w:t>
            </w:r>
            <w:r w:rsidRPr="00735AB2">
              <w:rPr>
                <w:rFonts w:asciiTheme="majorBidi" w:hAnsiTheme="majorBidi" w:cstheme="majorBidi"/>
                <w:b/>
                <w:bCs/>
                <w:color w:val="000000"/>
                <w:sz w:val="22"/>
                <w:szCs w:val="22"/>
                <w:lang w:eastAsia="zh-CN"/>
              </w:rPr>
              <w:br/>
              <w:t>Regular session (Cont'd)</w:t>
            </w:r>
            <w:r w:rsidRPr="00735AB2">
              <w:rPr>
                <w:rFonts w:asciiTheme="majorBidi" w:hAnsiTheme="majorBidi" w:cstheme="majorBidi"/>
                <w:b/>
                <w:bCs/>
                <w:color w:val="000000"/>
                <w:sz w:val="22"/>
                <w:szCs w:val="22"/>
                <w:lang w:eastAsia="zh-CN"/>
              </w:rPr>
              <w:br/>
            </w:r>
            <w:r w:rsidR="004A203A">
              <w:rPr>
                <w:rFonts w:asciiTheme="majorBidi" w:hAnsiTheme="majorBidi" w:cstheme="majorBidi"/>
                <w:b/>
                <w:bCs/>
                <w:color w:val="000000"/>
                <w:sz w:val="22"/>
                <w:szCs w:val="22"/>
                <w:lang w:eastAsia="zh-CN"/>
              </w:rPr>
              <w:t>Hybrid session with interpretation</w:t>
            </w:r>
          </w:p>
        </w:tc>
      </w:tr>
      <w:tr w:rsidR="0001535C" w:rsidRPr="00735AB2" w14:paraId="61E78388" w14:textId="77777777" w:rsidTr="009F214E">
        <w:trPr>
          <w:trHeight w:val="1155"/>
        </w:trPr>
        <w:tc>
          <w:tcPr>
            <w:tcW w:w="1395" w:type="dxa"/>
            <w:vMerge w:val="restart"/>
            <w:tcBorders>
              <w:top w:val="nil"/>
              <w:left w:val="double" w:sz="6" w:space="0" w:color="auto"/>
              <w:bottom w:val="double" w:sz="6" w:space="0" w:color="000000"/>
              <w:right w:val="single" w:sz="4" w:space="0" w:color="auto"/>
            </w:tcBorders>
            <w:shd w:val="clear" w:color="auto" w:fill="auto"/>
            <w:vAlign w:val="center"/>
            <w:hideMark/>
          </w:tcPr>
          <w:p w14:paraId="4DC95E2F" w14:textId="62C261CA" w:rsidR="0001535C" w:rsidRPr="00735AB2" w:rsidRDefault="0001535C" w:rsidP="0001535C">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Thursday</w:t>
            </w:r>
            <w:r w:rsidRPr="00735AB2">
              <w:rPr>
                <w:rFonts w:asciiTheme="majorBidi" w:hAnsiTheme="majorBidi" w:cstheme="majorBidi"/>
                <w:b/>
                <w:bCs/>
                <w:color w:val="000000"/>
                <w:sz w:val="22"/>
                <w:szCs w:val="22"/>
                <w:lang w:eastAsia="zh-CN"/>
              </w:rPr>
              <w:br/>
              <w:t>25 February</w:t>
            </w:r>
          </w:p>
        </w:tc>
        <w:tc>
          <w:tcPr>
            <w:tcW w:w="1701" w:type="dxa"/>
            <w:tcBorders>
              <w:top w:val="nil"/>
              <w:left w:val="nil"/>
              <w:bottom w:val="single" w:sz="4" w:space="0" w:color="auto"/>
              <w:right w:val="double" w:sz="6" w:space="0" w:color="auto"/>
            </w:tcBorders>
            <w:shd w:val="clear" w:color="auto" w:fill="auto"/>
            <w:vAlign w:val="center"/>
            <w:hideMark/>
          </w:tcPr>
          <w:p w14:paraId="412F036C" w14:textId="009F3061" w:rsidR="0001535C" w:rsidRPr="00735AB2" w:rsidRDefault="0001535C" w:rsidP="0001535C">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11 a.m.–1 p.m.</w:t>
            </w:r>
          </w:p>
        </w:tc>
        <w:tc>
          <w:tcPr>
            <w:tcW w:w="6543" w:type="dxa"/>
            <w:tcBorders>
              <w:top w:val="double" w:sz="6" w:space="0" w:color="auto"/>
              <w:left w:val="nil"/>
              <w:bottom w:val="nil"/>
              <w:right w:val="double" w:sz="6" w:space="0" w:color="000000"/>
            </w:tcBorders>
            <w:shd w:val="clear" w:color="000000" w:fill="9BC2E6"/>
            <w:vAlign w:val="center"/>
            <w:hideMark/>
          </w:tcPr>
          <w:p w14:paraId="43A3119D" w14:textId="23085FF3" w:rsidR="0001535C" w:rsidRPr="00735AB2" w:rsidRDefault="0001535C" w:rsidP="0001535C">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 xml:space="preserve">ITC Annual Session </w:t>
            </w:r>
            <w:r w:rsidRPr="00735AB2">
              <w:rPr>
                <w:rFonts w:asciiTheme="majorBidi" w:hAnsiTheme="majorBidi" w:cstheme="majorBidi"/>
                <w:b/>
                <w:bCs/>
                <w:color w:val="000000"/>
                <w:sz w:val="22"/>
                <w:szCs w:val="22"/>
                <w:lang w:eastAsia="zh-CN"/>
              </w:rPr>
              <w:br/>
              <w:t>Regular session (Cont'd)</w:t>
            </w:r>
            <w:r w:rsidRPr="00735AB2">
              <w:rPr>
                <w:rFonts w:asciiTheme="majorBidi" w:hAnsiTheme="majorBidi" w:cstheme="majorBidi"/>
                <w:b/>
                <w:bCs/>
                <w:color w:val="000000"/>
                <w:sz w:val="22"/>
                <w:szCs w:val="22"/>
                <w:lang w:eastAsia="zh-CN"/>
              </w:rPr>
              <w:br/>
            </w:r>
            <w:r w:rsidR="004A203A">
              <w:rPr>
                <w:rFonts w:asciiTheme="majorBidi" w:hAnsiTheme="majorBidi" w:cstheme="majorBidi"/>
                <w:b/>
                <w:bCs/>
                <w:color w:val="000000"/>
                <w:sz w:val="22"/>
                <w:szCs w:val="22"/>
                <w:lang w:eastAsia="zh-CN"/>
              </w:rPr>
              <w:t>Hybrid session with interpretation</w:t>
            </w:r>
          </w:p>
        </w:tc>
      </w:tr>
      <w:tr w:rsidR="00E239B9" w:rsidRPr="00735AB2" w14:paraId="51C029CD" w14:textId="77777777" w:rsidTr="009F214E">
        <w:trPr>
          <w:trHeight w:val="315"/>
        </w:trPr>
        <w:tc>
          <w:tcPr>
            <w:tcW w:w="1395" w:type="dxa"/>
            <w:vMerge/>
            <w:tcBorders>
              <w:top w:val="nil"/>
              <w:left w:val="double" w:sz="6" w:space="0" w:color="auto"/>
              <w:bottom w:val="double" w:sz="6" w:space="0" w:color="000000"/>
              <w:right w:val="single" w:sz="4" w:space="0" w:color="auto"/>
            </w:tcBorders>
            <w:vAlign w:val="center"/>
            <w:hideMark/>
          </w:tcPr>
          <w:p w14:paraId="09ADEDE6" w14:textId="77777777" w:rsidR="00E239B9" w:rsidRPr="00735AB2" w:rsidRDefault="00E239B9" w:rsidP="009F214E">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single" w:sz="4" w:space="0" w:color="auto"/>
              <w:right w:val="double" w:sz="6" w:space="0" w:color="auto"/>
            </w:tcBorders>
            <w:shd w:val="clear" w:color="auto" w:fill="auto"/>
            <w:vAlign w:val="center"/>
            <w:hideMark/>
          </w:tcPr>
          <w:p w14:paraId="708C3CD6" w14:textId="77777777" w:rsidR="00E239B9" w:rsidRPr="00735AB2" w:rsidRDefault="00E239B9" w:rsidP="009F214E">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1–3 p.m.</w:t>
            </w:r>
          </w:p>
        </w:tc>
        <w:tc>
          <w:tcPr>
            <w:tcW w:w="6543" w:type="dxa"/>
            <w:tcBorders>
              <w:top w:val="nil"/>
              <w:left w:val="nil"/>
              <w:bottom w:val="nil"/>
              <w:right w:val="double" w:sz="6" w:space="0" w:color="000000"/>
            </w:tcBorders>
            <w:shd w:val="clear" w:color="auto" w:fill="auto"/>
            <w:vAlign w:val="center"/>
            <w:hideMark/>
          </w:tcPr>
          <w:p w14:paraId="4F06C4FE" w14:textId="77777777" w:rsidR="00E239B9" w:rsidRPr="00735AB2" w:rsidRDefault="00E239B9" w:rsidP="009F214E">
            <w:pPr>
              <w:suppressAutoHyphens w:val="0"/>
              <w:spacing w:line="240" w:lineRule="auto"/>
              <w:jc w:val="center"/>
              <w:rPr>
                <w:rFonts w:asciiTheme="majorBidi" w:hAnsiTheme="majorBidi" w:cstheme="majorBidi"/>
                <w:b/>
                <w:bCs/>
                <w:i/>
                <w:iCs/>
                <w:color w:val="000000"/>
                <w:sz w:val="22"/>
                <w:szCs w:val="22"/>
                <w:lang w:eastAsia="zh-CN"/>
              </w:rPr>
            </w:pPr>
            <w:r w:rsidRPr="00735AB2">
              <w:rPr>
                <w:rFonts w:asciiTheme="majorBidi" w:hAnsiTheme="majorBidi" w:cstheme="majorBidi"/>
                <w:b/>
                <w:bCs/>
                <w:i/>
                <w:iCs/>
                <w:color w:val="000000"/>
                <w:sz w:val="22"/>
                <w:szCs w:val="22"/>
                <w:lang w:eastAsia="zh-CN"/>
              </w:rPr>
              <w:t xml:space="preserve">Break </w:t>
            </w:r>
          </w:p>
        </w:tc>
      </w:tr>
      <w:tr w:rsidR="0001535C" w:rsidRPr="00735AB2" w14:paraId="3E6DCCF0" w14:textId="77777777" w:rsidTr="009F214E">
        <w:trPr>
          <w:trHeight w:val="1080"/>
        </w:trPr>
        <w:tc>
          <w:tcPr>
            <w:tcW w:w="1395" w:type="dxa"/>
            <w:vMerge/>
            <w:tcBorders>
              <w:top w:val="nil"/>
              <w:left w:val="double" w:sz="6" w:space="0" w:color="auto"/>
              <w:bottom w:val="double" w:sz="6" w:space="0" w:color="000000"/>
              <w:right w:val="single" w:sz="4" w:space="0" w:color="auto"/>
            </w:tcBorders>
            <w:vAlign w:val="center"/>
            <w:hideMark/>
          </w:tcPr>
          <w:p w14:paraId="54107C08" w14:textId="77777777" w:rsidR="0001535C" w:rsidRPr="00735AB2" w:rsidRDefault="0001535C" w:rsidP="0001535C">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double" w:sz="6" w:space="0" w:color="auto"/>
              <w:right w:val="double" w:sz="6" w:space="0" w:color="auto"/>
            </w:tcBorders>
            <w:shd w:val="clear" w:color="auto" w:fill="auto"/>
            <w:vAlign w:val="center"/>
            <w:hideMark/>
          </w:tcPr>
          <w:p w14:paraId="17732197" w14:textId="51988335" w:rsidR="0001535C" w:rsidRPr="00735AB2" w:rsidRDefault="0001535C" w:rsidP="0001535C">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3–5 p.m.</w:t>
            </w:r>
          </w:p>
        </w:tc>
        <w:tc>
          <w:tcPr>
            <w:tcW w:w="6543" w:type="dxa"/>
            <w:tcBorders>
              <w:top w:val="double" w:sz="6" w:space="0" w:color="auto"/>
              <w:left w:val="nil"/>
              <w:bottom w:val="nil"/>
              <w:right w:val="double" w:sz="6" w:space="0" w:color="000000"/>
            </w:tcBorders>
            <w:shd w:val="clear" w:color="000000" w:fill="9BC2E6"/>
            <w:vAlign w:val="center"/>
            <w:hideMark/>
          </w:tcPr>
          <w:p w14:paraId="36DC59CD" w14:textId="5C0F83B7" w:rsidR="0001535C" w:rsidRPr="00735AB2" w:rsidRDefault="0001535C" w:rsidP="0001535C">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 xml:space="preserve">ITC Annual Session </w:t>
            </w:r>
            <w:r w:rsidRPr="00735AB2">
              <w:rPr>
                <w:rFonts w:asciiTheme="majorBidi" w:hAnsiTheme="majorBidi" w:cstheme="majorBidi"/>
                <w:b/>
                <w:bCs/>
                <w:color w:val="000000"/>
                <w:sz w:val="22"/>
                <w:szCs w:val="22"/>
                <w:lang w:eastAsia="zh-CN"/>
              </w:rPr>
              <w:br/>
              <w:t>Regular session (Cont'd)</w:t>
            </w:r>
            <w:r w:rsidRPr="00735AB2">
              <w:rPr>
                <w:rFonts w:asciiTheme="majorBidi" w:hAnsiTheme="majorBidi" w:cstheme="majorBidi"/>
                <w:b/>
                <w:bCs/>
                <w:color w:val="000000"/>
                <w:sz w:val="22"/>
                <w:szCs w:val="22"/>
                <w:lang w:eastAsia="zh-CN"/>
              </w:rPr>
              <w:br/>
            </w:r>
            <w:r w:rsidR="004A203A">
              <w:rPr>
                <w:rFonts w:asciiTheme="majorBidi" w:hAnsiTheme="majorBidi" w:cstheme="majorBidi"/>
                <w:b/>
                <w:bCs/>
                <w:color w:val="000000"/>
                <w:sz w:val="22"/>
                <w:szCs w:val="22"/>
                <w:lang w:eastAsia="zh-CN"/>
              </w:rPr>
              <w:t>Hybrid session with interpretation</w:t>
            </w:r>
          </w:p>
        </w:tc>
      </w:tr>
      <w:tr w:rsidR="0001535C" w:rsidRPr="00735AB2" w14:paraId="44F73520" w14:textId="77777777" w:rsidTr="009F214E">
        <w:trPr>
          <w:trHeight w:val="1020"/>
        </w:trPr>
        <w:tc>
          <w:tcPr>
            <w:tcW w:w="1395" w:type="dxa"/>
            <w:vMerge w:val="restart"/>
            <w:tcBorders>
              <w:top w:val="nil"/>
              <w:left w:val="double" w:sz="6" w:space="0" w:color="auto"/>
              <w:bottom w:val="double" w:sz="6" w:space="0" w:color="000000"/>
              <w:right w:val="single" w:sz="4" w:space="0" w:color="auto"/>
            </w:tcBorders>
            <w:shd w:val="clear" w:color="auto" w:fill="auto"/>
            <w:vAlign w:val="center"/>
            <w:hideMark/>
          </w:tcPr>
          <w:p w14:paraId="155BE743" w14:textId="7BF58393" w:rsidR="0001535C" w:rsidRPr="00735AB2" w:rsidRDefault="0001535C" w:rsidP="0001535C">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 xml:space="preserve">Friday </w:t>
            </w:r>
            <w:r w:rsidRPr="00735AB2">
              <w:rPr>
                <w:rFonts w:asciiTheme="majorBidi" w:hAnsiTheme="majorBidi" w:cstheme="majorBidi"/>
                <w:b/>
                <w:bCs/>
                <w:color w:val="000000"/>
                <w:sz w:val="22"/>
                <w:szCs w:val="22"/>
                <w:lang w:eastAsia="zh-CN"/>
              </w:rPr>
              <w:br/>
              <w:t>26 February</w:t>
            </w:r>
          </w:p>
        </w:tc>
        <w:tc>
          <w:tcPr>
            <w:tcW w:w="1701" w:type="dxa"/>
            <w:tcBorders>
              <w:top w:val="nil"/>
              <w:left w:val="nil"/>
              <w:bottom w:val="single" w:sz="4" w:space="0" w:color="auto"/>
              <w:right w:val="double" w:sz="6" w:space="0" w:color="auto"/>
            </w:tcBorders>
            <w:shd w:val="clear" w:color="auto" w:fill="auto"/>
            <w:vAlign w:val="center"/>
            <w:hideMark/>
          </w:tcPr>
          <w:p w14:paraId="01C3A12D" w14:textId="714542D3" w:rsidR="0001535C" w:rsidRPr="00735AB2" w:rsidRDefault="0001535C" w:rsidP="0001535C">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1</w:t>
            </w:r>
            <w:r w:rsidR="00405E9D">
              <w:rPr>
                <w:rFonts w:asciiTheme="majorBidi" w:hAnsiTheme="majorBidi" w:cstheme="majorBidi"/>
                <w:b/>
                <w:bCs/>
                <w:color w:val="000000"/>
                <w:sz w:val="22"/>
                <w:szCs w:val="22"/>
                <w:lang w:eastAsia="zh-CN"/>
              </w:rPr>
              <w:t>0</w:t>
            </w:r>
            <w:r w:rsidRPr="00735AB2">
              <w:rPr>
                <w:rFonts w:asciiTheme="majorBidi" w:hAnsiTheme="majorBidi" w:cstheme="majorBidi"/>
                <w:b/>
                <w:bCs/>
                <w:color w:val="000000"/>
                <w:sz w:val="22"/>
                <w:szCs w:val="22"/>
                <w:lang w:eastAsia="zh-CN"/>
              </w:rPr>
              <w:t xml:space="preserve"> a.m.–1</w:t>
            </w:r>
            <w:r w:rsidR="00405E9D">
              <w:rPr>
                <w:rFonts w:asciiTheme="majorBidi" w:hAnsiTheme="majorBidi" w:cstheme="majorBidi"/>
                <w:b/>
                <w:bCs/>
                <w:color w:val="000000"/>
                <w:sz w:val="22"/>
                <w:szCs w:val="22"/>
                <w:lang w:eastAsia="zh-CN"/>
              </w:rPr>
              <w:t>2</w:t>
            </w:r>
            <w:r w:rsidRPr="00735AB2">
              <w:rPr>
                <w:rFonts w:asciiTheme="majorBidi" w:hAnsiTheme="majorBidi" w:cstheme="majorBidi"/>
                <w:b/>
                <w:bCs/>
                <w:color w:val="000000"/>
                <w:sz w:val="22"/>
                <w:szCs w:val="22"/>
                <w:lang w:eastAsia="zh-CN"/>
              </w:rPr>
              <w:t xml:space="preserve"> p.m.</w:t>
            </w:r>
          </w:p>
        </w:tc>
        <w:tc>
          <w:tcPr>
            <w:tcW w:w="6543" w:type="dxa"/>
            <w:tcBorders>
              <w:top w:val="double" w:sz="6" w:space="0" w:color="auto"/>
              <w:left w:val="nil"/>
              <w:bottom w:val="nil"/>
              <w:right w:val="double" w:sz="6" w:space="0" w:color="000000"/>
            </w:tcBorders>
            <w:shd w:val="clear" w:color="000000" w:fill="9BC2E6"/>
            <w:vAlign w:val="center"/>
            <w:hideMark/>
          </w:tcPr>
          <w:p w14:paraId="490AF8CA" w14:textId="705BD269" w:rsidR="0001535C" w:rsidRPr="00735AB2" w:rsidRDefault="0001535C" w:rsidP="0001535C">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ITC Roundtable on Road Safety</w:t>
            </w:r>
            <w:r w:rsidRPr="00735AB2">
              <w:rPr>
                <w:rFonts w:asciiTheme="majorBidi" w:hAnsiTheme="majorBidi" w:cstheme="majorBidi"/>
                <w:b/>
                <w:bCs/>
                <w:color w:val="000000"/>
                <w:sz w:val="22"/>
                <w:szCs w:val="22"/>
                <w:lang w:eastAsia="zh-CN"/>
              </w:rPr>
              <w:br/>
            </w:r>
            <w:r w:rsidR="004A203A">
              <w:rPr>
                <w:rFonts w:asciiTheme="majorBidi" w:hAnsiTheme="majorBidi" w:cstheme="majorBidi"/>
                <w:b/>
                <w:bCs/>
                <w:color w:val="000000"/>
                <w:sz w:val="22"/>
                <w:szCs w:val="22"/>
                <w:lang w:eastAsia="zh-CN"/>
              </w:rPr>
              <w:t>Hybrid session with interpretation</w:t>
            </w:r>
          </w:p>
        </w:tc>
      </w:tr>
      <w:tr w:rsidR="00E239B9" w:rsidRPr="00735AB2" w14:paraId="7BECF326" w14:textId="77777777" w:rsidTr="009F214E">
        <w:trPr>
          <w:trHeight w:val="315"/>
        </w:trPr>
        <w:tc>
          <w:tcPr>
            <w:tcW w:w="1395" w:type="dxa"/>
            <w:vMerge/>
            <w:tcBorders>
              <w:top w:val="nil"/>
              <w:left w:val="double" w:sz="6" w:space="0" w:color="auto"/>
              <w:bottom w:val="double" w:sz="6" w:space="0" w:color="000000"/>
              <w:right w:val="single" w:sz="4" w:space="0" w:color="auto"/>
            </w:tcBorders>
            <w:vAlign w:val="center"/>
            <w:hideMark/>
          </w:tcPr>
          <w:p w14:paraId="5ABDF200" w14:textId="77777777" w:rsidR="00E239B9" w:rsidRPr="00735AB2" w:rsidRDefault="00E239B9" w:rsidP="009F214E">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single" w:sz="4" w:space="0" w:color="auto"/>
              <w:right w:val="double" w:sz="6" w:space="0" w:color="auto"/>
            </w:tcBorders>
            <w:shd w:val="clear" w:color="auto" w:fill="auto"/>
            <w:vAlign w:val="center"/>
            <w:hideMark/>
          </w:tcPr>
          <w:p w14:paraId="43F9E0FC" w14:textId="77777777" w:rsidR="00E239B9" w:rsidRPr="00735AB2" w:rsidRDefault="00E239B9" w:rsidP="009F214E">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1–3 p.m.</w:t>
            </w:r>
          </w:p>
        </w:tc>
        <w:tc>
          <w:tcPr>
            <w:tcW w:w="6543" w:type="dxa"/>
            <w:tcBorders>
              <w:top w:val="nil"/>
              <w:left w:val="nil"/>
              <w:bottom w:val="nil"/>
              <w:right w:val="double" w:sz="6" w:space="0" w:color="000000"/>
            </w:tcBorders>
            <w:shd w:val="clear" w:color="auto" w:fill="auto"/>
            <w:vAlign w:val="center"/>
            <w:hideMark/>
          </w:tcPr>
          <w:p w14:paraId="64390E78" w14:textId="77777777" w:rsidR="00E239B9" w:rsidRPr="00735AB2" w:rsidRDefault="00E239B9" w:rsidP="009F214E">
            <w:pPr>
              <w:suppressAutoHyphens w:val="0"/>
              <w:spacing w:line="240" w:lineRule="auto"/>
              <w:jc w:val="center"/>
              <w:rPr>
                <w:rFonts w:asciiTheme="majorBidi" w:hAnsiTheme="majorBidi" w:cstheme="majorBidi"/>
                <w:b/>
                <w:bCs/>
                <w:i/>
                <w:iCs/>
                <w:color w:val="000000"/>
                <w:sz w:val="22"/>
                <w:szCs w:val="22"/>
                <w:lang w:eastAsia="zh-CN"/>
              </w:rPr>
            </w:pPr>
            <w:r w:rsidRPr="00735AB2">
              <w:rPr>
                <w:rFonts w:asciiTheme="majorBidi" w:hAnsiTheme="majorBidi" w:cstheme="majorBidi"/>
                <w:b/>
                <w:bCs/>
                <w:i/>
                <w:iCs/>
                <w:color w:val="000000"/>
                <w:sz w:val="22"/>
                <w:szCs w:val="22"/>
                <w:lang w:eastAsia="zh-CN"/>
              </w:rPr>
              <w:t xml:space="preserve">Break </w:t>
            </w:r>
          </w:p>
        </w:tc>
      </w:tr>
      <w:tr w:rsidR="00E239B9" w:rsidRPr="00735AB2" w14:paraId="45D73E37" w14:textId="77777777" w:rsidTr="009F214E">
        <w:trPr>
          <w:trHeight w:val="330"/>
        </w:trPr>
        <w:tc>
          <w:tcPr>
            <w:tcW w:w="1395" w:type="dxa"/>
            <w:vMerge/>
            <w:tcBorders>
              <w:top w:val="nil"/>
              <w:left w:val="double" w:sz="6" w:space="0" w:color="auto"/>
              <w:bottom w:val="double" w:sz="6" w:space="0" w:color="000000"/>
              <w:right w:val="single" w:sz="4" w:space="0" w:color="auto"/>
            </w:tcBorders>
            <w:vAlign w:val="center"/>
            <w:hideMark/>
          </w:tcPr>
          <w:p w14:paraId="4C38E5AD" w14:textId="77777777" w:rsidR="00E239B9" w:rsidRPr="00735AB2" w:rsidRDefault="00E239B9" w:rsidP="009F214E">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double" w:sz="6" w:space="0" w:color="auto"/>
              <w:right w:val="double" w:sz="6" w:space="0" w:color="auto"/>
            </w:tcBorders>
            <w:shd w:val="clear" w:color="auto" w:fill="auto"/>
            <w:vAlign w:val="center"/>
            <w:hideMark/>
          </w:tcPr>
          <w:p w14:paraId="3DCFF4D7" w14:textId="77777777" w:rsidR="00E239B9" w:rsidRPr="00735AB2" w:rsidRDefault="00E239B9" w:rsidP="009F214E">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3–6 p.m.</w:t>
            </w:r>
          </w:p>
        </w:tc>
        <w:tc>
          <w:tcPr>
            <w:tcW w:w="6543" w:type="dxa"/>
            <w:tcBorders>
              <w:top w:val="double" w:sz="6" w:space="0" w:color="auto"/>
              <w:left w:val="nil"/>
              <w:bottom w:val="double" w:sz="6" w:space="0" w:color="auto"/>
              <w:right w:val="double" w:sz="6" w:space="0" w:color="000000"/>
            </w:tcBorders>
            <w:shd w:val="clear" w:color="000000" w:fill="92D050"/>
            <w:vAlign w:val="center"/>
            <w:hideMark/>
          </w:tcPr>
          <w:p w14:paraId="6DF0B185" w14:textId="23898092" w:rsidR="00E239B9" w:rsidRPr="00735AB2" w:rsidRDefault="00E239B9" w:rsidP="009F214E">
            <w:pPr>
              <w:suppressAutoHyphens w:val="0"/>
              <w:spacing w:line="240" w:lineRule="auto"/>
              <w:jc w:val="center"/>
              <w:rPr>
                <w:rFonts w:asciiTheme="majorBidi" w:hAnsiTheme="majorBidi" w:cstheme="majorBidi"/>
                <w:b/>
                <w:bCs/>
                <w:color w:val="000000"/>
                <w:sz w:val="22"/>
                <w:szCs w:val="22"/>
                <w:lang w:eastAsia="zh-CN"/>
              </w:rPr>
            </w:pPr>
            <w:r w:rsidRPr="00735AB2">
              <w:rPr>
                <w:rFonts w:asciiTheme="majorBidi" w:hAnsiTheme="majorBidi" w:cstheme="majorBidi"/>
                <w:b/>
                <w:bCs/>
                <w:color w:val="000000"/>
                <w:sz w:val="22"/>
                <w:szCs w:val="22"/>
                <w:lang w:eastAsia="zh-CN"/>
              </w:rPr>
              <w:t xml:space="preserve">ITC Bureau meeting </w:t>
            </w:r>
          </w:p>
        </w:tc>
      </w:tr>
    </w:tbl>
    <w:p w14:paraId="6D7AAA68" w14:textId="77777777" w:rsidR="00E239B9" w:rsidRPr="00735AB2" w:rsidRDefault="00E239B9" w:rsidP="00E239B9">
      <w:pPr>
        <w:pStyle w:val="HChG"/>
      </w:pPr>
      <w:r w:rsidRPr="00735AB2">
        <w:br w:type="page"/>
      </w:r>
      <w:r w:rsidRPr="00735AB2">
        <w:lastRenderedPageBreak/>
        <w:t>Annex II</w:t>
      </w:r>
    </w:p>
    <w:p w14:paraId="15E83D3D" w14:textId="77777777" w:rsidR="00E239B9" w:rsidRPr="00735AB2" w:rsidRDefault="00E239B9" w:rsidP="00E239B9">
      <w:pPr>
        <w:pStyle w:val="HChG"/>
      </w:pPr>
      <w:r w:rsidRPr="00735AB2">
        <w:tab/>
      </w:r>
      <w:r w:rsidRPr="00735AB2">
        <w:tab/>
        <w:t>Draft Programme</w:t>
      </w:r>
    </w:p>
    <w:tbl>
      <w:tblPr>
        <w:tblW w:w="9654" w:type="dxa"/>
        <w:tblInd w:w="-15" w:type="dxa"/>
        <w:tblLayout w:type="fixed"/>
        <w:tblCellMar>
          <w:left w:w="0" w:type="dxa"/>
          <w:right w:w="0" w:type="dxa"/>
        </w:tblCellMar>
        <w:tblLook w:val="04A0" w:firstRow="1" w:lastRow="0" w:firstColumn="1" w:lastColumn="0" w:noHBand="0" w:noVBand="1"/>
      </w:tblPr>
      <w:tblGrid>
        <w:gridCol w:w="15"/>
        <w:gridCol w:w="1985"/>
        <w:gridCol w:w="7639"/>
        <w:gridCol w:w="15"/>
      </w:tblGrid>
      <w:tr w:rsidR="00E239B9" w:rsidRPr="00735AB2" w14:paraId="2600DA71" w14:textId="77777777" w:rsidTr="009F214E">
        <w:trPr>
          <w:gridBefore w:val="1"/>
          <w:wBefore w:w="15" w:type="dxa"/>
        </w:trPr>
        <w:tc>
          <w:tcPr>
            <w:tcW w:w="9639" w:type="dxa"/>
            <w:gridSpan w:val="3"/>
            <w:shd w:val="clear" w:color="auto" w:fill="auto"/>
            <w:vAlign w:val="bottom"/>
          </w:tcPr>
          <w:p w14:paraId="0981FE8B" w14:textId="77777777" w:rsidR="00E239B9" w:rsidRPr="00735AB2" w:rsidRDefault="00E239B9" w:rsidP="009F214E">
            <w:pPr>
              <w:pStyle w:val="SingleTxtG"/>
              <w:spacing w:after="0"/>
              <w:ind w:left="0"/>
              <w:rPr>
                <w:b/>
              </w:rPr>
            </w:pPr>
            <w:r w:rsidRPr="00735AB2">
              <w:rPr>
                <w:b/>
              </w:rPr>
              <w:t xml:space="preserve">High-level policy segment </w:t>
            </w:r>
          </w:p>
          <w:p w14:paraId="0BBC2F21" w14:textId="77777777" w:rsidR="003539B4" w:rsidRDefault="00E239B9" w:rsidP="009F214E">
            <w:pPr>
              <w:pStyle w:val="SingleTxtG"/>
              <w:spacing w:after="0"/>
              <w:ind w:left="0"/>
              <w:rPr>
                <w:b/>
              </w:rPr>
            </w:pPr>
            <w:r w:rsidRPr="00735AB2">
              <w:rPr>
                <w:b/>
              </w:rPr>
              <w:t>“</w:t>
            </w:r>
            <w:r w:rsidR="003539B4" w:rsidRPr="003539B4">
              <w:rPr>
                <w:b/>
              </w:rPr>
              <w:t xml:space="preserve">Back to a sustainable future: </w:t>
            </w:r>
          </w:p>
          <w:p w14:paraId="484AFE71" w14:textId="77777777" w:rsidR="003539B4" w:rsidRDefault="003539B4" w:rsidP="009F214E">
            <w:pPr>
              <w:pStyle w:val="SingleTxtG"/>
              <w:spacing w:after="0"/>
              <w:ind w:left="0"/>
              <w:rPr>
                <w:b/>
              </w:rPr>
            </w:pPr>
            <w:r w:rsidRPr="003539B4">
              <w:rPr>
                <w:b/>
              </w:rPr>
              <w:t xml:space="preserve">achieving resilient connectivity for </w:t>
            </w:r>
          </w:p>
          <w:p w14:paraId="5B0EC282" w14:textId="14DBB534" w:rsidR="00E239B9" w:rsidRPr="00735AB2" w:rsidRDefault="003539B4" w:rsidP="009F214E">
            <w:pPr>
              <w:pStyle w:val="SingleTxtG"/>
              <w:spacing w:after="0"/>
              <w:ind w:left="0"/>
              <w:rPr>
                <w:b/>
              </w:rPr>
            </w:pPr>
            <w:r w:rsidRPr="003539B4">
              <w:rPr>
                <w:b/>
              </w:rPr>
              <w:t>post-COVID-19 sustained recovery and economic growth</w:t>
            </w:r>
            <w:r w:rsidR="00E239B9" w:rsidRPr="00735AB2">
              <w:rPr>
                <w:b/>
              </w:rPr>
              <w:t>”</w:t>
            </w:r>
          </w:p>
          <w:p w14:paraId="6048CEEA" w14:textId="6EFE74D8" w:rsidR="00E239B9" w:rsidRPr="00735AB2" w:rsidRDefault="00E239B9" w:rsidP="009F214E">
            <w:pPr>
              <w:rPr>
                <w:b/>
              </w:rPr>
            </w:pPr>
            <w:r w:rsidRPr="00735AB2">
              <w:rPr>
                <w:b/>
              </w:rPr>
              <w:t>2</w:t>
            </w:r>
            <w:r w:rsidR="008932E5" w:rsidRPr="00735AB2">
              <w:rPr>
                <w:b/>
              </w:rPr>
              <w:t>3</w:t>
            </w:r>
            <w:r w:rsidRPr="00735AB2">
              <w:rPr>
                <w:b/>
              </w:rPr>
              <w:t xml:space="preserve"> February 202</w:t>
            </w:r>
            <w:r w:rsidR="008932E5" w:rsidRPr="00735AB2">
              <w:rPr>
                <w:b/>
              </w:rPr>
              <w:t>1</w:t>
            </w:r>
            <w:r w:rsidRPr="00735AB2">
              <w:rPr>
                <w:b/>
              </w:rPr>
              <w:t>, 1</w:t>
            </w:r>
            <w:r w:rsidR="001E3B7B" w:rsidRPr="00735AB2">
              <w:rPr>
                <w:b/>
              </w:rPr>
              <w:t>1</w:t>
            </w:r>
            <w:r w:rsidRPr="00735AB2">
              <w:rPr>
                <w:b/>
              </w:rPr>
              <w:t xml:space="preserve"> a.m. – </w:t>
            </w:r>
            <w:r w:rsidR="001E3B7B" w:rsidRPr="00735AB2">
              <w:rPr>
                <w:b/>
              </w:rPr>
              <w:t>1</w:t>
            </w:r>
            <w:r w:rsidRPr="00735AB2">
              <w:rPr>
                <w:b/>
              </w:rPr>
              <w:t xml:space="preserve"> p.m., </w:t>
            </w:r>
            <w:r w:rsidR="004A203A" w:rsidRPr="004A203A">
              <w:rPr>
                <w:b/>
              </w:rPr>
              <w:t>Hybrid session with interpretation</w:t>
            </w:r>
          </w:p>
          <w:p w14:paraId="6436D11B" w14:textId="77777777" w:rsidR="00E239B9" w:rsidRPr="00735AB2" w:rsidRDefault="00E239B9" w:rsidP="009F214E">
            <w:pPr>
              <w:spacing w:after="240"/>
              <w:rPr>
                <w:i/>
                <w:sz w:val="16"/>
              </w:rPr>
            </w:pPr>
            <w:r w:rsidRPr="00735AB2">
              <w:rPr>
                <w:b/>
              </w:rPr>
              <w:t>Palais des Nations, Geneva</w:t>
            </w:r>
          </w:p>
        </w:tc>
      </w:tr>
      <w:tr w:rsidR="00E239B9" w:rsidRPr="00735AB2" w14:paraId="76959DED" w14:textId="77777777" w:rsidTr="0003676C">
        <w:trPr>
          <w:gridAfter w:val="1"/>
          <w:wAfter w:w="15" w:type="dxa"/>
          <w:trHeight w:val="397"/>
        </w:trPr>
        <w:tc>
          <w:tcPr>
            <w:tcW w:w="2000" w:type="dxa"/>
            <w:gridSpan w:val="2"/>
            <w:tcBorders>
              <w:top w:val="single" w:sz="12" w:space="0" w:color="000000"/>
              <w:left w:val="nil"/>
              <w:bottom w:val="nil"/>
              <w:right w:val="nil"/>
            </w:tcBorders>
            <w:shd w:val="clear" w:color="auto" w:fill="auto"/>
            <w:tcMar>
              <w:top w:w="15" w:type="dxa"/>
              <w:left w:w="15" w:type="dxa"/>
              <w:bottom w:w="0" w:type="dxa"/>
              <w:right w:w="15" w:type="dxa"/>
            </w:tcMar>
            <w:hideMark/>
          </w:tcPr>
          <w:p w14:paraId="09C8EE88" w14:textId="6BC40D91" w:rsidR="00E239B9" w:rsidRPr="00735AB2" w:rsidRDefault="00E239B9" w:rsidP="009F214E">
            <w:r w:rsidRPr="00735AB2">
              <w:t>1</w:t>
            </w:r>
            <w:r w:rsidR="007E50B8" w:rsidRPr="00735AB2">
              <w:t>1</w:t>
            </w:r>
            <w:r w:rsidRPr="00735AB2">
              <w:t>–1</w:t>
            </w:r>
            <w:r w:rsidR="007E50B8" w:rsidRPr="00735AB2">
              <w:t>1</w:t>
            </w:r>
            <w:r w:rsidRPr="00735AB2">
              <w:t>.</w:t>
            </w:r>
            <w:r w:rsidR="004C1735" w:rsidRPr="00735AB2">
              <w:t>15</w:t>
            </w:r>
            <w:r w:rsidRPr="00735AB2">
              <w:t xml:space="preserve"> a.m.</w:t>
            </w:r>
          </w:p>
        </w:tc>
        <w:tc>
          <w:tcPr>
            <w:tcW w:w="7639" w:type="dxa"/>
            <w:tcBorders>
              <w:top w:val="single" w:sz="12" w:space="0" w:color="000000"/>
              <w:left w:val="nil"/>
              <w:bottom w:val="nil"/>
              <w:right w:val="nil"/>
            </w:tcBorders>
            <w:shd w:val="clear" w:color="auto" w:fill="auto"/>
            <w:tcMar>
              <w:top w:w="15" w:type="dxa"/>
              <w:left w:w="15" w:type="dxa"/>
              <w:bottom w:w="0" w:type="dxa"/>
              <w:right w:w="15" w:type="dxa"/>
            </w:tcMar>
            <w:hideMark/>
          </w:tcPr>
          <w:p w14:paraId="7C7383D6" w14:textId="4BC33A7F" w:rsidR="00E239B9" w:rsidRPr="00735AB2" w:rsidRDefault="00E239B9" w:rsidP="00376770">
            <w:pPr>
              <w:spacing w:after="120"/>
              <w:rPr>
                <w:b/>
              </w:rPr>
            </w:pPr>
            <w:r w:rsidRPr="00735AB2">
              <w:rPr>
                <w:b/>
              </w:rPr>
              <w:t>Opening</w:t>
            </w:r>
            <w:r w:rsidRPr="00735AB2">
              <w:rPr>
                <w:b/>
                <w:iCs/>
              </w:rPr>
              <w:t xml:space="preserve"> statements, welcome speeches and official launch of </w:t>
            </w:r>
            <w:r w:rsidR="007E50B8" w:rsidRPr="00735AB2">
              <w:rPr>
                <w:b/>
                <w:iCs/>
              </w:rPr>
              <w:t xml:space="preserve">emergency resilience </w:t>
            </w:r>
            <w:r w:rsidRPr="00735AB2">
              <w:rPr>
                <w:b/>
                <w:iCs/>
              </w:rPr>
              <w:t>publication</w:t>
            </w:r>
            <w:r w:rsidR="00812944">
              <w:rPr>
                <w:b/>
                <w:iCs/>
              </w:rPr>
              <w:t xml:space="preserve"> </w:t>
            </w:r>
          </w:p>
        </w:tc>
      </w:tr>
      <w:tr w:rsidR="00E239B9" w:rsidRPr="00735AB2" w14:paraId="45BD6A64" w14:textId="77777777" w:rsidTr="0003676C">
        <w:trPr>
          <w:gridAfter w:val="1"/>
          <w:wAfter w:w="15" w:type="dxa"/>
          <w:trHeight w:val="502"/>
        </w:trPr>
        <w:tc>
          <w:tcPr>
            <w:tcW w:w="2000" w:type="dxa"/>
            <w:gridSpan w:val="2"/>
            <w:tcBorders>
              <w:top w:val="nil"/>
              <w:left w:val="nil"/>
              <w:bottom w:val="nil"/>
              <w:right w:val="nil"/>
            </w:tcBorders>
            <w:shd w:val="clear" w:color="auto" w:fill="auto"/>
            <w:tcMar>
              <w:top w:w="15" w:type="dxa"/>
              <w:left w:w="15" w:type="dxa"/>
              <w:bottom w:w="0" w:type="dxa"/>
              <w:right w:w="15" w:type="dxa"/>
            </w:tcMar>
            <w:hideMark/>
          </w:tcPr>
          <w:p w14:paraId="64D89098" w14:textId="3591907A" w:rsidR="00E239B9" w:rsidRPr="00735AB2" w:rsidRDefault="00E239B9" w:rsidP="009F214E">
            <w:r w:rsidRPr="00735AB2">
              <w:t>1</w:t>
            </w:r>
            <w:r w:rsidR="007E50B8" w:rsidRPr="00735AB2">
              <w:t>1</w:t>
            </w:r>
            <w:r w:rsidRPr="00735AB2">
              <w:t>.</w:t>
            </w:r>
            <w:r w:rsidR="004C1735" w:rsidRPr="00735AB2">
              <w:t>15</w:t>
            </w:r>
            <w:r w:rsidRPr="00735AB2">
              <w:t>–1</w:t>
            </w:r>
            <w:r w:rsidR="007E50B8" w:rsidRPr="00735AB2">
              <w:t>1</w:t>
            </w:r>
            <w:r w:rsidRPr="00735AB2">
              <w:t>.</w:t>
            </w:r>
            <w:r w:rsidR="004C1735" w:rsidRPr="00735AB2">
              <w:t>30</w:t>
            </w:r>
            <w:r w:rsidRPr="00735AB2">
              <w:t xml:space="preserve"> a.m.</w:t>
            </w:r>
          </w:p>
        </w:tc>
        <w:tc>
          <w:tcPr>
            <w:tcW w:w="7639" w:type="dxa"/>
            <w:tcBorders>
              <w:top w:val="nil"/>
              <w:left w:val="nil"/>
              <w:bottom w:val="nil"/>
              <w:right w:val="nil"/>
            </w:tcBorders>
            <w:shd w:val="clear" w:color="auto" w:fill="auto"/>
            <w:tcMar>
              <w:top w:w="15" w:type="dxa"/>
              <w:left w:w="15" w:type="dxa"/>
              <w:bottom w:w="0" w:type="dxa"/>
              <w:right w:w="15" w:type="dxa"/>
            </w:tcMar>
            <w:hideMark/>
          </w:tcPr>
          <w:p w14:paraId="63300F07" w14:textId="77777777" w:rsidR="00E239B9" w:rsidRPr="00735AB2" w:rsidRDefault="00E239B9" w:rsidP="009F214E">
            <w:pPr>
              <w:spacing w:after="120"/>
              <w:rPr>
                <w:b/>
              </w:rPr>
            </w:pPr>
            <w:r w:rsidRPr="00735AB2">
              <w:rPr>
                <w:b/>
              </w:rPr>
              <w:t xml:space="preserve">Keynote speech </w:t>
            </w:r>
          </w:p>
        </w:tc>
      </w:tr>
      <w:tr w:rsidR="00E239B9" w:rsidRPr="00735AB2" w14:paraId="7F40C5E0" w14:textId="77777777" w:rsidTr="0003676C">
        <w:trPr>
          <w:gridAfter w:val="1"/>
          <w:wAfter w:w="15" w:type="dxa"/>
          <w:trHeight w:val="502"/>
        </w:trPr>
        <w:tc>
          <w:tcPr>
            <w:tcW w:w="2000" w:type="dxa"/>
            <w:gridSpan w:val="2"/>
            <w:tcBorders>
              <w:top w:val="nil"/>
              <w:left w:val="nil"/>
              <w:bottom w:val="nil"/>
              <w:right w:val="nil"/>
            </w:tcBorders>
            <w:shd w:val="clear" w:color="auto" w:fill="auto"/>
            <w:tcMar>
              <w:top w:w="15" w:type="dxa"/>
              <w:left w:w="15" w:type="dxa"/>
              <w:bottom w:w="0" w:type="dxa"/>
              <w:right w:w="15" w:type="dxa"/>
            </w:tcMar>
            <w:hideMark/>
          </w:tcPr>
          <w:p w14:paraId="0EA758EB" w14:textId="6C52154D" w:rsidR="00E239B9" w:rsidRPr="00735AB2" w:rsidRDefault="00E239B9" w:rsidP="009F214E">
            <w:r w:rsidRPr="00735AB2">
              <w:rPr>
                <w:iCs/>
              </w:rPr>
              <w:t>1</w:t>
            </w:r>
            <w:r w:rsidR="004C1735" w:rsidRPr="00735AB2">
              <w:rPr>
                <w:iCs/>
              </w:rPr>
              <w:t>1</w:t>
            </w:r>
            <w:r w:rsidRPr="00735AB2">
              <w:rPr>
                <w:iCs/>
              </w:rPr>
              <w:t>.3</w:t>
            </w:r>
            <w:r w:rsidR="00ED54D3" w:rsidRPr="00735AB2">
              <w:rPr>
                <w:iCs/>
              </w:rPr>
              <w:t xml:space="preserve">0 a.m. </w:t>
            </w:r>
            <w:r w:rsidRPr="00735AB2">
              <w:rPr>
                <w:iCs/>
              </w:rPr>
              <w:t>–1</w:t>
            </w:r>
            <w:r w:rsidR="00ED54D3" w:rsidRPr="00735AB2">
              <w:rPr>
                <w:iCs/>
              </w:rPr>
              <w:t>2</w:t>
            </w:r>
            <w:r w:rsidRPr="00735AB2">
              <w:rPr>
                <w:iCs/>
              </w:rPr>
              <w:t>.</w:t>
            </w:r>
            <w:r w:rsidR="00ED54D3" w:rsidRPr="00735AB2">
              <w:rPr>
                <w:iCs/>
              </w:rPr>
              <w:t>1</w:t>
            </w:r>
            <w:r w:rsidR="009915E8" w:rsidRPr="00735AB2">
              <w:rPr>
                <w:iCs/>
              </w:rPr>
              <w:t>0</w:t>
            </w:r>
            <w:r w:rsidRPr="00735AB2">
              <w:rPr>
                <w:iCs/>
              </w:rPr>
              <w:t xml:space="preserve"> </w:t>
            </w:r>
            <w:r w:rsidR="00C93724" w:rsidRPr="00735AB2">
              <w:rPr>
                <w:iCs/>
              </w:rPr>
              <w:t>p</w:t>
            </w:r>
            <w:r w:rsidRPr="00735AB2">
              <w:rPr>
                <w:iCs/>
              </w:rPr>
              <w:t>.m.</w:t>
            </w:r>
          </w:p>
        </w:tc>
        <w:tc>
          <w:tcPr>
            <w:tcW w:w="7639" w:type="dxa"/>
            <w:tcBorders>
              <w:top w:val="nil"/>
              <w:left w:val="nil"/>
              <w:bottom w:val="nil"/>
              <w:right w:val="nil"/>
            </w:tcBorders>
            <w:shd w:val="clear" w:color="auto" w:fill="auto"/>
            <w:tcMar>
              <w:top w:w="15" w:type="dxa"/>
              <w:left w:w="15" w:type="dxa"/>
              <w:bottom w:w="0" w:type="dxa"/>
              <w:right w:w="15" w:type="dxa"/>
            </w:tcMar>
            <w:hideMark/>
          </w:tcPr>
          <w:p w14:paraId="450AFA00" w14:textId="77777777" w:rsidR="00E239B9" w:rsidRPr="00735AB2" w:rsidRDefault="00E239B9" w:rsidP="009F214E">
            <w:pPr>
              <w:rPr>
                <w:b/>
                <w:iCs/>
              </w:rPr>
            </w:pPr>
            <w:r w:rsidRPr="00735AB2">
              <w:rPr>
                <w:b/>
                <w:iCs/>
              </w:rPr>
              <w:t xml:space="preserve">Panel I: </w:t>
            </w:r>
          </w:p>
          <w:p w14:paraId="0B107820" w14:textId="77777777" w:rsidR="00D03AFF" w:rsidRPr="00735AB2" w:rsidRDefault="00D03AFF" w:rsidP="009F214E">
            <w:pPr>
              <w:spacing w:after="120"/>
              <w:rPr>
                <w:b/>
                <w:iCs/>
              </w:rPr>
            </w:pPr>
            <w:r w:rsidRPr="00735AB2">
              <w:rPr>
                <w:b/>
                <w:iCs/>
              </w:rPr>
              <w:t xml:space="preserve">Leveraging existing international transport connectivity solutions as enablers of economic growth and development: what room for enhanced international agreements? </w:t>
            </w:r>
          </w:p>
          <w:p w14:paraId="5095007E" w14:textId="68234405" w:rsidR="00E239B9" w:rsidRPr="00735AB2" w:rsidRDefault="00E239B9" w:rsidP="0003676C">
            <w:pPr>
              <w:spacing w:after="120"/>
            </w:pPr>
            <w:r w:rsidRPr="00735AB2">
              <w:rPr>
                <w:i/>
                <w:iCs/>
              </w:rPr>
              <w:t>Discussion and scheduled interventions (3</w:t>
            </w:r>
            <w:r w:rsidR="003A0923">
              <w:rPr>
                <w:i/>
                <w:iCs/>
              </w:rPr>
              <w:t xml:space="preserve"> minutes</w:t>
            </w:r>
            <w:r w:rsidRPr="00735AB2">
              <w:rPr>
                <w:i/>
                <w:iCs/>
              </w:rPr>
              <w:t xml:space="preserve"> each max</w:t>
            </w:r>
            <w:r w:rsidR="003A0923">
              <w:rPr>
                <w:i/>
                <w:iCs/>
              </w:rPr>
              <w:t>imum</w:t>
            </w:r>
            <w:r w:rsidRPr="00735AB2">
              <w:rPr>
                <w:i/>
                <w:iCs/>
              </w:rPr>
              <w:t>)</w:t>
            </w:r>
          </w:p>
        </w:tc>
      </w:tr>
      <w:tr w:rsidR="00E239B9" w:rsidRPr="00735AB2" w14:paraId="7163028B" w14:textId="77777777" w:rsidTr="0003676C">
        <w:trPr>
          <w:gridAfter w:val="1"/>
          <w:wAfter w:w="15" w:type="dxa"/>
          <w:trHeight w:val="502"/>
        </w:trPr>
        <w:tc>
          <w:tcPr>
            <w:tcW w:w="2000" w:type="dxa"/>
            <w:gridSpan w:val="2"/>
            <w:tcBorders>
              <w:top w:val="nil"/>
              <w:left w:val="nil"/>
              <w:bottom w:val="nil"/>
              <w:right w:val="nil"/>
            </w:tcBorders>
            <w:shd w:val="clear" w:color="auto" w:fill="auto"/>
            <w:tcMar>
              <w:top w:w="15" w:type="dxa"/>
              <w:left w:w="15" w:type="dxa"/>
              <w:bottom w:w="0" w:type="dxa"/>
              <w:right w:w="15" w:type="dxa"/>
            </w:tcMar>
            <w:hideMark/>
          </w:tcPr>
          <w:p w14:paraId="481379A1" w14:textId="110E04F9" w:rsidR="00E239B9" w:rsidRPr="00735AB2" w:rsidRDefault="00E239B9" w:rsidP="009F214E">
            <w:r w:rsidRPr="00735AB2">
              <w:t>12</w:t>
            </w:r>
            <w:r w:rsidR="000D4FD9" w:rsidRPr="00735AB2">
              <w:t>.1</w:t>
            </w:r>
            <w:r w:rsidR="009915E8" w:rsidRPr="00735AB2">
              <w:t>0</w:t>
            </w:r>
            <w:r w:rsidRPr="00735AB2">
              <w:t>–</w:t>
            </w:r>
            <w:r w:rsidR="009915E8" w:rsidRPr="00735AB2">
              <w:t>12.50</w:t>
            </w:r>
            <w:r w:rsidRPr="00735AB2">
              <w:t xml:space="preserve"> p.m.</w:t>
            </w:r>
          </w:p>
        </w:tc>
        <w:tc>
          <w:tcPr>
            <w:tcW w:w="7639" w:type="dxa"/>
            <w:tcBorders>
              <w:top w:val="nil"/>
              <w:left w:val="nil"/>
              <w:bottom w:val="nil"/>
              <w:right w:val="nil"/>
            </w:tcBorders>
            <w:shd w:val="clear" w:color="auto" w:fill="auto"/>
            <w:tcMar>
              <w:top w:w="15" w:type="dxa"/>
              <w:left w:w="15" w:type="dxa"/>
              <w:bottom w:w="0" w:type="dxa"/>
              <w:right w:w="15" w:type="dxa"/>
            </w:tcMar>
            <w:hideMark/>
          </w:tcPr>
          <w:p w14:paraId="2E2DE750" w14:textId="77777777" w:rsidR="00E239B9" w:rsidRPr="00735AB2" w:rsidRDefault="00E239B9" w:rsidP="009F214E">
            <w:pPr>
              <w:rPr>
                <w:b/>
                <w:iCs/>
              </w:rPr>
            </w:pPr>
            <w:r w:rsidRPr="00735AB2">
              <w:rPr>
                <w:b/>
                <w:iCs/>
              </w:rPr>
              <w:t xml:space="preserve">Panel II: </w:t>
            </w:r>
          </w:p>
          <w:p w14:paraId="320FA907" w14:textId="1AD4BA09" w:rsidR="00E239B9" w:rsidRPr="00735AB2" w:rsidRDefault="009915E8" w:rsidP="009F214E">
            <w:pPr>
              <w:rPr>
                <w:b/>
                <w:iCs/>
              </w:rPr>
            </w:pPr>
            <w:r w:rsidRPr="00735AB2">
              <w:rPr>
                <w:b/>
                <w:iCs/>
              </w:rPr>
              <w:t>“First or last response” in a global emergency? International transport conventions as a catalyst of concerted national responses</w:t>
            </w:r>
            <w:r w:rsidR="00E239B9" w:rsidRPr="00735AB2">
              <w:rPr>
                <w:b/>
                <w:iCs/>
              </w:rPr>
              <w:t>?</w:t>
            </w:r>
          </w:p>
          <w:p w14:paraId="1DD43787" w14:textId="27E73574" w:rsidR="00E239B9" w:rsidRPr="00735AB2" w:rsidRDefault="00E239B9" w:rsidP="009F214E">
            <w:pPr>
              <w:spacing w:after="120"/>
              <w:rPr>
                <w:u w:val="single"/>
              </w:rPr>
            </w:pPr>
            <w:r w:rsidRPr="00735AB2">
              <w:rPr>
                <w:i/>
                <w:iCs/>
              </w:rPr>
              <w:t xml:space="preserve">Discussion and scheduled interventions </w:t>
            </w:r>
            <w:r w:rsidR="003A0923" w:rsidRPr="00735AB2">
              <w:rPr>
                <w:i/>
                <w:iCs/>
              </w:rPr>
              <w:t>(3</w:t>
            </w:r>
            <w:r w:rsidR="003A0923">
              <w:rPr>
                <w:i/>
                <w:iCs/>
              </w:rPr>
              <w:t xml:space="preserve"> minutes</w:t>
            </w:r>
            <w:r w:rsidR="003A0923" w:rsidRPr="00735AB2">
              <w:rPr>
                <w:i/>
                <w:iCs/>
              </w:rPr>
              <w:t xml:space="preserve"> each max</w:t>
            </w:r>
            <w:r w:rsidR="003A0923">
              <w:rPr>
                <w:i/>
                <w:iCs/>
              </w:rPr>
              <w:t>imum</w:t>
            </w:r>
            <w:r w:rsidR="003A0923" w:rsidRPr="00735AB2">
              <w:rPr>
                <w:i/>
                <w:iCs/>
              </w:rPr>
              <w:t>)</w:t>
            </w:r>
          </w:p>
        </w:tc>
      </w:tr>
      <w:tr w:rsidR="00870A56" w:rsidRPr="00735AB2" w14:paraId="0F055466" w14:textId="77777777" w:rsidTr="0003676C">
        <w:trPr>
          <w:gridAfter w:val="1"/>
          <w:wAfter w:w="15" w:type="dxa"/>
          <w:trHeight w:val="502"/>
        </w:trPr>
        <w:tc>
          <w:tcPr>
            <w:tcW w:w="2000" w:type="dxa"/>
            <w:gridSpan w:val="2"/>
            <w:tcBorders>
              <w:top w:val="nil"/>
              <w:left w:val="nil"/>
              <w:bottom w:val="nil"/>
              <w:right w:val="nil"/>
            </w:tcBorders>
            <w:shd w:val="clear" w:color="auto" w:fill="auto"/>
            <w:tcMar>
              <w:top w:w="15" w:type="dxa"/>
              <w:left w:w="15" w:type="dxa"/>
              <w:bottom w:w="0" w:type="dxa"/>
              <w:right w:w="15" w:type="dxa"/>
            </w:tcMar>
          </w:tcPr>
          <w:p w14:paraId="7E6579CA" w14:textId="0416E6EA" w:rsidR="00870A56" w:rsidRPr="00735AB2" w:rsidRDefault="00870A56" w:rsidP="00870A56">
            <w:r w:rsidRPr="00735AB2">
              <w:t>12.50–1 p.m.</w:t>
            </w:r>
          </w:p>
        </w:tc>
        <w:tc>
          <w:tcPr>
            <w:tcW w:w="7639" w:type="dxa"/>
            <w:tcBorders>
              <w:top w:val="nil"/>
              <w:left w:val="nil"/>
              <w:bottom w:val="nil"/>
              <w:right w:val="nil"/>
            </w:tcBorders>
            <w:shd w:val="clear" w:color="auto" w:fill="auto"/>
            <w:tcMar>
              <w:top w:w="15" w:type="dxa"/>
              <w:left w:w="15" w:type="dxa"/>
              <w:bottom w:w="0" w:type="dxa"/>
              <w:right w:w="15" w:type="dxa"/>
            </w:tcMar>
          </w:tcPr>
          <w:p w14:paraId="55BB56FF" w14:textId="1BA7F33B" w:rsidR="00870A56" w:rsidRPr="00735AB2" w:rsidRDefault="00870A56" w:rsidP="00870A56">
            <w:pPr>
              <w:spacing w:after="120"/>
            </w:pPr>
            <w:r w:rsidRPr="00735AB2">
              <w:rPr>
                <w:b/>
                <w:iCs/>
              </w:rPr>
              <w:t xml:space="preserve">Announcement of the </w:t>
            </w:r>
            <w:r w:rsidR="007267B2">
              <w:rPr>
                <w:b/>
                <w:iCs/>
              </w:rPr>
              <w:t>Ministerial</w:t>
            </w:r>
            <w:r w:rsidR="007267B2" w:rsidRPr="00735AB2">
              <w:rPr>
                <w:b/>
                <w:iCs/>
              </w:rPr>
              <w:t xml:space="preserve"> </w:t>
            </w:r>
            <w:r w:rsidR="00CB3EA8">
              <w:rPr>
                <w:b/>
                <w:iCs/>
              </w:rPr>
              <w:t>R</w:t>
            </w:r>
            <w:r w:rsidRPr="00735AB2">
              <w:rPr>
                <w:b/>
                <w:iCs/>
              </w:rPr>
              <w:t xml:space="preserve">esolution and closing statements </w:t>
            </w:r>
          </w:p>
        </w:tc>
      </w:tr>
      <w:tr w:rsidR="00870A56" w:rsidRPr="00735AB2" w14:paraId="5361F090" w14:textId="77777777" w:rsidTr="0003676C">
        <w:trPr>
          <w:gridAfter w:val="1"/>
          <w:wAfter w:w="15" w:type="dxa"/>
          <w:trHeight w:val="502"/>
        </w:trPr>
        <w:tc>
          <w:tcPr>
            <w:tcW w:w="2000" w:type="dxa"/>
            <w:gridSpan w:val="2"/>
            <w:tcBorders>
              <w:top w:val="nil"/>
              <w:left w:val="nil"/>
              <w:bottom w:val="nil"/>
              <w:right w:val="nil"/>
            </w:tcBorders>
            <w:shd w:val="clear" w:color="auto" w:fill="auto"/>
            <w:tcMar>
              <w:top w:w="15" w:type="dxa"/>
              <w:left w:w="15" w:type="dxa"/>
              <w:bottom w:w="0" w:type="dxa"/>
              <w:right w:w="15" w:type="dxa"/>
            </w:tcMar>
            <w:hideMark/>
          </w:tcPr>
          <w:p w14:paraId="5A8385C6" w14:textId="2D8CDA5E" w:rsidR="00870A56" w:rsidRPr="00735AB2" w:rsidRDefault="00870A56" w:rsidP="00870A56">
            <w:r w:rsidRPr="00735AB2">
              <w:t>1–3 p.m.</w:t>
            </w:r>
          </w:p>
        </w:tc>
        <w:tc>
          <w:tcPr>
            <w:tcW w:w="7639" w:type="dxa"/>
            <w:tcBorders>
              <w:top w:val="nil"/>
              <w:left w:val="nil"/>
              <w:bottom w:val="nil"/>
              <w:right w:val="nil"/>
            </w:tcBorders>
            <w:shd w:val="clear" w:color="auto" w:fill="auto"/>
            <w:tcMar>
              <w:top w:w="15" w:type="dxa"/>
              <w:left w:w="15" w:type="dxa"/>
              <w:bottom w:w="0" w:type="dxa"/>
              <w:right w:w="15" w:type="dxa"/>
            </w:tcMar>
            <w:hideMark/>
          </w:tcPr>
          <w:p w14:paraId="0E1EEC75" w14:textId="23515881" w:rsidR="00870A56" w:rsidRPr="00735AB2" w:rsidRDefault="00870A56" w:rsidP="00376770">
            <w:r w:rsidRPr="00735AB2">
              <w:rPr>
                <w:b/>
                <w:i/>
              </w:rPr>
              <w:t>Lunch break</w:t>
            </w:r>
          </w:p>
        </w:tc>
      </w:tr>
    </w:tbl>
    <w:p w14:paraId="60899352" w14:textId="62DFA976" w:rsidR="00250503" w:rsidRPr="00735AB2" w:rsidRDefault="00E239B9" w:rsidP="0003676C">
      <w:pPr>
        <w:spacing w:before="240"/>
        <w:jc w:val="center"/>
      </w:pPr>
      <w:r w:rsidRPr="00735AB2">
        <w:rPr>
          <w:u w:val="single"/>
        </w:rPr>
        <w:tab/>
      </w:r>
      <w:r w:rsidRPr="00735AB2">
        <w:rPr>
          <w:u w:val="single"/>
        </w:rPr>
        <w:tab/>
      </w:r>
      <w:r w:rsidRPr="00735AB2">
        <w:rPr>
          <w:u w:val="single"/>
        </w:rPr>
        <w:tab/>
      </w:r>
      <w:r w:rsidR="00CD3488" w:rsidRPr="00735AB2">
        <w:t xml:space="preserve"> </w:t>
      </w:r>
    </w:p>
    <w:sectPr w:rsidR="00250503" w:rsidRPr="00735AB2" w:rsidSect="0095478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4D92C" w14:textId="77777777" w:rsidR="009E550F" w:rsidRDefault="009E550F"/>
  </w:endnote>
  <w:endnote w:type="continuationSeparator" w:id="0">
    <w:p w14:paraId="228FE8AC" w14:textId="77777777" w:rsidR="009E550F" w:rsidRDefault="009E550F"/>
  </w:endnote>
  <w:endnote w:type="continuationNotice" w:id="1">
    <w:p w14:paraId="2ABF73E3" w14:textId="77777777" w:rsidR="009E550F" w:rsidRDefault="009E5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27FA" w14:textId="36E2C67E" w:rsidR="007B73A7" w:rsidRDefault="007B73A7" w:rsidP="007B73A7">
    <w:pPr>
      <w:pStyle w:val="Footer"/>
    </w:pPr>
    <w:r w:rsidRPr="0027112F">
      <w:rPr>
        <w:noProof/>
        <w:lang w:val="en-US"/>
      </w:rPr>
      <w:drawing>
        <wp:anchor distT="0" distB="0" distL="114300" distR="114300" simplePos="0" relativeHeight="251659264" behindDoc="0" locked="1" layoutInCell="1" allowOverlap="1" wp14:anchorId="4CB87FBA" wp14:editId="5D08D51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E59708" w14:textId="00A01415" w:rsidR="007B73A7" w:rsidRPr="007B73A7" w:rsidRDefault="007B73A7" w:rsidP="007B73A7">
    <w:pPr>
      <w:pStyle w:val="Footer"/>
      <w:ind w:right="1134"/>
      <w:rPr>
        <w:sz w:val="20"/>
      </w:rPr>
    </w:pPr>
    <w:r>
      <w:rPr>
        <w:sz w:val="20"/>
      </w:rPr>
      <w:t>GE.20-16732(E)</w:t>
    </w:r>
    <w:r>
      <w:rPr>
        <w:noProof/>
        <w:sz w:val="20"/>
      </w:rPr>
      <w:drawing>
        <wp:anchor distT="0" distB="0" distL="114300" distR="114300" simplePos="0" relativeHeight="251660288" behindDoc="0" locked="0" layoutInCell="1" allowOverlap="1" wp14:anchorId="1842F485" wp14:editId="4501F73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F4008" w14:textId="77777777" w:rsidR="009E550F" w:rsidRPr="000B175B" w:rsidRDefault="009E550F" w:rsidP="000B175B">
      <w:pPr>
        <w:tabs>
          <w:tab w:val="right" w:pos="2155"/>
        </w:tabs>
        <w:spacing w:after="80"/>
        <w:ind w:left="680"/>
        <w:rPr>
          <w:u w:val="single"/>
        </w:rPr>
      </w:pPr>
      <w:r>
        <w:rPr>
          <w:u w:val="single"/>
        </w:rPr>
        <w:tab/>
      </w:r>
    </w:p>
  </w:footnote>
  <w:footnote w:type="continuationSeparator" w:id="0">
    <w:p w14:paraId="67AAF84F" w14:textId="77777777" w:rsidR="009E550F" w:rsidRPr="00FC68B7" w:rsidRDefault="009E550F" w:rsidP="00FC68B7">
      <w:pPr>
        <w:tabs>
          <w:tab w:val="left" w:pos="2155"/>
        </w:tabs>
        <w:spacing w:after="80"/>
        <w:ind w:left="680"/>
        <w:rPr>
          <w:u w:val="single"/>
        </w:rPr>
      </w:pPr>
      <w:r>
        <w:rPr>
          <w:u w:val="single"/>
        </w:rPr>
        <w:tab/>
      </w:r>
    </w:p>
  </w:footnote>
  <w:footnote w:type="continuationNotice" w:id="1">
    <w:p w14:paraId="457C9190" w14:textId="77777777" w:rsidR="009E550F" w:rsidRDefault="009E5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44CB3691" w:rsidR="00954785" w:rsidRPr="00954785" w:rsidRDefault="009E550F">
    <w:pPr>
      <w:pStyle w:val="Header"/>
    </w:pPr>
    <w:fldSimple w:instr=" TITLE  \* MERGEFORMAT ">
      <w:r w:rsidR="005D10C6">
        <w:t>ECE/TRANS/2021/1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6A2E24FD" w:rsidR="00954785" w:rsidRPr="00954785" w:rsidRDefault="009E550F" w:rsidP="00954785">
    <w:pPr>
      <w:pStyle w:val="Header"/>
      <w:jc w:val="right"/>
    </w:pPr>
    <w:fldSimple w:instr=" TITLE  \* MERGEFORMAT ">
      <w:r w:rsidR="005D10C6">
        <w:t>ECE/TRANS/2021/1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5C5D66"/>
    <w:multiLevelType w:val="hybridMultilevel"/>
    <w:tmpl w:val="9A1249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521F"/>
    <w:rsid w:val="00006790"/>
    <w:rsid w:val="0001535C"/>
    <w:rsid w:val="00024409"/>
    <w:rsid w:val="00027624"/>
    <w:rsid w:val="000301D0"/>
    <w:rsid w:val="0003676C"/>
    <w:rsid w:val="00047B21"/>
    <w:rsid w:val="00050F6B"/>
    <w:rsid w:val="00051037"/>
    <w:rsid w:val="00063649"/>
    <w:rsid w:val="000678CD"/>
    <w:rsid w:val="00072C8C"/>
    <w:rsid w:val="00081CE0"/>
    <w:rsid w:val="00084D30"/>
    <w:rsid w:val="00090320"/>
    <w:rsid w:val="000931C0"/>
    <w:rsid w:val="000A093C"/>
    <w:rsid w:val="000A0E30"/>
    <w:rsid w:val="000A2E09"/>
    <w:rsid w:val="000A7F29"/>
    <w:rsid w:val="000B175B"/>
    <w:rsid w:val="000B3A0F"/>
    <w:rsid w:val="000B50A9"/>
    <w:rsid w:val="000C2BCF"/>
    <w:rsid w:val="000D3C40"/>
    <w:rsid w:val="000D49CC"/>
    <w:rsid w:val="000D4FD9"/>
    <w:rsid w:val="000E0415"/>
    <w:rsid w:val="000E585C"/>
    <w:rsid w:val="000E7625"/>
    <w:rsid w:val="000F2A7B"/>
    <w:rsid w:val="000F7715"/>
    <w:rsid w:val="00113A35"/>
    <w:rsid w:val="00121DC3"/>
    <w:rsid w:val="00150539"/>
    <w:rsid w:val="00156B99"/>
    <w:rsid w:val="001614E4"/>
    <w:rsid w:val="00166124"/>
    <w:rsid w:val="00184DDA"/>
    <w:rsid w:val="001900CD"/>
    <w:rsid w:val="00191664"/>
    <w:rsid w:val="001A0452"/>
    <w:rsid w:val="001B1344"/>
    <w:rsid w:val="001B1A82"/>
    <w:rsid w:val="001B4B04"/>
    <w:rsid w:val="001B5875"/>
    <w:rsid w:val="001B7F86"/>
    <w:rsid w:val="001C4B9C"/>
    <w:rsid w:val="001C6663"/>
    <w:rsid w:val="001C6875"/>
    <w:rsid w:val="001C7895"/>
    <w:rsid w:val="001D26DF"/>
    <w:rsid w:val="001D7641"/>
    <w:rsid w:val="001E13FA"/>
    <w:rsid w:val="001E3B7B"/>
    <w:rsid w:val="001F082B"/>
    <w:rsid w:val="001F1599"/>
    <w:rsid w:val="001F19C4"/>
    <w:rsid w:val="0020278A"/>
    <w:rsid w:val="002043F0"/>
    <w:rsid w:val="00211E0B"/>
    <w:rsid w:val="00216550"/>
    <w:rsid w:val="0022137B"/>
    <w:rsid w:val="00227192"/>
    <w:rsid w:val="00232575"/>
    <w:rsid w:val="002373E6"/>
    <w:rsid w:val="00247258"/>
    <w:rsid w:val="00250017"/>
    <w:rsid w:val="00250482"/>
    <w:rsid w:val="00250503"/>
    <w:rsid w:val="002552D3"/>
    <w:rsid w:val="00257CAC"/>
    <w:rsid w:val="0027237A"/>
    <w:rsid w:val="00284AB3"/>
    <w:rsid w:val="002974E9"/>
    <w:rsid w:val="002A2274"/>
    <w:rsid w:val="002A2E61"/>
    <w:rsid w:val="002A7F94"/>
    <w:rsid w:val="002B109A"/>
    <w:rsid w:val="002B3F1E"/>
    <w:rsid w:val="002C1A9E"/>
    <w:rsid w:val="002C6D45"/>
    <w:rsid w:val="002D037E"/>
    <w:rsid w:val="002D6E53"/>
    <w:rsid w:val="002F046D"/>
    <w:rsid w:val="002F3023"/>
    <w:rsid w:val="002F552E"/>
    <w:rsid w:val="00301764"/>
    <w:rsid w:val="0030517E"/>
    <w:rsid w:val="003139D7"/>
    <w:rsid w:val="003229D8"/>
    <w:rsid w:val="00325859"/>
    <w:rsid w:val="00336C97"/>
    <w:rsid w:val="00337F88"/>
    <w:rsid w:val="00342432"/>
    <w:rsid w:val="0035223F"/>
    <w:rsid w:val="00352D4B"/>
    <w:rsid w:val="003539B4"/>
    <w:rsid w:val="0035638C"/>
    <w:rsid w:val="0036184D"/>
    <w:rsid w:val="00366C40"/>
    <w:rsid w:val="00376770"/>
    <w:rsid w:val="00380FA9"/>
    <w:rsid w:val="0039451F"/>
    <w:rsid w:val="003A0923"/>
    <w:rsid w:val="003A46BB"/>
    <w:rsid w:val="003A4EC7"/>
    <w:rsid w:val="003A7295"/>
    <w:rsid w:val="003B1F60"/>
    <w:rsid w:val="003B27A8"/>
    <w:rsid w:val="003C2CC4"/>
    <w:rsid w:val="003C323D"/>
    <w:rsid w:val="003C359D"/>
    <w:rsid w:val="003D4B23"/>
    <w:rsid w:val="003D6E64"/>
    <w:rsid w:val="003E278A"/>
    <w:rsid w:val="00405E9D"/>
    <w:rsid w:val="004073FE"/>
    <w:rsid w:val="00413520"/>
    <w:rsid w:val="00422B90"/>
    <w:rsid w:val="0042437B"/>
    <w:rsid w:val="004243AA"/>
    <w:rsid w:val="00427C27"/>
    <w:rsid w:val="00430A41"/>
    <w:rsid w:val="004325CB"/>
    <w:rsid w:val="00440A07"/>
    <w:rsid w:val="00441DF2"/>
    <w:rsid w:val="0044287D"/>
    <w:rsid w:val="004568C9"/>
    <w:rsid w:val="00462880"/>
    <w:rsid w:val="0047406F"/>
    <w:rsid w:val="00476F24"/>
    <w:rsid w:val="00490928"/>
    <w:rsid w:val="004910FA"/>
    <w:rsid w:val="004923A8"/>
    <w:rsid w:val="00493908"/>
    <w:rsid w:val="004A203A"/>
    <w:rsid w:val="004C1735"/>
    <w:rsid w:val="004C55B0"/>
    <w:rsid w:val="004D065A"/>
    <w:rsid w:val="004D5A27"/>
    <w:rsid w:val="004E3DB1"/>
    <w:rsid w:val="004F6BA0"/>
    <w:rsid w:val="00501B61"/>
    <w:rsid w:val="00503BEA"/>
    <w:rsid w:val="0050494A"/>
    <w:rsid w:val="00511D15"/>
    <w:rsid w:val="00527C02"/>
    <w:rsid w:val="00533616"/>
    <w:rsid w:val="00535ABA"/>
    <w:rsid w:val="0053768B"/>
    <w:rsid w:val="005420F2"/>
    <w:rsid w:val="0054285C"/>
    <w:rsid w:val="00567F73"/>
    <w:rsid w:val="00584173"/>
    <w:rsid w:val="00595520"/>
    <w:rsid w:val="00595F96"/>
    <w:rsid w:val="005A1A83"/>
    <w:rsid w:val="005A44B9"/>
    <w:rsid w:val="005B1BA0"/>
    <w:rsid w:val="005B2BD9"/>
    <w:rsid w:val="005B3824"/>
    <w:rsid w:val="005B3DB3"/>
    <w:rsid w:val="005B4690"/>
    <w:rsid w:val="005D10C6"/>
    <w:rsid w:val="005D15CA"/>
    <w:rsid w:val="005F08DF"/>
    <w:rsid w:val="005F3066"/>
    <w:rsid w:val="005F3E61"/>
    <w:rsid w:val="00601F0E"/>
    <w:rsid w:val="006038FA"/>
    <w:rsid w:val="00604DDD"/>
    <w:rsid w:val="00607F8B"/>
    <w:rsid w:val="00610C47"/>
    <w:rsid w:val="006115CC"/>
    <w:rsid w:val="00611FC4"/>
    <w:rsid w:val="00615C33"/>
    <w:rsid w:val="006176FB"/>
    <w:rsid w:val="006206C6"/>
    <w:rsid w:val="00620F69"/>
    <w:rsid w:val="00630FCB"/>
    <w:rsid w:val="00640B26"/>
    <w:rsid w:val="0065766B"/>
    <w:rsid w:val="00660CCF"/>
    <w:rsid w:val="006618DB"/>
    <w:rsid w:val="0066355A"/>
    <w:rsid w:val="006770B2"/>
    <w:rsid w:val="00677D7D"/>
    <w:rsid w:val="00686A48"/>
    <w:rsid w:val="00690537"/>
    <w:rsid w:val="00690D8F"/>
    <w:rsid w:val="006940E1"/>
    <w:rsid w:val="00694F5B"/>
    <w:rsid w:val="00695177"/>
    <w:rsid w:val="006A3C72"/>
    <w:rsid w:val="006A7392"/>
    <w:rsid w:val="006B03A1"/>
    <w:rsid w:val="006B3ABA"/>
    <w:rsid w:val="006B67D9"/>
    <w:rsid w:val="006C5535"/>
    <w:rsid w:val="006D0589"/>
    <w:rsid w:val="006D5C12"/>
    <w:rsid w:val="006E564B"/>
    <w:rsid w:val="006E5789"/>
    <w:rsid w:val="006E7154"/>
    <w:rsid w:val="006F2C79"/>
    <w:rsid w:val="007003CD"/>
    <w:rsid w:val="00702DC9"/>
    <w:rsid w:val="0070701E"/>
    <w:rsid w:val="00707183"/>
    <w:rsid w:val="0071459A"/>
    <w:rsid w:val="00721ED0"/>
    <w:rsid w:val="00723379"/>
    <w:rsid w:val="0072632A"/>
    <w:rsid w:val="007267B2"/>
    <w:rsid w:val="007306CC"/>
    <w:rsid w:val="0073107B"/>
    <w:rsid w:val="007358E8"/>
    <w:rsid w:val="00735AB2"/>
    <w:rsid w:val="00736490"/>
    <w:rsid w:val="0073693C"/>
    <w:rsid w:val="00736ECE"/>
    <w:rsid w:val="00740230"/>
    <w:rsid w:val="00743147"/>
    <w:rsid w:val="0074533B"/>
    <w:rsid w:val="00754ADB"/>
    <w:rsid w:val="007557C4"/>
    <w:rsid w:val="00757FF8"/>
    <w:rsid w:val="00761EEC"/>
    <w:rsid w:val="007643BC"/>
    <w:rsid w:val="00776E31"/>
    <w:rsid w:val="00780C68"/>
    <w:rsid w:val="007959FE"/>
    <w:rsid w:val="007A0CF1"/>
    <w:rsid w:val="007A2C8E"/>
    <w:rsid w:val="007B6BA5"/>
    <w:rsid w:val="007B73A7"/>
    <w:rsid w:val="007C0FFC"/>
    <w:rsid w:val="007C3390"/>
    <w:rsid w:val="007C42D8"/>
    <w:rsid w:val="007C4F4B"/>
    <w:rsid w:val="007C77C2"/>
    <w:rsid w:val="007D344F"/>
    <w:rsid w:val="007D7362"/>
    <w:rsid w:val="007E50B8"/>
    <w:rsid w:val="007E6107"/>
    <w:rsid w:val="007F1DA8"/>
    <w:rsid w:val="007F5CE2"/>
    <w:rsid w:val="007F6611"/>
    <w:rsid w:val="007F76BE"/>
    <w:rsid w:val="00800CD3"/>
    <w:rsid w:val="008053DC"/>
    <w:rsid w:val="00806E5B"/>
    <w:rsid w:val="00810BAC"/>
    <w:rsid w:val="008119F5"/>
    <w:rsid w:val="00812944"/>
    <w:rsid w:val="008131C5"/>
    <w:rsid w:val="00815316"/>
    <w:rsid w:val="008175E9"/>
    <w:rsid w:val="008225C3"/>
    <w:rsid w:val="008242D7"/>
    <w:rsid w:val="0082577B"/>
    <w:rsid w:val="008304E1"/>
    <w:rsid w:val="008373F7"/>
    <w:rsid w:val="00840125"/>
    <w:rsid w:val="0084280F"/>
    <w:rsid w:val="0085321C"/>
    <w:rsid w:val="008644F6"/>
    <w:rsid w:val="00866893"/>
    <w:rsid w:val="00866F02"/>
    <w:rsid w:val="00867D18"/>
    <w:rsid w:val="00870A56"/>
    <w:rsid w:val="00871F9A"/>
    <w:rsid w:val="00871FD5"/>
    <w:rsid w:val="00880547"/>
    <w:rsid w:val="0088172E"/>
    <w:rsid w:val="00881EFA"/>
    <w:rsid w:val="008879CB"/>
    <w:rsid w:val="00890E9D"/>
    <w:rsid w:val="00891A60"/>
    <w:rsid w:val="008932E5"/>
    <w:rsid w:val="00893F7B"/>
    <w:rsid w:val="00894986"/>
    <w:rsid w:val="008979B1"/>
    <w:rsid w:val="008A0ABF"/>
    <w:rsid w:val="008A6B25"/>
    <w:rsid w:val="008A6C4F"/>
    <w:rsid w:val="008B2E77"/>
    <w:rsid w:val="008B389E"/>
    <w:rsid w:val="008C3468"/>
    <w:rsid w:val="008C6230"/>
    <w:rsid w:val="008D045E"/>
    <w:rsid w:val="008D09E2"/>
    <w:rsid w:val="008D3F25"/>
    <w:rsid w:val="008D4D82"/>
    <w:rsid w:val="008D6C7F"/>
    <w:rsid w:val="008D7EDE"/>
    <w:rsid w:val="008E0E46"/>
    <w:rsid w:val="008E1E29"/>
    <w:rsid w:val="008E271A"/>
    <w:rsid w:val="008E7116"/>
    <w:rsid w:val="008F120A"/>
    <w:rsid w:val="008F143B"/>
    <w:rsid w:val="008F3882"/>
    <w:rsid w:val="008F4B7C"/>
    <w:rsid w:val="00901E43"/>
    <w:rsid w:val="009035C7"/>
    <w:rsid w:val="00926E47"/>
    <w:rsid w:val="00935A49"/>
    <w:rsid w:val="00942D5F"/>
    <w:rsid w:val="00943748"/>
    <w:rsid w:val="00947162"/>
    <w:rsid w:val="00954785"/>
    <w:rsid w:val="00954FD8"/>
    <w:rsid w:val="009610D0"/>
    <w:rsid w:val="0096375C"/>
    <w:rsid w:val="009662E6"/>
    <w:rsid w:val="0097095E"/>
    <w:rsid w:val="00976EC9"/>
    <w:rsid w:val="00980B9A"/>
    <w:rsid w:val="0098592B"/>
    <w:rsid w:val="00985FC4"/>
    <w:rsid w:val="00990766"/>
    <w:rsid w:val="00991261"/>
    <w:rsid w:val="009915E8"/>
    <w:rsid w:val="009964C4"/>
    <w:rsid w:val="009A4E9E"/>
    <w:rsid w:val="009A7B81"/>
    <w:rsid w:val="009D01C0"/>
    <w:rsid w:val="009D4CA7"/>
    <w:rsid w:val="009D6A08"/>
    <w:rsid w:val="009E0A16"/>
    <w:rsid w:val="009E550F"/>
    <w:rsid w:val="009E6CB7"/>
    <w:rsid w:val="009E7970"/>
    <w:rsid w:val="009F2EAC"/>
    <w:rsid w:val="009F352E"/>
    <w:rsid w:val="009F57E3"/>
    <w:rsid w:val="00A037F2"/>
    <w:rsid w:val="00A10F4F"/>
    <w:rsid w:val="00A11067"/>
    <w:rsid w:val="00A169DC"/>
    <w:rsid w:val="00A1704A"/>
    <w:rsid w:val="00A23497"/>
    <w:rsid w:val="00A3051A"/>
    <w:rsid w:val="00A33615"/>
    <w:rsid w:val="00A41E5C"/>
    <w:rsid w:val="00A425EB"/>
    <w:rsid w:val="00A4360F"/>
    <w:rsid w:val="00A43DD6"/>
    <w:rsid w:val="00A44EC1"/>
    <w:rsid w:val="00A456E9"/>
    <w:rsid w:val="00A510AA"/>
    <w:rsid w:val="00A72F22"/>
    <w:rsid w:val="00A733BC"/>
    <w:rsid w:val="00A747DF"/>
    <w:rsid w:val="00A748A6"/>
    <w:rsid w:val="00A76A69"/>
    <w:rsid w:val="00A816B7"/>
    <w:rsid w:val="00A84778"/>
    <w:rsid w:val="00A86B27"/>
    <w:rsid w:val="00A879A4"/>
    <w:rsid w:val="00A92CB1"/>
    <w:rsid w:val="00A93412"/>
    <w:rsid w:val="00A94798"/>
    <w:rsid w:val="00AA0FF8"/>
    <w:rsid w:val="00AA453D"/>
    <w:rsid w:val="00AB6F1E"/>
    <w:rsid w:val="00AC0F2C"/>
    <w:rsid w:val="00AC502A"/>
    <w:rsid w:val="00AC5EA3"/>
    <w:rsid w:val="00AD132E"/>
    <w:rsid w:val="00AE4144"/>
    <w:rsid w:val="00AE606D"/>
    <w:rsid w:val="00AF58C1"/>
    <w:rsid w:val="00B04A3F"/>
    <w:rsid w:val="00B06643"/>
    <w:rsid w:val="00B06C58"/>
    <w:rsid w:val="00B138F0"/>
    <w:rsid w:val="00B15055"/>
    <w:rsid w:val="00B1749C"/>
    <w:rsid w:val="00B20551"/>
    <w:rsid w:val="00B21A8D"/>
    <w:rsid w:val="00B27D6D"/>
    <w:rsid w:val="00B30179"/>
    <w:rsid w:val="00B33FC7"/>
    <w:rsid w:val="00B34EFE"/>
    <w:rsid w:val="00B37B15"/>
    <w:rsid w:val="00B45C02"/>
    <w:rsid w:val="00B5383B"/>
    <w:rsid w:val="00B53EB4"/>
    <w:rsid w:val="00B66EAE"/>
    <w:rsid w:val="00B70B63"/>
    <w:rsid w:val="00B72A1E"/>
    <w:rsid w:val="00B81BCB"/>
    <w:rsid w:val="00B81E12"/>
    <w:rsid w:val="00B83031"/>
    <w:rsid w:val="00BA067D"/>
    <w:rsid w:val="00BA339B"/>
    <w:rsid w:val="00BB1C33"/>
    <w:rsid w:val="00BB23CC"/>
    <w:rsid w:val="00BC1E7E"/>
    <w:rsid w:val="00BC74E9"/>
    <w:rsid w:val="00BD7BD4"/>
    <w:rsid w:val="00BE36A9"/>
    <w:rsid w:val="00BE4266"/>
    <w:rsid w:val="00BE618E"/>
    <w:rsid w:val="00BE7BEC"/>
    <w:rsid w:val="00BF0A5A"/>
    <w:rsid w:val="00BF0E63"/>
    <w:rsid w:val="00BF12A3"/>
    <w:rsid w:val="00BF16D7"/>
    <w:rsid w:val="00BF2373"/>
    <w:rsid w:val="00C044E2"/>
    <w:rsid w:val="00C048CB"/>
    <w:rsid w:val="00C066F3"/>
    <w:rsid w:val="00C07234"/>
    <w:rsid w:val="00C11B13"/>
    <w:rsid w:val="00C16F77"/>
    <w:rsid w:val="00C3660A"/>
    <w:rsid w:val="00C463DD"/>
    <w:rsid w:val="00C60441"/>
    <w:rsid w:val="00C733C8"/>
    <w:rsid w:val="00C745C3"/>
    <w:rsid w:val="00C804F9"/>
    <w:rsid w:val="00C82E5C"/>
    <w:rsid w:val="00C83440"/>
    <w:rsid w:val="00C93724"/>
    <w:rsid w:val="00C96815"/>
    <w:rsid w:val="00C978F5"/>
    <w:rsid w:val="00CA24A4"/>
    <w:rsid w:val="00CB0EAD"/>
    <w:rsid w:val="00CB348D"/>
    <w:rsid w:val="00CB3EA8"/>
    <w:rsid w:val="00CB42AE"/>
    <w:rsid w:val="00CD3488"/>
    <w:rsid w:val="00CD46F5"/>
    <w:rsid w:val="00CD47C5"/>
    <w:rsid w:val="00CD4FBD"/>
    <w:rsid w:val="00CE4A8F"/>
    <w:rsid w:val="00CF071D"/>
    <w:rsid w:val="00CF331B"/>
    <w:rsid w:val="00CF37C9"/>
    <w:rsid w:val="00CF65C9"/>
    <w:rsid w:val="00D0123D"/>
    <w:rsid w:val="00D03AFF"/>
    <w:rsid w:val="00D052ED"/>
    <w:rsid w:val="00D111B6"/>
    <w:rsid w:val="00D141FF"/>
    <w:rsid w:val="00D15B04"/>
    <w:rsid w:val="00D2031B"/>
    <w:rsid w:val="00D25ED9"/>
    <w:rsid w:val="00D25FE2"/>
    <w:rsid w:val="00D26F0C"/>
    <w:rsid w:val="00D352C5"/>
    <w:rsid w:val="00D36740"/>
    <w:rsid w:val="00D376B5"/>
    <w:rsid w:val="00D37DA9"/>
    <w:rsid w:val="00D406A7"/>
    <w:rsid w:val="00D42356"/>
    <w:rsid w:val="00D43252"/>
    <w:rsid w:val="00D44D86"/>
    <w:rsid w:val="00D50072"/>
    <w:rsid w:val="00D50B7D"/>
    <w:rsid w:val="00D52012"/>
    <w:rsid w:val="00D536D2"/>
    <w:rsid w:val="00D53873"/>
    <w:rsid w:val="00D667E9"/>
    <w:rsid w:val="00D704E5"/>
    <w:rsid w:val="00D72727"/>
    <w:rsid w:val="00D81586"/>
    <w:rsid w:val="00D84396"/>
    <w:rsid w:val="00D86B36"/>
    <w:rsid w:val="00D924C6"/>
    <w:rsid w:val="00D978C6"/>
    <w:rsid w:val="00D97D8B"/>
    <w:rsid w:val="00DA0956"/>
    <w:rsid w:val="00DA357F"/>
    <w:rsid w:val="00DA3E12"/>
    <w:rsid w:val="00DC18AD"/>
    <w:rsid w:val="00DC4785"/>
    <w:rsid w:val="00DD7481"/>
    <w:rsid w:val="00DE1BB5"/>
    <w:rsid w:val="00DF7CAE"/>
    <w:rsid w:val="00E00ADF"/>
    <w:rsid w:val="00E01512"/>
    <w:rsid w:val="00E11BD6"/>
    <w:rsid w:val="00E239B9"/>
    <w:rsid w:val="00E35D5F"/>
    <w:rsid w:val="00E423C0"/>
    <w:rsid w:val="00E450D1"/>
    <w:rsid w:val="00E52704"/>
    <w:rsid w:val="00E6414C"/>
    <w:rsid w:val="00E67A12"/>
    <w:rsid w:val="00E7260F"/>
    <w:rsid w:val="00E8702D"/>
    <w:rsid w:val="00E87632"/>
    <w:rsid w:val="00E905F4"/>
    <w:rsid w:val="00E916A9"/>
    <w:rsid w:val="00E916DE"/>
    <w:rsid w:val="00E925AD"/>
    <w:rsid w:val="00E956FD"/>
    <w:rsid w:val="00E96630"/>
    <w:rsid w:val="00EC1144"/>
    <w:rsid w:val="00ED18DC"/>
    <w:rsid w:val="00ED54D3"/>
    <w:rsid w:val="00ED5B5E"/>
    <w:rsid w:val="00ED6201"/>
    <w:rsid w:val="00ED7A2A"/>
    <w:rsid w:val="00ED7F7E"/>
    <w:rsid w:val="00EF1D7F"/>
    <w:rsid w:val="00EF573F"/>
    <w:rsid w:val="00F0137E"/>
    <w:rsid w:val="00F03365"/>
    <w:rsid w:val="00F060D1"/>
    <w:rsid w:val="00F10434"/>
    <w:rsid w:val="00F21786"/>
    <w:rsid w:val="00F233D5"/>
    <w:rsid w:val="00F2566B"/>
    <w:rsid w:val="00F35A50"/>
    <w:rsid w:val="00F3742B"/>
    <w:rsid w:val="00F41FDB"/>
    <w:rsid w:val="00F47AD5"/>
    <w:rsid w:val="00F50230"/>
    <w:rsid w:val="00F5527A"/>
    <w:rsid w:val="00F56D63"/>
    <w:rsid w:val="00F609A9"/>
    <w:rsid w:val="00F70135"/>
    <w:rsid w:val="00F71FE1"/>
    <w:rsid w:val="00F72765"/>
    <w:rsid w:val="00F7422A"/>
    <w:rsid w:val="00F74D68"/>
    <w:rsid w:val="00F750BB"/>
    <w:rsid w:val="00F80C99"/>
    <w:rsid w:val="00F867EC"/>
    <w:rsid w:val="00F91B2B"/>
    <w:rsid w:val="00FA3A6E"/>
    <w:rsid w:val="00FB1BA2"/>
    <w:rsid w:val="00FB36A0"/>
    <w:rsid w:val="00FB6995"/>
    <w:rsid w:val="00FC03CD"/>
    <w:rsid w:val="00FC0595"/>
    <w:rsid w:val="00FC0646"/>
    <w:rsid w:val="00FC3E5C"/>
    <w:rsid w:val="00FC4015"/>
    <w:rsid w:val="00FC68B7"/>
    <w:rsid w:val="00FD2A16"/>
    <w:rsid w:val="00FD7315"/>
    <w:rsid w:val="00FD78EB"/>
    <w:rsid w:val="00FE6503"/>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E239B9"/>
    <w:rPr>
      <w:lang w:val="en-GB"/>
    </w:rPr>
  </w:style>
  <w:style w:type="character" w:customStyle="1" w:styleId="H1GChar">
    <w:name w:val="_ H_1_G Char"/>
    <w:link w:val="H1G"/>
    <w:rsid w:val="00E239B9"/>
    <w:rPr>
      <w:b/>
      <w:sz w:val="24"/>
      <w:lang w:val="en-GB"/>
    </w:rPr>
  </w:style>
  <w:style w:type="character" w:styleId="CommentReference">
    <w:name w:val="annotation reference"/>
    <w:basedOn w:val="DefaultParagraphFont"/>
    <w:semiHidden/>
    <w:unhideWhenUsed/>
    <w:rsid w:val="005D10C6"/>
    <w:rPr>
      <w:sz w:val="16"/>
      <w:szCs w:val="16"/>
    </w:rPr>
  </w:style>
  <w:style w:type="paragraph" w:styleId="CommentText">
    <w:name w:val="annotation text"/>
    <w:basedOn w:val="Normal"/>
    <w:link w:val="CommentTextChar"/>
    <w:semiHidden/>
    <w:unhideWhenUsed/>
    <w:rsid w:val="005D10C6"/>
    <w:pPr>
      <w:spacing w:line="240" w:lineRule="auto"/>
    </w:pPr>
  </w:style>
  <w:style w:type="character" w:customStyle="1" w:styleId="CommentTextChar">
    <w:name w:val="Comment Text Char"/>
    <w:basedOn w:val="DefaultParagraphFont"/>
    <w:link w:val="CommentText"/>
    <w:semiHidden/>
    <w:rsid w:val="005D10C6"/>
    <w:rPr>
      <w:lang w:val="en-GB"/>
    </w:rPr>
  </w:style>
  <w:style w:type="paragraph" w:styleId="CommentSubject">
    <w:name w:val="annotation subject"/>
    <w:basedOn w:val="CommentText"/>
    <w:next w:val="CommentText"/>
    <w:link w:val="CommentSubjectChar"/>
    <w:semiHidden/>
    <w:unhideWhenUsed/>
    <w:rsid w:val="005D10C6"/>
    <w:rPr>
      <w:b/>
      <w:bCs/>
    </w:rPr>
  </w:style>
  <w:style w:type="character" w:customStyle="1" w:styleId="CommentSubjectChar">
    <w:name w:val="Comment Subject Char"/>
    <w:basedOn w:val="CommentTextChar"/>
    <w:link w:val="CommentSubject"/>
    <w:semiHidden/>
    <w:rsid w:val="005D10C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9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06371D-A5BF-457E-9FD3-DCF2121C6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3051</Words>
  <Characters>17851</Characters>
  <Application>Microsoft Office Word</Application>
  <DocSecurity>0</DocSecurity>
  <Lines>346</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ECE/TRANS/2021/1</vt:lpstr>
      <vt:lpstr/>
    </vt:vector>
  </TitlesOfParts>
  <Company>CSD</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dc:title>
  <dc:subject>2016732</dc:subject>
  <dc:creator>Una Philippa GILTSOFF</dc:creator>
  <cp:keywords/>
  <dc:description/>
  <cp:lastModifiedBy>Una Philippa GILTSOFF</cp:lastModifiedBy>
  <cp:revision>2</cp:revision>
  <cp:lastPrinted>2020-11-30T08:03:00Z</cp:lastPrinted>
  <dcterms:created xsi:type="dcterms:W3CDTF">2020-12-21T12:04:00Z</dcterms:created>
  <dcterms:modified xsi:type="dcterms:W3CDTF">2020-12-21T12:04:00Z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