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61706"/>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61706" w:rsidP="00E61706">
            <w:pPr>
              <w:jc w:val="right"/>
            </w:pPr>
            <w:r w:rsidRPr="00E61706">
              <w:rPr>
                <w:sz w:val="40"/>
              </w:rPr>
              <w:t>ECE</w:t>
            </w:r>
            <w:r>
              <w:t>/TRANS/2021/12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61706" w:rsidP="00C97039">
            <w:pPr>
              <w:spacing w:before="240"/>
            </w:pPr>
            <w:proofErr w:type="spellStart"/>
            <w:r>
              <w:t>Distr</w:t>
            </w:r>
            <w:proofErr w:type="spellEnd"/>
            <w:r>
              <w:t>. générale</w:t>
            </w:r>
          </w:p>
          <w:p w:rsidR="00E61706" w:rsidRDefault="00E61706" w:rsidP="00E61706">
            <w:pPr>
              <w:spacing w:line="240" w:lineRule="exact"/>
            </w:pPr>
            <w:r>
              <w:t>15 décembre 2020</w:t>
            </w:r>
          </w:p>
          <w:p w:rsidR="00E61706" w:rsidRDefault="00E61706" w:rsidP="00E61706">
            <w:pPr>
              <w:spacing w:line="240" w:lineRule="exact"/>
            </w:pPr>
            <w:r>
              <w:t>Français</w:t>
            </w:r>
          </w:p>
          <w:p w:rsidR="00E61706" w:rsidRPr="00DB58B5" w:rsidRDefault="00E61706" w:rsidP="00E6170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207E9" w:rsidRPr="00BC6151" w:rsidRDefault="005207E9" w:rsidP="005207E9">
      <w:pPr>
        <w:spacing w:before="120"/>
        <w:rPr>
          <w:b/>
          <w:bCs/>
          <w:lang w:val="fr-FR"/>
        </w:rPr>
      </w:pPr>
      <w:r w:rsidRPr="00BC6151">
        <w:rPr>
          <w:b/>
          <w:bCs/>
          <w:lang w:val="fr-FR"/>
        </w:rPr>
        <w:t>Quatre-vingt-troisième session</w:t>
      </w:r>
    </w:p>
    <w:p w:rsidR="00A514BE" w:rsidRDefault="005207E9" w:rsidP="005207E9">
      <w:pPr>
        <w:ind w:right="3519"/>
        <w:rPr>
          <w:lang w:val="fr-FR"/>
        </w:rPr>
      </w:pPr>
      <w:r w:rsidRPr="00BC6151">
        <w:rPr>
          <w:lang w:val="fr-FR"/>
        </w:rPr>
        <w:t>Genève, 23</w:t>
      </w:r>
      <w:r w:rsidR="00A514BE">
        <w:rPr>
          <w:lang w:val="fr-FR"/>
        </w:rPr>
        <w:t>-</w:t>
      </w:r>
      <w:r w:rsidRPr="00BC6151">
        <w:rPr>
          <w:lang w:val="fr-FR"/>
        </w:rPr>
        <w:t>26 février 2021</w:t>
      </w:r>
    </w:p>
    <w:p w:rsidR="00A514BE" w:rsidRDefault="005207E9" w:rsidP="005207E9">
      <w:pPr>
        <w:ind w:right="3519"/>
        <w:rPr>
          <w:lang w:val="fr-FR"/>
        </w:rPr>
      </w:pPr>
      <w:r w:rsidRPr="00BC6151">
        <w:rPr>
          <w:lang w:val="fr-FR"/>
        </w:rPr>
        <w:t>Point 7 b) de l</w:t>
      </w:r>
      <w:r>
        <w:rPr>
          <w:lang w:val="fr-FR"/>
        </w:rPr>
        <w:t>’</w:t>
      </w:r>
      <w:r w:rsidRPr="00BC6151">
        <w:rPr>
          <w:lang w:val="fr-FR"/>
        </w:rPr>
        <w:t>ordre du jour provisoire</w:t>
      </w:r>
    </w:p>
    <w:p w:rsidR="005207E9" w:rsidRPr="00BC6151" w:rsidRDefault="005207E9" w:rsidP="005207E9">
      <w:pPr>
        <w:ind w:right="3519"/>
        <w:rPr>
          <w:b/>
          <w:lang w:val="fr-FR"/>
        </w:rPr>
      </w:pPr>
      <w:r w:rsidRPr="00BC6151">
        <w:rPr>
          <w:b/>
          <w:lang w:val="fr-FR"/>
        </w:rPr>
        <w:t xml:space="preserve">Questions stratégiques de nature horizontale et transversale </w:t>
      </w:r>
      <w:r w:rsidR="00A514BE">
        <w:rPr>
          <w:b/>
          <w:lang w:val="fr-FR"/>
        </w:rPr>
        <w:br/>
      </w:r>
      <w:r w:rsidRPr="00BC6151">
        <w:rPr>
          <w:b/>
          <w:lang w:val="fr-FR"/>
        </w:rPr>
        <w:t>ou d</w:t>
      </w:r>
      <w:r>
        <w:rPr>
          <w:b/>
          <w:lang w:val="fr-FR"/>
        </w:rPr>
        <w:t>’</w:t>
      </w:r>
      <w:r w:rsidRPr="00BC6151">
        <w:rPr>
          <w:b/>
          <w:lang w:val="fr-FR"/>
        </w:rPr>
        <w:t xml:space="preserve">ordre réglementaire : Mise en œuvre des conventions </w:t>
      </w:r>
      <w:r w:rsidR="00A514BE">
        <w:rPr>
          <w:b/>
          <w:lang w:val="fr-FR"/>
        </w:rPr>
        <w:br/>
      </w:r>
      <w:r w:rsidRPr="00BC6151">
        <w:rPr>
          <w:b/>
          <w:lang w:val="fr-FR"/>
        </w:rPr>
        <w:t xml:space="preserve">et accords internationaux des Nations Unies relatifs aux </w:t>
      </w:r>
      <w:r w:rsidR="004E3B1B">
        <w:rPr>
          <w:b/>
          <w:lang w:val="fr-FR"/>
        </w:rPr>
        <w:br/>
      </w:r>
      <w:r w:rsidRPr="00BC6151">
        <w:rPr>
          <w:b/>
          <w:lang w:val="fr-FR"/>
        </w:rPr>
        <w:t>transports intérieurs (déclarations des repr</w:t>
      </w:r>
      <w:r>
        <w:rPr>
          <w:b/>
          <w:lang w:val="fr-FR"/>
        </w:rPr>
        <w:t>é</w:t>
      </w:r>
      <w:r w:rsidRPr="00BC6151">
        <w:rPr>
          <w:b/>
          <w:lang w:val="fr-FR"/>
        </w:rPr>
        <w:t>sentants)</w:t>
      </w:r>
    </w:p>
    <w:p w:rsidR="005207E9" w:rsidRPr="00BC6151" w:rsidRDefault="005207E9" w:rsidP="004E3B1B">
      <w:pPr>
        <w:pStyle w:val="HChG"/>
        <w:rPr>
          <w:lang w:val="fr-FR"/>
        </w:rPr>
      </w:pPr>
      <w:r w:rsidRPr="00BC6151">
        <w:rPr>
          <w:lang w:val="fr-FR"/>
        </w:rPr>
        <w:tab/>
      </w:r>
      <w:r w:rsidRPr="00BC6151">
        <w:rPr>
          <w:lang w:val="fr-FR"/>
        </w:rPr>
        <w:tab/>
      </w:r>
      <w:r w:rsidRPr="00BC6151">
        <w:rPr>
          <w:lang w:val="fr-FR"/>
        </w:rPr>
        <w:tab/>
        <w:t>Dynamiques régionales de l</w:t>
      </w:r>
      <w:r>
        <w:rPr>
          <w:lang w:val="fr-FR"/>
        </w:rPr>
        <w:t>’</w:t>
      </w:r>
      <w:r w:rsidRPr="00BC6151">
        <w:rPr>
          <w:lang w:val="fr-FR"/>
        </w:rPr>
        <w:t xml:space="preserve">adhésion aux conventions </w:t>
      </w:r>
      <w:r w:rsidR="004E3B1B">
        <w:rPr>
          <w:lang w:val="fr-FR"/>
        </w:rPr>
        <w:br/>
      </w:r>
      <w:r w:rsidRPr="00BC6151">
        <w:rPr>
          <w:lang w:val="fr-FR"/>
        </w:rPr>
        <w:t xml:space="preserve">et accords des Nations Unies relatifs aux transports </w:t>
      </w:r>
      <w:r w:rsidR="004E3B1B">
        <w:rPr>
          <w:lang w:val="fr-FR"/>
        </w:rPr>
        <w:br/>
      </w:r>
      <w:r w:rsidRPr="00BC6151">
        <w:rPr>
          <w:lang w:val="fr-FR"/>
        </w:rPr>
        <w:t>intérieurs</w:t>
      </w:r>
    </w:p>
    <w:p w:rsidR="005207E9" w:rsidRPr="00BC6151" w:rsidRDefault="005207E9" w:rsidP="004E3B1B">
      <w:pPr>
        <w:pStyle w:val="H1G"/>
        <w:rPr>
          <w:lang w:val="fr-FR"/>
        </w:rPr>
      </w:pPr>
      <w:r w:rsidRPr="00BC6151">
        <w:rPr>
          <w:lang w:val="fr-FR"/>
        </w:rPr>
        <w:tab/>
      </w:r>
      <w:r w:rsidRPr="00BC6151">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5207E9" w:rsidRPr="00BC6151" w:rsidTr="001618D3">
        <w:trPr>
          <w:jc w:val="center"/>
        </w:trPr>
        <w:tc>
          <w:tcPr>
            <w:tcW w:w="9637" w:type="dxa"/>
            <w:shd w:val="clear" w:color="auto" w:fill="auto"/>
          </w:tcPr>
          <w:p w:rsidR="005207E9" w:rsidRPr="00BC6151" w:rsidRDefault="005207E9" w:rsidP="001618D3">
            <w:pPr>
              <w:spacing w:before="240" w:after="120"/>
              <w:ind w:left="255"/>
              <w:rPr>
                <w:i/>
                <w:sz w:val="24"/>
                <w:lang w:val="fr-FR"/>
              </w:rPr>
            </w:pPr>
            <w:r w:rsidRPr="00BC6151">
              <w:rPr>
                <w:i/>
                <w:sz w:val="24"/>
                <w:lang w:val="fr-FR"/>
              </w:rPr>
              <w:t>Résumé</w:t>
            </w:r>
          </w:p>
        </w:tc>
      </w:tr>
      <w:tr w:rsidR="005207E9" w:rsidRPr="00EF4D60" w:rsidTr="001618D3">
        <w:trPr>
          <w:jc w:val="center"/>
        </w:trPr>
        <w:tc>
          <w:tcPr>
            <w:tcW w:w="9637" w:type="dxa"/>
            <w:shd w:val="clear" w:color="auto" w:fill="auto"/>
          </w:tcPr>
          <w:p w:rsidR="005207E9" w:rsidRPr="00BC6151" w:rsidRDefault="005207E9" w:rsidP="004E3B1B">
            <w:pPr>
              <w:pStyle w:val="SingleTxtG"/>
              <w:ind w:firstLine="567"/>
              <w:rPr>
                <w:lang w:val="fr-FR"/>
              </w:rPr>
            </w:pPr>
            <w:r w:rsidRPr="00BC6151">
              <w:rPr>
                <w:lang w:val="fr-FR"/>
              </w:rPr>
              <w:tab/>
            </w:r>
            <w:r>
              <w:rPr>
                <w:lang w:val="fr-FR"/>
              </w:rPr>
              <w:t>On trouvera dans l</w:t>
            </w:r>
            <w:r w:rsidRPr="00BC6151">
              <w:rPr>
                <w:lang w:val="fr-FR"/>
              </w:rPr>
              <w:t xml:space="preserve">e présent document </w:t>
            </w:r>
            <w:r>
              <w:rPr>
                <w:lang w:val="fr-FR"/>
              </w:rPr>
              <w:t xml:space="preserve">une </w:t>
            </w:r>
            <w:r w:rsidRPr="00BC6151">
              <w:rPr>
                <w:lang w:val="fr-FR"/>
              </w:rPr>
              <w:t xml:space="preserve">analyse </w:t>
            </w:r>
            <w:r>
              <w:rPr>
                <w:lang w:val="fr-FR"/>
              </w:rPr>
              <w:t>d</w:t>
            </w:r>
            <w:r w:rsidRPr="00BC6151">
              <w:rPr>
                <w:lang w:val="fr-FR"/>
              </w:rPr>
              <w:t>es dynamiques régionales de l</w:t>
            </w:r>
            <w:r>
              <w:rPr>
                <w:lang w:val="fr-FR"/>
              </w:rPr>
              <w:t>’</w:t>
            </w:r>
            <w:r w:rsidRPr="00BC6151">
              <w:rPr>
                <w:lang w:val="fr-FR"/>
              </w:rPr>
              <w:t xml:space="preserve">adhésion aux conventions sur les transports qui relèvent du Comité des transports intérieurs. </w:t>
            </w:r>
            <w:r>
              <w:rPr>
                <w:lang w:val="fr-FR"/>
              </w:rPr>
              <w:t>Le document</w:t>
            </w:r>
            <w:r w:rsidRPr="00BC6151">
              <w:rPr>
                <w:lang w:val="fr-FR"/>
              </w:rPr>
              <w:t xml:space="preserve"> porte en particulier sur les conventions qui concernent la facilitation du franchissement des frontières et la sécurité routière, étant donné </w:t>
            </w:r>
            <w:r>
              <w:rPr>
                <w:lang w:val="fr-FR"/>
              </w:rPr>
              <w:t xml:space="preserve">le grand intérêt </w:t>
            </w:r>
            <w:r w:rsidRPr="00BC6151">
              <w:rPr>
                <w:lang w:val="fr-FR"/>
              </w:rPr>
              <w:t>qu</w:t>
            </w:r>
            <w:r>
              <w:rPr>
                <w:lang w:val="fr-FR"/>
              </w:rPr>
              <w:t>’</w:t>
            </w:r>
            <w:r w:rsidRPr="00BC6151">
              <w:rPr>
                <w:lang w:val="fr-FR"/>
              </w:rPr>
              <w:t xml:space="preserve">elles présentent </w:t>
            </w:r>
            <w:r>
              <w:rPr>
                <w:lang w:val="fr-FR"/>
              </w:rPr>
              <w:t>pour l’action publique</w:t>
            </w:r>
            <w:r w:rsidRPr="00BC6151">
              <w:rPr>
                <w:lang w:val="fr-FR"/>
              </w:rPr>
              <w:t xml:space="preserve"> dans le contexte de la pandémie et de l</w:t>
            </w:r>
            <w:r>
              <w:rPr>
                <w:lang w:val="fr-FR"/>
              </w:rPr>
              <w:t>’</w:t>
            </w:r>
            <w:r w:rsidRPr="00BC6151">
              <w:rPr>
                <w:lang w:val="fr-FR"/>
              </w:rPr>
              <w:t>après</w:t>
            </w:r>
            <w:r w:rsidR="00EB0101">
              <w:rPr>
                <w:lang w:val="fr-FR"/>
              </w:rPr>
              <w:noBreakHyphen/>
            </w:r>
            <w:r w:rsidRPr="00BC6151">
              <w:rPr>
                <w:lang w:val="fr-FR"/>
              </w:rPr>
              <w:t xml:space="preserve">pandémie, et </w:t>
            </w:r>
            <w:r>
              <w:rPr>
                <w:lang w:val="fr-FR"/>
              </w:rPr>
              <w:t xml:space="preserve">il </w:t>
            </w:r>
            <w:r w:rsidRPr="00BC6151">
              <w:rPr>
                <w:lang w:val="fr-FR"/>
              </w:rPr>
              <w:t>rend compte des progrès accomplis dans la région de la CEE et dans d</w:t>
            </w:r>
            <w:r>
              <w:rPr>
                <w:lang w:val="fr-FR"/>
              </w:rPr>
              <w:t>’</w:t>
            </w:r>
            <w:r w:rsidRPr="00BC6151">
              <w:rPr>
                <w:lang w:val="fr-FR"/>
              </w:rPr>
              <w:t>autres régions.</w:t>
            </w:r>
          </w:p>
        </w:tc>
      </w:tr>
      <w:tr w:rsidR="005207E9" w:rsidRPr="00EF4D60" w:rsidTr="001618D3">
        <w:trPr>
          <w:jc w:val="center"/>
        </w:trPr>
        <w:tc>
          <w:tcPr>
            <w:tcW w:w="9637" w:type="dxa"/>
            <w:shd w:val="clear" w:color="auto" w:fill="auto"/>
          </w:tcPr>
          <w:p w:rsidR="005207E9" w:rsidRPr="00BC6151" w:rsidRDefault="005207E9" w:rsidP="001618D3">
            <w:pPr>
              <w:rPr>
                <w:lang w:val="fr-FR"/>
              </w:rPr>
            </w:pPr>
          </w:p>
        </w:tc>
      </w:tr>
    </w:tbl>
    <w:p w:rsidR="005207E9" w:rsidRPr="00BC6151" w:rsidRDefault="005207E9" w:rsidP="00EB0101">
      <w:pPr>
        <w:pStyle w:val="HChG"/>
        <w:rPr>
          <w:lang w:val="fr-FR"/>
        </w:rPr>
      </w:pPr>
      <w:r w:rsidRPr="00BC6151">
        <w:rPr>
          <w:lang w:val="fr-FR"/>
        </w:rPr>
        <w:tab/>
        <w:t>I.</w:t>
      </w:r>
      <w:r w:rsidRPr="00BC6151">
        <w:rPr>
          <w:lang w:val="fr-FR"/>
        </w:rPr>
        <w:tab/>
        <w:t>Contexte et portée</w:t>
      </w:r>
    </w:p>
    <w:p w:rsidR="005207E9" w:rsidRPr="00BC6151" w:rsidRDefault="005207E9" w:rsidP="00EB0101">
      <w:pPr>
        <w:pStyle w:val="SingleTxtG"/>
        <w:rPr>
          <w:lang w:val="fr-FR"/>
        </w:rPr>
      </w:pPr>
      <w:r w:rsidRPr="00BC6151">
        <w:rPr>
          <w:lang w:val="fr-FR"/>
        </w:rPr>
        <w:t>1.</w:t>
      </w:r>
      <w:r w:rsidRPr="00BC6151">
        <w:rPr>
          <w:lang w:val="fr-FR"/>
        </w:rPr>
        <w:tab/>
        <w:t>Élaborées par le Comité des transports intérieurs (ci-après « le Comité »), qui en assure aussi le secrétariat, les 59</w:t>
      </w:r>
      <w:r w:rsidR="00EB0101">
        <w:rPr>
          <w:lang w:val="fr-FR"/>
        </w:rPr>
        <w:t> </w:t>
      </w:r>
      <w:r w:rsidRPr="00BC6151">
        <w:rPr>
          <w:lang w:val="fr-FR"/>
        </w:rPr>
        <w:t>conventions des Nations Unies sur les transports intérieurs sont des instruments indispensables à la mise en place de systèmes de transport durables à l</w:t>
      </w:r>
      <w:r>
        <w:rPr>
          <w:lang w:val="fr-FR"/>
        </w:rPr>
        <w:t>’</w:t>
      </w:r>
      <w:r w:rsidRPr="00BC6151">
        <w:rPr>
          <w:lang w:val="fr-FR"/>
        </w:rPr>
        <w:t xml:space="preserve">échelle régionale et mondiale. </w:t>
      </w:r>
      <w:r>
        <w:rPr>
          <w:lang w:val="fr-FR"/>
        </w:rPr>
        <w:t xml:space="preserve">Actuellement, 49 d’entre elles sont en vigueur </w:t>
      </w:r>
      <w:r w:rsidRPr="00BC6151">
        <w:rPr>
          <w:lang w:val="fr-FR"/>
        </w:rPr>
        <w:t>(voir ECE/TRANS/2021/11 pour de plus amples informations). Chaque nouvelle adhésion est susceptible de rendre les transports plus sûrs, plus écologiques, moins chers, plus rapides ou plus accessibles. C</w:t>
      </w:r>
      <w:r>
        <w:rPr>
          <w:lang w:val="fr-FR"/>
        </w:rPr>
        <w:t>’</w:t>
      </w:r>
      <w:r w:rsidRPr="00BC6151">
        <w:rPr>
          <w:lang w:val="fr-FR"/>
        </w:rPr>
        <w:t xml:space="preserve">est pourquoi chaque nouvelle adhésion compte. En décembre 2020, ces instruments </w:t>
      </w:r>
      <w:r>
        <w:rPr>
          <w:lang w:val="fr-FR"/>
        </w:rPr>
        <w:t>avaient fait l’objet de</w:t>
      </w:r>
      <w:r w:rsidRPr="00BC6151">
        <w:rPr>
          <w:lang w:val="fr-FR"/>
        </w:rPr>
        <w:t xml:space="preserve"> 1</w:t>
      </w:r>
      <w:r w:rsidR="00F8784F">
        <w:rPr>
          <w:lang w:val="fr-FR"/>
        </w:rPr>
        <w:t> </w:t>
      </w:r>
      <w:r w:rsidRPr="00BC6151">
        <w:rPr>
          <w:lang w:val="fr-FR"/>
        </w:rPr>
        <w:t>801</w:t>
      </w:r>
      <w:r w:rsidR="00F8784F">
        <w:rPr>
          <w:lang w:val="fr-FR"/>
        </w:rPr>
        <w:t> </w:t>
      </w:r>
      <w:r>
        <w:rPr>
          <w:lang w:val="fr-FR"/>
        </w:rPr>
        <w:t xml:space="preserve">adhésions. </w:t>
      </w:r>
    </w:p>
    <w:p w:rsidR="005207E9" w:rsidRPr="00BC6151" w:rsidRDefault="005207E9" w:rsidP="00EB0101">
      <w:pPr>
        <w:pStyle w:val="SingleTxtG"/>
        <w:rPr>
          <w:lang w:val="fr-FR"/>
        </w:rPr>
      </w:pPr>
      <w:r w:rsidRPr="00BC6151">
        <w:rPr>
          <w:lang w:val="fr-FR"/>
        </w:rPr>
        <w:t>2.</w:t>
      </w:r>
      <w:r w:rsidRPr="00BC6151">
        <w:rPr>
          <w:lang w:val="fr-FR"/>
        </w:rPr>
        <w:tab/>
        <w:t>Suivre le nombre d</w:t>
      </w:r>
      <w:r>
        <w:rPr>
          <w:lang w:val="fr-FR"/>
        </w:rPr>
        <w:t>’</w:t>
      </w:r>
      <w:r w:rsidRPr="00BC6151">
        <w:rPr>
          <w:lang w:val="fr-FR"/>
        </w:rPr>
        <w:t>adhésions n</w:t>
      </w:r>
      <w:r>
        <w:rPr>
          <w:lang w:val="fr-FR"/>
        </w:rPr>
        <w:t>’</w:t>
      </w:r>
      <w:r w:rsidRPr="00BC6151">
        <w:rPr>
          <w:lang w:val="fr-FR"/>
        </w:rPr>
        <w:t xml:space="preserve">est, bien entendu, pas le seul moyen de déterminer si les transports intérieurs </w:t>
      </w:r>
      <w:r>
        <w:rPr>
          <w:lang w:val="fr-FR"/>
        </w:rPr>
        <w:t>deviennent</w:t>
      </w:r>
      <w:r w:rsidRPr="00BC6151">
        <w:rPr>
          <w:lang w:val="fr-FR"/>
        </w:rPr>
        <w:t xml:space="preserve"> plus durables. C</w:t>
      </w:r>
      <w:r>
        <w:rPr>
          <w:lang w:val="fr-FR"/>
        </w:rPr>
        <w:t>’</w:t>
      </w:r>
      <w:r w:rsidRPr="00BC6151">
        <w:rPr>
          <w:lang w:val="fr-FR"/>
        </w:rPr>
        <w:t>est par exemple l</w:t>
      </w:r>
      <w:r>
        <w:rPr>
          <w:lang w:val="fr-FR"/>
        </w:rPr>
        <w:t>’</w:t>
      </w:r>
      <w:r w:rsidRPr="00BC6151">
        <w:rPr>
          <w:lang w:val="fr-FR"/>
        </w:rPr>
        <w:t>évolution du nombre de décès dus aux accidents de la route dans le monde qui est le principal indicateur de progrès pour la sécurité routière, et non le nombre d</w:t>
      </w:r>
      <w:r>
        <w:rPr>
          <w:lang w:val="fr-FR"/>
        </w:rPr>
        <w:t>’</w:t>
      </w:r>
      <w:r w:rsidRPr="00BC6151">
        <w:rPr>
          <w:lang w:val="fr-FR"/>
        </w:rPr>
        <w:t>adhésions aux conventions dans ce domaine. Les</w:t>
      </w:r>
      <w:r w:rsidR="008445F9">
        <w:rPr>
          <w:lang w:val="fr-FR"/>
        </w:rPr>
        <w:t> </w:t>
      </w:r>
      <w:r w:rsidRPr="00BC6151">
        <w:rPr>
          <w:lang w:val="fr-FR"/>
        </w:rPr>
        <w:t>adhésions sont toutefois un moteur et un indicateur importants des avancées à venir en matière de sécurité routière, et ce, pour plusieurs raisons, notamment l</w:t>
      </w:r>
      <w:r>
        <w:rPr>
          <w:lang w:val="fr-FR"/>
        </w:rPr>
        <w:t>’</w:t>
      </w:r>
      <w:r w:rsidRPr="00BC6151">
        <w:rPr>
          <w:lang w:val="fr-FR"/>
        </w:rPr>
        <w:t xml:space="preserve">utilisation de règles </w:t>
      </w:r>
      <w:r w:rsidRPr="00BC6151">
        <w:rPr>
          <w:lang w:val="fr-FR"/>
        </w:rPr>
        <w:lastRenderedPageBreak/>
        <w:t>et de normes harmonisées et l</w:t>
      </w:r>
      <w:r>
        <w:rPr>
          <w:lang w:val="fr-FR"/>
        </w:rPr>
        <w:t>’</w:t>
      </w:r>
      <w:r w:rsidRPr="00BC6151">
        <w:rPr>
          <w:lang w:val="fr-FR"/>
        </w:rPr>
        <w:t>établissement d</w:t>
      </w:r>
      <w:r>
        <w:rPr>
          <w:lang w:val="fr-FR"/>
        </w:rPr>
        <w:t>’</w:t>
      </w:r>
      <w:r w:rsidRPr="00BC6151">
        <w:rPr>
          <w:lang w:val="fr-FR"/>
        </w:rPr>
        <w:t>un cadre commun qui permet et renforce la diffusion des meilleures pratiques. Le même principe s</w:t>
      </w:r>
      <w:r>
        <w:rPr>
          <w:lang w:val="fr-FR"/>
        </w:rPr>
        <w:t>’</w:t>
      </w:r>
      <w:r w:rsidRPr="00BC6151">
        <w:rPr>
          <w:lang w:val="fr-FR"/>
        </w:rPr>
        <w:t>applique à d</w:t>
      </w:r>
      <w:r>
        <w:rPr>
          <w:lang w:val="fr-FR"/>
        </w:rPr>
        <w:t>’</w:t>
      </w:r>
      <w:r w:rsidRPr="00BC6151">
        <w:rPr>
          <w:lang w:val="fr-FR"/>
        </w:rPr>
        <w:t>autres aspects des transports intérieurs, tels que la facilitation du franchissement des frontières, le transport de marchandises particulières ou la mise en place d</w:t>
      </w:r>
      <w:r>
        <w:rPr>
          <w:lang w:val="fr-FR"/>
        </w:rPr>
        <w:t>’</w:t>
      </w:r>
      <w:r w:rsidRPr="00BC6151">
        <w:rPr>
          <w:lang w:val="fr-FR"/>
        </w:rPr>
        <w:t xml:space="preserve">un ensemble commun de normes </w:t>
      </w:r>
      <w:r>
        <w:rPr>
          <w:lang w:val="fr-FR"/>
        </w:rPr>
        <w:t xml:space="preserve">garantissant le </w:t>
      </w:r>
      <w:r w:rsidRPr="00BC6151">
        <w:rPr>
          <w:lang w:val="fr-FR"/>
        </w:rPr>
        <w:t>respect de l</w:t>
      </w:r>
      <w:r>
        <w:rPr>
          <w:lang w:val="fr-FR"/>
        </w:rPr>
        <w:t>’</w:t>
      </w:r>
      <w:r w:rsidRPr="00BC6151">
        <w:rPr>
          <w:lang w:val="fr-FR"/>
        </w:rPr>
        <w:t>environnement</w:t>
      </w:r>
      <w:r w:rsidRPr="00B76B1C">
        <w:rPr>
          <w:lang w:val="fr-FR"/>
        </w:rPr>
        <w:t xml:space="preserve"> </w:t>
      </w:r>
      <w:r>
        <w:rPr>
          <w:lang w:val="fr-FR"/>
        </w:rPr>
        <w:t xml:space="preserve">dans les </w:t>
      </w:r>
      <w:r w:rsidRPr="00BC6151">
        <w:rPr>
          <w:lang w:val="fr-FR"/>
        </w:rPr>
        <w:t xml:space="preserve">transports.  </w:t>
      </w:r>
    </w:p>
    <w:p w:rsidR="005207E9" w:rsidRPr="00BC6151" w:rsidRDefault="005207E9" w:rsidP="005207E9">
      <w:pPr>
        <w:pStyle w:val="SingleTxtG"/>
        <w:rPr>
          <w:lang w:val="fr-FR"/>
        </w:rPr>
      </w:pPr>
      <w:r w:rsidRPr="00BC6151">
        <w:rPr>
          <w:lang w:val="fr-FR"/>
        </w:rPr>
        <w:t>3.</w:t>
      </w:r>
      <w:r w:rsidRPr="00BC6151">
        <w:rPr>
          <w:lang w:val="fr-FR"/>
        </w:rPr>
        <w:tab/>
      </w:r>
      <w:r>
        <w:rPr>
          <w:lang w:val="fr-FR"/>
        </w:rPr>
        <w:t>On trouve</w:t>
      </w:r>
      <w:r w:rsidRPr="00BC6151">
        <w:rPr>
          <w:lang w:val="fr-FR"/>
        </w:rPr>
        <w:t xml:space="preserve"> donc ci</w:t>
      </w:r>
      <w:r>
        <w:rPr>
          <w:lang w:val="fr-FR"/>
        </w:rPr>
        <w:t xml:space="preserve">-après une </w:t>
      </w:r>
      <w:r w:rsidRPr="00BC6151">
        <w:rPr>
          <w:lang w:val="fr-FR"/>
        </w:rPr>
        <w:t>analyse à l</w:t>
      </w:r>
      <w:r>
        <w:rPr>
          <w:lang w:val="fr-FR"/>
        </w:rPr>
        <w:t>’</w:t>
      </w:r>
      <w:r w:rsidRPr="00BC6151">
        <w:rPr>
          <w:lang w:val="fr-FR"/>
        </w:rPr>
        <w:t xml:space="preserve">échelle macroéconomique </w:t>
      </w:r>
      <w:r>
        <w:rPr>
          <w:lang w:val="fr-FR"/>
        </w:rPr>
        <w:t>d</w:t>
      </w:r>
      <w:r w:rsidRPr="00BC6151">
        <w:rPr>
          <w:lang w:val="fr-FR"/>
        </w:rPr>
        <w:t>es dynamiques de l</w:t>
      </w:r>
      <w:r>
        <w:rPr>
          <w:lang w:val="fr-FR"/>
        </w:rPr>
        <w:t>’</w:t>
      </w:r>
      <w:r w:rsidRPr="00BC6151">
        <w:rPr>
          <w:lang w:val="fr-FR"/>
        </w:rPr>
        <w:t>adhésion pour chacune des régions du monde, celles-ci étant définies selon l</w:t>
      </w:r>
      <w:r>
        <w:rPr>
          <w:lang w:val="fr-FR"/>
        </w:rPr>
        <w:t>’</w:t>
      </w:r>
      <w:r w:rsidRPr="00BC6151">
        <w:rPr>
          <w:lang w:val="fr-FR"/>
        </w:rPr>
        <w:t>appartenance aux commissions régionales de l</w:t>
      </w:r>
      <w:r>
        <w:rPr>
          <w:lang w:val="fr-FR"/>
        </w:rPr>
        <w:t>’</w:t>
      </w:r>
      <w:r w:rsidRPr="00BC6151">
        <w:rPr>
          <w:lang w:val="fr-FR"/>
        </w:rPr>
        <w:t>ONU, à savoir la Commission économique pour l</w:t>
      </w:r>
      <w:r>
        <w:rPr>
          <w:lang w:val="fr-FR"/>
        </w:rPr>
        <w:t>’</w:t>
      </w:r>
      <w:r w:rsidRPr="00BC6151">
        <w:rPr>
          <w:lang w:val="fr-FR"/>
        </w:rPr>
        <w:t>Europe (CEE), la Commission économique pour l</w:t>
      </w:r>
      <w:r>
        <w:rPr>
          <w:lang w:val="fr-FR"/>
        </w:rPr>
        <w:t>’</w:t>
      </w:r>
      <w:r w:rsidRPr="00BC6151">
        <w:rPr>
          <w:lang w:val="fr-FR"/>
        </w:rPr>
        <w:t>Amérique latine et les Caraïbes (CEPALC), la Commission économique pour l</w:t>
      </w:r>
      <w:r>
        <w:rPr>
          <w:lang w:val="fr-FR"/>
        </w:rPr>
        <w:t>’</w:t>
      </w:r>
      <w:r w:rsidRPr="00BC6151">
        <w:rPr>
          <w:lang w:val="fr-FR"/>
        </w:rPr>
        <w:t>Afrique (CEA), la Commission économique et sociale pour l</w:t>
      </w:r>
      <w:r>
        <w:rPr>
          <w:lang w:val="fr-FR"/>
        </w:rPr>
        <w:t>’</w:t>
      </w:r>
      <w:r w:rsidRPr="00BC6151">
        <w:rPr>
          <w:lang w:val="fr-FR"/>
        </w:rPr>
        <w:t>Asie occidentale (CESAO) et la Commission économique et sociale pour l</w:t>
      </w:r>
      <w:r>
        <w:rPr>
          <w:lang w:val="fr-FR"/>
        </w:rPr>
        <w:t>’</w:t>
      </w:r>
      <w:r w:rsidRPr="00BC6151">
        <w:rPr>
          <w:lang w:val="fr-FR"/>
        </w:rPr>
        <w:t xml:space="preserve">Asie et le Pacifique (CESAP). </w:t>
      </w:r>
      <w:r>
        <w:rPr>
          <w:lang w:val="fr-FR"/>
        </w:rPr>
        <w:t xml:space="preserve">L’analyse consiste à passer en revue </w:t>
      </w:r>
      <w:r w:rsidRPr="00BC6151">
        <w:rPr>
          <w:lang w:val="fr-FR"/>
        </w:rPr>
        <w:t xml:space="preserve">les pays les plus performants dans chaque région et </w:t>
      </w:r>
      <w:r>
        <w:rPr>
          <w:lang w:val="fr-FR"/>
        </w:rPr>
        <w:t xml:space="preserve">à </w:t>
      </w:r>
      <w:r w:rsidRPr="00BC6151">
        <w:rPr>
          <w:lang w:val="fr-FR"/>
        </w:rPr>
        <w:t>examine</w:t>
      </w:r>
      <w:r>
        <w:rPr>
          <w:lang w:val="fr-FR"/>
        </w:rPr>
        <w:t>r</w:t>
      </w:r>
      <w:r w:rsidRPr="00BC6151">
        <w:rPr>
          <w:lang w:val="fr-FR"/>
        </w:rPr>
        <w:t xml:space="preserve"> l</w:t>
      </w:r>
      <w:r>
        <w:rPr>
          <w:lang w:val="fr-FR"/>
        </w:rPr>
        <w:t>’</w:t>
      </w:r>
      <w:r w:rsidRPr="00BC6151">
        <w:rPr>
          <w:lang w:val="fr-FR"/>
        </w:rPr>
        <w:t>évolution des adhésions au fil du temps</w:t>
      </w:r>
      <w:r>
        <w:rPr>
          <w:lang w:val="fr-FR"/>
        </w:rPr>
        <w:t>, en mettant particulièrement l’accent sur les</w:t>
      </w:r>
      <w:r w:rsidRPr="00BC6151">
        <w:rPr>
          <w:lang w:val="fr-FR"/>
        </w:rPr>
        <w:t xml:space="preserve"> conventions </w:t>
      </w:r>
      <w:r>
        <w:rPr>
          <w:lang w:val="fr-FR"/>
        </w:rPr>
        <w:t>relatives à</w:t>
      </w:r>
      <w:r w:rsidRPr="00BC6151">
        <w:rPr>
          <w:lang w:val="fr-FR"/>
        </w:rPr>
        <w:t xml:space="preserve"> la facilitation du franchissement des frontières et </w:t>
      </w:r>
      <w:r>
        <w:rPr>
          <w:lang w:val="fr-FR"/>
        </w:rPr>
        <w:t xml:space="preserve">à </w:t>
      </w:r>
      <w:r w:rsidRPr="00BC6151">
        <w:rPr>
          <w:lang w:val="fr-FR"/>
        </w:rPr>
        <w:t xml:space="preserve">la sécurité routière. </w:t>
      </w:r>
    </w:p>
    <w:p w:rsidR="005207E9" w:rsidRPr="00462B9D" w:rsidRDefault="005207E9" w:rsidP="005207E9">
      <w:pPr>
        <w:pStyle w:val="SingleTxtG"/>
        <w:rPr>
          <w:lang w:val="fr-FR"/>
        </w:rPr>
      </w:pPr>
      <w:r w:rsidRPr="00BC6151">
        <w:rPr>
          <w:lang w:val="fr-FR"/>
        </w:rPr>
        <w:t>4.</w:t>
      </w:r>
      <w:r w:rsidRPr="00BC6151">
        <w:rPr>
          <w:lang w:val="fr-FR"/>
        </w:rPr>
        <w:tab/>
        <w:t xml:space="preserve">Quatorze conventions </w:t>
      </w:r>
      <w:r>
        <w:rPr>
          <w:lang w:val="fr-FR"/>
        </w:rPr>
        <w:t>traitent de</w:t>
      </w:r>
      <w:r w:rsidRPr="00BC6151">
        <w:rPr>
          <w:lang w:val="fr-FR"/>
        </w:rPr>
        <w:t xml:space="preserve"> la facilitation du franchissement des frontières (pour une liste exhaustive, voir </w:t>
      </w:r>
      <w:hyperlink r:id="rId8" w:history="1">
        <w:r w:rsidR="00462B9D" w:rsidRPr="003405EF">
          <w:rPr>
            <w:rStyle w:val="Lienhypertexte"/>
            <w:color w:val="auto"/>
            <w:lang w:val="fr-FR"/>
          </w:rPr>
          <w:t>https://unece.org/list-</w:t>
        </w:r>
        <w:r w:rsidR="00462B9D" w:rsidRPr="003405EF">
          <w:rPr>
            <w:rStyle w:val="Lienhypertexte"/>
            <w:color w:val="auto"/>
            <w:lang w:val="fr-FR"/>
          </w:rPr>
          <w:t>a</w:t>
        </w:r>
        <w:r w:rsidR="00462B9D" w:rsidRPr="003405EF">
          <w:rPr>
            <w:rStyle w:val="Lienhypertexte"/>
            <w:color w:val="auto"/>
            <w:lang w:val="fr-FR"/>
          </w:rPr>
          <w:t>greements</w:t>
        </w:r>
      </w:hyperlink>
      <w:r w:rsidRPr="003405EF">
        <w:rPr>
          <w:rStyle w:val="Lienhypertexte"/>
          <w:color w:val="auto"/>
          <w:lang w:val="fr-FR"/>
        </w:rPr>
        <w:t>)</w:t>
      </w:r>
      <w:r w:rsidRPr="00BC6151">
        <w:rPr>
          <w:rStyle w:val="Lienhypertexte"/>
          <w:lang w:val="fr-FR"/>
        </w:rPr>
        <w:t xml:space="preserve">. </w:t>
      </w:r>
      <w:r w:rsidRPr="00462B9D">
        <w:rPr>
          <w:rStyle w:val="Lienhypertexte"/>
          <w:color w:val="auto"/>
          <w:lang w:val="fr-FR"/>
        </w:rPr>
        <w:t>La sécurité routière fait l’objet de plusieurs instruments juridiques et grands objectifs. Toutefois, le Comité, dans sa stratégie à l’horizon 2030, et l’Assemblée générale, dans plusieurs de ses résolutions, ont retenu sept conventions qu’ils ont considérées comme étant les plus importantes</w:t>
      </w:r>
      <w:r w:rsidRPr="00462B9D">
        <w:rPr>
          <w:rStyle w:val="Appelnotedebasdep"/>
        </w:rPr>
        <w:footnoteReference w:id="2"/>
      </w:r>
      <w:r w:rsidRPr="00462B9D">
        <w:rPr>
          <w:rStyle w:val="Lienhypertexte"/>
          <w:color w:val="auto"/>
          <w:lang w:val="fr-FR"/>
        </w:rPr>
        <w:t xml:space="preserve">, et c’est sur elles que porte l’analyse. </w:t>
      </w:r>
    </w:p>
    <w:p w:rsidR="005207E9" w:rsidRPr="00BC6151" w:rsidRDefault="005207E9" w:rsidP="005207E9">
      <w:pPr>
        <w:pStyle w:val="SingleTxtG"/>
        <w:rPr>
          <w:lang w:val="fr-FR"/>
        </w:rPr>
      </w:pPr>
      <w:r w:rsidRPr="00BC6151">
        <w:rPr>
          <w:lang w:val="fr-FR"/>
        </w:rPr>
        <w:t>5.</w:t>
      </w:r>
      <w:r w:rsidRPr="00BC6151">
        <w:rPr>
          <w:lang w:val="fr-FR"/>
        </w:rPr>
        <w:tab/>
      </w:r>
      <w:r w:rsidRPr="00CA0270">
        <w:rPr>
          <w:spacing w:val="-2"/>
          <w:lang w:val="fr-FR"/>
        </w:rPr>
        <w:t>Concernant la composition des commissions régionales, il importe de noter que de nombreux pays sont membres de plus d’une commission. Dans certains cas, ces pays ont un lien géographique clair avec l’une des commissions et ont donc été considérés aux fins de l’analyse comme appartenant seulement à celle-là. Il y a toutefois deux zones principales dans lesquelles les commissions se superposent : la zone Afrique du Nord</w:t>
      </w:r>
      <w:r w:rsidR="00535216" w:rsidRPr="00CA0270">
        <w:rPr>
          <w:spacing w:val="-2"/>
          <w:lang w:val="fr-FR"/>
        </w:rPr>
        <w:noBreakHyphen/>
      </w:r>
      <w:r w:rsidRPr="00CA0270">
        <w:rPr>
          <w:spacing w:val="-2"/>
          <w:lang w:val="fr-FR"/>
        </w:rPr>
        <w:t>Asie occidentale (pays concernés : Algérie, Maroc, Tunisie, Mauritanie, Libye, Égypte et Soudan) et l’Asie centrale (Azerbaïdjan, Kazakhstan, Kirghizistan, Tadjikistan, Turkménistan et Ouzbékistan). Dans ces deux cas, les pays ont été pris en compte dans l’analyse de chacune des commissions régionales.</w:t>
      </w:r>
      <w:r w:rsidRPr="00BC6151">
        <w:rPr>
          <w:lang w:val="fr-FR"/>
        </w:rPr>
        <w:t xml:space="preserve"> </w:t>
      </w:r>
    </w:p>
    <w:p w:rsidR="005207E9" w:rsidRPr="00BC6151" w:rsidRDefault="005207E9" w:rsidP="008E2A2A">
      <w:pPr>
        <w:pStyle w:val="HChG"/>
        <w:rPr>
          <w:lang w:val="fr-FR"/>
        </w:rPr>
      </w:pPr>
      <w:r w:rsidRPr="00BC6151">
        <w:rPr>
          <w:lang w:val="fr-FR"/>
        </w:rPr>
        <w:tab/>
        <w:t>II.</w:t>
      </w:r>
      <w:r w:rsidRPr="00BC6151">
        <w:rPr>
          <w:lang w:val="fr-FR"/>
        </w:rPr>
        <w:tab/>
        <w:t>Région de la Commission économique pour l</w:t>
      </w:r>
      <w:r>
        <w:rPr>
          <w:lang w:val="fr-FR"/>
        </w:rPr>
        <w:t>’</w:t>
      </w:r>
      <w:r w:rsidRPr="00BC6151">
        <w:rPr>
          <w:lang w:val="fr-FR"/>
        </w:rPr>
        <w:t>Europe</w:t>
      </w:r>
    </w:p>
    <w:p w:rsidR="005207E9" w:rsidRPr="00BC6151" w:rsidRDefault="005207E9" w:rsidP="008E2A2A">
      <w:pPr>
        <w:pStyle w:val="SingleTxtG"/>
        <w:rPr>
          <w:lang w:val="fr-FR"/>
        </w:rPr>
      </w:pPr>
      <w:r w:rsidRPr="00BC6151">
        <w:rPr>
          <w:lang w:val="fr-FR"/>
        </w:rPr>
        <w:t>6.</w:t>
      </w:r>
      <w:r w:rsidRPr="00BC6151">
        <w:rPr>
          <w:lang w:val="fr-FR"/>
        </w:rPr>
        <w:tab/>
      </w:r>
      <w:r>
        <w:rPr>
          <w:lang w:val="fr-FR"/>
        </w:rPr>
        <w:t>Sur les</w:t>
      </w:r>
      <w:r w:rsidRPr="00BC6151">
        <w:rPr>
          <w:lang w:val="fr-FR"/>
        </w:rPr>
        <w:t xml:space="preserve"> 1</w:t>
      </w:r>
      <w:r w:rsidR="008E2A2A">
        <w:rPr>
          <w:lang w:val="fr-FR"/>
        </w:rPr>
        <w:t> </w:t>
      </w:r>
      <w:r w:rsidRPr="00BC6151">
        <w:rPr>
          <w:lang w:val="fr-FR"/>
        </w:rPr>
        <w:t>801</w:t>
      </w:r>
      <w:r w:rsidR="008E2A2A">
        <w:rPr>
          <w:lang w:val="fr-FR"/>
        </w:rPr>
        <w:t> </w:t>
      </w:r>
      <w:r w:rsidRPr="00BC6151">
        <w:rPr>
          <w:lang w:val="fr-FR"/>
        </w:rPr>
        <w:t>adhésions</w:t>
      </w:r>
      <w:r>
        <w:rPr>
          <w:lang w:val="fr-FR"/>
        </w:rPr>
        <w:t xml:space="preserve"> que cumulent toutes les conventions</w:t>
      </w:r>
      <w:r w:rsidRPr="00BC6151">
        <w:rPr>
          <w:lang w:val="fr-FR"/>
        </w:rPr>
        <w:t>, 1 387 (77 %) sont le fait d</w:t>
      </w:r>
      <w:r>
        <w:rPr>
          <w:lang w:val="fr-FR"/>
        </w:rPr>
        <w:t>es 56</w:t>
      </w:r>
      <w:r w:rsidR="008E2A2A">
        <w:rPr>
          <w:lang w:val="fr-FR"/>
        </w:rPr>
        <w:t> </w:t>
      </w:r>
      <w:r w:rsidRPr="00BC6151">
        <w:rPr>
          <w:lang w:val="fr-FR"/>
        </w:rPr>
        <w:t>États membres de la CEE. Le Luxembourg, les Pays-Bas et la Serbie, qui sont respectivement parties à 45, 44 et 42 conventions, sont les trois États qui totalisent le plus grand nombre d</w:t>
      </w:r>
      <w:r>
        <w:rPr>
          <w:lang w:val="fr-FR"/>
        </w:rPr>
        <w:t>’</w:t>
      </w:r>
      <w:r w:rsidRPr="00BC6151">
        <w:rPr>
          <w:lang w:val="fr-FR"/>
        </w:rPr>
        <w:t>adhésions. Andorre, le Canada, les États-Unis d</w:t>
      </w:r>
      <w:r>
        <w:rPr>
          <w:lang w:val="fr-FR"/>
        </w:rPr>
        <w:t>’</w:t>
      </w:r>
      <w:r w:rsidRPr="00BC6151">
        <w:rPr>
          <w:lang w:val="fr-FR"/>
        </w:rPr>
        <w:t>Amérique</w:t>
      </w:r>
      <w:r>
        <w:rPr>
          <w:lang w:val="fr-FR"/>
        </w:rPr>
        <w:t xml:space="preserve">, </w:t>
      </w:r>
      <w:r w:rsidRPr="00BC6151">
        <w:rPr>
          <w:lang w:val="fr-FR"/>
        </w:rPr>
        <w:t>l</w:t>
      </w:r>
      <w:r>
        <w:rPr>
          <w:lang w:val="fr-FR"/>
        </w:rPr>
        <w:t>’</w:t>
      </w:r>
      <w:r w:rsidRPr="00BC6151">
        <w:rPr>
          <w:lang w:val="fr-FR"/>
        </w:rPr>
        <w:t>Islande, Israël, Monaco, Saint-Marin</w:t>
      </w:r>
      <w:r>
        <w:rPr>
          <w:lang w:val="fr-FR"/>
        </w:rPr>
        <w:t xml:space="preserve"> et</w:t>
      </w:r>
      <w:r w:rsidRPr="00BC6151">
        <w:rPr>
          <w:lang w:val="fr-FR"/>
        </w:rPr>
        <w:t xml:space="preserve"> le Tadjikistan ont adhéré à moins de </w:t>
      </w:r>
      <w:r w:rsidR="00C070EC">
        <w:rPr>
          <w:lang w:val="fr-FR"/>
        </w:rPr>
        <w:t>10 </w:t>
      </w:r>
      <w:r w:rsidRPr="00BC6151">
        <w:rPr>
          <w:lang w:val="fr-FR"/>
        </w:rPr>
        <w:t xml:space="preserve">conventions. </w:t>
      </w:r>
    </w:p>
    <w:p w:rsidR="005207E9" w:rsidRPr="00BC6151" w:rsidRDefault="005207E9" w:rsidP="008E2A2A">
      <w:pPr>
        <w:pStyle w:val="SingleTxtG"/>
        <w:rPr>
          <w:lang w:val="fr-FR"/>
        </w:rPr>
      </w:pPr>
      <w:r w:rsidRPr="00BC6151">
        <w:rPr>
          <w:lang w:val="fr-FR"/>
        </w:rPr>
        <w:t>7.</w:t>
      </w:r>
      <w:r w:rsidRPr="00BC6151">
        <w:rPr>
          <w:lang w:val="fr-FR"/>
        </w:rPr>
        <w:tab/>
        <w:t>Sur les 1</w:t>
      </w:r>
      <w:r w:rsidR="00C070EC">
        <w:rPr>
          <w:lang w:val="fr-FR"/>
        </w:rPr>
        <w:t> </w:t>
      </w:r>
      <w:r w:rsidRPr="00BC6151">
        <w:rPr>
          <w:lang w:val="fr-FR"/>
        </w:rPr>
        <w:t>38</w:t>
      </w:r>
      <w:r>
        <w:rPr>
          <w:lang w:val="fr-FR"/>
        </w:rPr>
        <w:t>7</w:t>
      </w:r>
      <w:r w:rsidR="00C070EC">
        <w:rPr>
          <w:lang w:val="fr-FR"/>
        </w:rPr>
        <w:t> </w:t>
      </w:r>
      <w:r w:rsidRPr="00BC6151">
        <w:rPr>
          <w:lang w:val="fr-FR"/>
        </w:rPr>
        <w:t>adhésions d</w:t>
      </w:r>
      <w:r>
        <w:rPr>
          <w:lang w:val="fr-FR"/>
        </w:rPr>
        <w:t>’</w:t>
      </w:r>
      <w:r w:rsidRPr="00BC6151">
        <w:rPr>
          <w:lang w:val="fr-FR"/>
        </w:rPr>
        <w:t>États membres de la CEE, 22</w:t>
      </w:r>
      <w:r>
        <w:rPr>
          <w:lang w:val="fr-FR"/>
        </w:rPr>
        <w:t>9</w:t>
      </w:r>
      <w:r w:rsidRPr="00BC6151">
        <w:rPr>
          <w:lang w:val="fr-FR"/>
        </w:rPr>
        <w:t xml:space="preserve"> sont postérieures à 2005 et 6</w:t>
      </w:r>
      <w:r>
        <w:rPr>
          <w:lang w:val="fr-FR"/>
        </w:rPr>
        <w:t>9</w:t>
      </w:r>
      <w:r w:rsidRPr="00BC6151">
        <w:rPr>
          <w:lang w:val="fr-FR"/>
        </w:rPr>
        <w:t xml:space="preserve"> sont postérieures à 2015. Le nombre d</w:t>
      </w:r>
      <w:r>
        <w:rPr>
          <w:lang w:val="fr-FR"/>
        </w:rPr>
        <w:t>’</w:t>
      </w:r>
      <w:r w:rsidRPr="00BC6151">
        <w:rPr>
          <w:lang w:val="fr-FR"/>
        </w:rPr>
        <w:t>adhésions a enregistré une augmentation notable en 2020 (2</w:t>
      </w:r>
      <w:r>
        <w:rPr>
          <w:lang w:val="fr-FR"/>
        </w:rPr>
        <w:t>4</w:t>
      </w:r>
      <w:r w:rsidRPr="00BC6151">
        <w:rPr>
          <w:lang w:val="fr-FR"/>
        </w:rPr>
        <w:t>), principalement due aux multiples</w:t>
      </w:r>
      <w:r>
        <w:rPr>
          <w:lang w:val="fr-FR"/>
        </w:rPr>
        <w:t xml:space="preserve"> </w:t>
      </w:r>
      <w:r w:rsidRPr="00BC6151">
        <w:rPr>
          <w:lang w:val="fr-FR"/>
        </w:rPr>
        <w:t xml:space="preserve">adhésions du Liechtenstein (8) et du Turkménistan (6). </w:t>
      </w:r>
    </w:p>
    <w:p w:rsidR="005207E9" w:rsidRPr="00BC6151" w:rsidRDefault="005207E9" w:rsidP="008E2A2A">
      <w:pPr>
        <w:pStyle w:val="SingleTxtG"/>
        <w:rPr>
          <w:lang w:val="fr-FR"/>
        </w:rPr>
      </w:pPr>
      <w:r w:rsidRPr="00BC6151">
        <w:rPr>
          <w:lang w:val="fr-FR"/>
        </w:rPr>
        <w:t>8.</w:t>
      </w:r>
      <w:r w:rsidRPr="00BC6151">
        <w:rPr>
          <w:lang w:val="fr-FR"/>
        </w:rPr>
        <w:tab/>
        <w:t>La Convention douanière relative au transport international de marchandises sous le couvert de carnets TIR (Convention TIR de 1975) et l</w:t>
      </w:r>
      <w:r>
        <w:rPr>
          <w:lang w:val="fr-FR"/>
        </w:rPr>
        <w:t>’</w:t>
      </w:r>
      <w:r w:rsidRPr="00BC6151">
        <w:rPr>
          <w:lang w:val="fr-FR"/>
        </w:rPr>
        <w:t xml:space="preserve">Accord européen relatif au travail des équipages des véhicules effectuant des transports internationaux par route (AETR) sont les deux instruments qui comptent le plus grand nombre de </w:t>
      </w:r>
      <w:r w:rsidR="00C070EC">
        <w:rPr>
          <w:lang w:val="fr-FR"/>
        </w:rPr>
        <w:t>P</w:t>
      </w:r>
      <w:r w:rsidRPr="00BC6151">
        <w:rPr>
          <w:lang w:val="fr-FR"/>
        </w:rPr>
        <w:t>arties contractantes issues de la région de la CEE</w:t>
      </w:r>
      <w:r>
        <w:rPr>
          <w:lang w:val="fr-FR"/>
        </w:rPr>
        <w:t xml:space="preserve">, avec </w:t>
      </w:r>
      <w:r w:rsidRPr="00BC6151">
        <w:rPr>
          <w:lang w:val="fr-FR"/>
        </w:rPr>
        <w:t>51</w:t>
      </w:r>
      <w:r w:rsidR="00C070EC">
        <w:rPr>
          <w:lang w:val="fr-FR"/>
        </w:rPr>
        <w:t> P</w:t>
      </w:r>
      <w:r w:rsidRPr="00BC6151">
        <w:rPr>
          <w:lang w:val="fr-FR"/>
        </w:rPr>
        <w:t>arties contractantes chacun. Ils sont suivis par l</w:t>
      </w:r>
      <w:r>
        <w:rPr>
          <w:lang w:val="fr-FR"/>
        </w:rPr>
        <w:t>’</w:t>
      </w:r>
      <w:r w:rsidRPr="00BC6151">
        <w:rPr>
          <w:lang w:val="fr-FR"/>
        </w:rPr>
        <w:t>Accord européen relatif au transport international de marchandises dangereuses par route (ADR), avec 49</w:t>
      </w:r>
      <w:r w:rsidR="00CA0270">
        <w:rPr>
          <w:lang w:val="fr-FR"/>
        </w:rPr>
        <w:t> P</w:t>
      </w:r>
      <w:r w:rsidRPr="00BC6151">
        <w:rPr>
          <w:lang w:val="fr-FR"/>
        </w:rPr>
        <w:t xml:space="preserve">arties contractantes membres de la CEE. </w:t>
      </w:r>
    </w:p>
    <w:p w:rsidR="005207E9" w:rsidRPr="00BC6151" w:rsidRDefault="005207E9" w:rsidP="005207E9">
      <w:pPr>
        <w:pStyle w:val="SingleTxtG"/>
        <w:rPr>
          <w:lang w:val="fr-FR"/>
        </w:rPr>
      </w:pPr>
      <w:r w:rsidRPr="00BC6151">
        <w:rPr>
          <w:lang w:val="fr-FR"/>
        </w:rPr>
        <w:lastRenderedPageBreak/>
        <w:t>9.</w:t>
      </w:r>
      <w:r w:rsidRPr="00BC6151">
        <w:rPr>
          <w:lang w:val="fr-FR"/>
        </w:rPr>
        <w:tab/>
        <w:t>La facilitation du franchissement des frontières (377</w:t>
      </w:r>
      <w:r w:rsidR="005839E6">
        <w:rPr>
          <w:lang w:val="fr-FR"/>
        </w:rPr>
        <w:t> </w:t>
      </w:r>
      <w:r w:rsidRPr="00BC6151">
        <w:rPr>
          <w:lang w:val="fr-FR"/>
        </w:rPr>
        <w:t>adhésions) est bien développée dans la région. Concernant la sécurité routière, les 216</w:t>
      </w:r>
      <w:r w:rsidR="005839E6">
        <w:rPr>
          <w:lang w:val="fr-FR"/>
        </w:rPr>
        <w:t> </w:t>
      </w:r>
      <w:r w:rsidRPr="00BC6151">
        <w:rPr>
          <w:lang w:val="fr-FR"/>
        </w:rPr>
        <w:t>adhésions de membres de la CEE sont largement réparties entre les sept conventions principales, l</w:t>
      </w:r>
      <w:r>
        <w:rPr>
          <w:lang w:val="fr-FR"/>
        </w:rPr>
        <w:t>’</w:t>
      </w:r>
      <w:r w:rsidRPr="00BC6151">
        <w:rPr>
          <w:lang w:val="fr-FR"/>
        </w:rPr>
        <w:t>ADR étant l</w:t>
      </w:r>
      <w:r>
        <w:rPr>
          <w:lang w:val="fr-FR"/>
        </w:rPr>
        <w:t>’</w:t>
      </w:r>
      <w:r w:rsidRPr="00BC6151">
        <w:rPr>
          <w:lang w:val="fr-FR"/>
        </w:rPr>
        <w:t>instrument qui compte le plus d</w:t>
      </w:r>
      <w:r>
        <w:rPr>
          <w:lang w:val="fr-FR"/>
        </w:rPr>
        <w:t>’</w:t>
      </w:r>
      <w:r w:rsidRPr="00BC6151">
        <w:rPr>
          <w:lang w:val="fr-FR"/>
        </w:rPr>
        <w:t>adhésions et l</w:t>
      </w:r>
      <w:r>
        <w:rPr>
          <w:lang w:val="fr-FR"/>
        </w:rPr>
        <w:t>’</w:t>
      </w:r>
      <w:r w:rsidRPr="00BC6151">
        <w:rPr>
          <w:lang w:val="fr-FR"/>
        </w:rPr>
        <w:t xml:space="preserve">Accord de 1997 celui qui en compte le moins. </w:t>
      </w:r>
    </w:p>
    <w:p w:rsidR="005207E9" w:rsidRPr="00BC6151" w:rsidRDefault="005207E9" w:rsidP="0084386E">
      <w:pPr>
        <w:pStyle w:val="Titre1"/>
        <w:spacing w:after="80"/>
        <w:ind w:right="1134"/>
        <w:rPr>
          <w:b/>
          <w:bCs/>
          <w:lang w:val="fr-FR"/>
        </w:rPr>
      </w:pPr>
      <w:bookmarkStart w:id="0" w:name="_Hlk58929401"/>
      <w:r w:rsidRPr="00BC6151">
        <w:rPr>
          <w:lang w:val="fr-FR"/>
        </w:rPr>
        <w:t xml:space="preserve">Figure I </w:t>
      </w:r>
      <w:r w:rsidR="00C961F2">
        <w:rPr>
          <w:lang w:val="fr-FR"/>
        </w:rPr>
        <w:br/>
      </w:r>
      <w:r w:rsidRPr="00BC6151">
        <w:rPr>
          <w:b/>
          <w:bCs/>
          <w:lang w:val="fr-FR"/>
        </w:rPr>
        <w:t xml:space="preserve">Nombre </w:t>
      </w:r>
      <w:r>
        <w:rPr>
          <w:b/>
          <w:bCs/>
          <w:lang w:val="fr-FR"/>
        </w:rPr>
        <w:t xml:space="preserve">cumulé </w:t>
      </w:r>
      <w:r w:rsidRPr="00BC6151">
        <w:rPr>
          <w:b/>
          <w:bCs/>
          <w:lang w:val="fr-FR"/>
        </w:rPr>
        <w:t>d</w:t>
      </w:r>
      <w:r>
        <w:rPr>
          <w:b/>
          <w:bCs/>
          <w:lang w:val="fr-FR"/>
        </w:rPr>
        <w:t>’</w:t>
      </w:r>
      <w:r w:rsidRPr="00BC6151">
        <w:rPr>
          <w:b/>
          <w:bCs/>
          <w:lang w:val="fr-FR"/>
        </w:rPr>
        <w:t xml:space="preserve">adhésions aux conventions relatives au franchissement </w:t>
      </w:r>
      <w:r w:rsidR="00C961F2">
        <w:rPr>
          <w:b/>
          <w:bCs/>
          <w:lang w:val="fr-FR"/>
        </w:rPr>
        <w:br/>
      </w:r>
      <w:r w:rsidRPr="00BC6151">
        <w:rPr>
          <w:b/>
          <w:bCs/>
          <w:lang w:val="fr-FR"/>
        </w:rPr>
        <w:t xml:space="preserve">des frontières </w:t>
      </w:r>
      <w:r>
        <w:rPr>
          <w:b/>
          <w:bCs/>
          <w:lang w:val="fr-FR"/>
        </w:rPr>
        <w:t xml:space="preserve">par commission régionale </w:t>
      </w:r>
      <w:r w:rsidRPr="00BC6151">
        <w:rPr>
          <w:b/>
          <w:bCs/>
          <w:lang w:val="fr-FR"/>
        </w:rPr>
        <w:t>(hors CEE)</w:t>
      </w:r>
      <w:bookmarkEnd w:id="0"/>
      <w:r>
        <w:rPr>
          <w:b/>
          <w:bCs/>
          <w:lang w:val="fr-FR"/>
        </w:rPr>
        <w:t>, entre 1955 et 2018</w:t>
      </w:r>
    </w:p>
    <w:p w:rsidR="0070581D" w:rsidRDefault="0070581D" w:rsidP="00324569">
      <w:pPr>
        <w:pStyle w:val="SingleTxtG"/>
        <w:ind w:left="1077"/>
        <w:rPr>
          <w:b/>
          <w:bCs/>
          <w:lang w:val="fr-FR"/>
        </w:rPr>
      </w:pPr>
      <w:r>
        <w:rPr>
          <w:noProof/>
        </w:rPr>
        <w:drawing>
          <wp:inline distT="0" distB="0" distL="0" distR="0" wp14:anchorId="0C3A572F" wp14:editId="77738644">
            <wp:extent cx="4680000" cy="2880000"/>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80000" cy="2880000"/>
                    </a:xfrm>
                    <a:prstGeom prst="rect">
                      <a:avLst/>
                    </a:prstGeom>
                  </pic:spPr>
                </pic:pic>
              </a:graphicData>
            </a:graphic>
          </wp:inline>
        </w:drawing>
      </w:r>
    </w:p>
    <w:p w:rsidR="005207E9" w:rsidRDefault="005207E9" w:rsidP="0084386E">
      <w:pPr>
        <w:pStyle w:val="Titre1"/>
        <w:spacing w:after="80"/>
        <w:ind w:right="1134"/>
        <w:rPr>
          <w:b/>
          <w:bCs/>
          <w:lang w:val="fr-FR"/>
        </w:rPr>
      </w:pPr>
      <w:r w:rsidRPr="00BC6151">
        <w:rPr>
          <w:lang w:val="fr-FR"/>
        </w:rPr>
        <w:t xml:space="preserve">Figure II </w:t>
      </w:r>
      <w:r w:rsidR="009C0164">
        <w:rPr>
          <w:lang w:val="fr-FR"/>
        </w:rPr>
        <w:br/>
      </w:r>
      <w:r w:rsidRPr="00BC6151">
        <w:rPr>
          <w:b/>
          <w:bCs/>
          <w:lang w:val="fr-FR"/>
        </w:rPr>
        <w:t xml:space="preserve">Nombre </w:t>
      </w:r>
      <w:r>
        <w:rPr>
          <w:b/>
          <w:bCs/>
          <w:lang w:val="fr-FR"/>
        </w:rPr>
        <w:t xml:space="preserve">cumulé </w:t>
      </w:r>
      <w:r w:rsidRPr="00BC6151">
        <w:rPr>
          <w:b/>
          <w:bCs/>
          <w:lang w:val="fr-FR"/>
        </w:rPr>
        <w:t>d</w:t>
      </w:r>
      <w:r>
        <w:rPr>
          <w:b/>
          <w:bCs/>
          <w:lang w:val="fr-FR"/>
        </w:rPr>
        <w:t>’</w:t>
      </w:r>
      <w:r w:rsidRPr="00BC6151">
        <w:rPr>
          <w:b/>
          <w:bCs/>
          <w:lang w:val="fr-FR"/>
        </w:rPr>
        <w:t>adhésion</w:t>
      </w:r>
      <w:r>
        <w:rPr>
          <w:b/>
          <w:bCs/>
          <w:lang w:val="fr-FR"/>
        </w:rPr>
        <w:t>s</w:t>
      </w:r>
      <w:r w:rsidRPr="00BC6151">
        <w:rPr>
          <w:b/>
          <w:bCs/>
          <w:lang w:val="fr-FR"/>
        </w:rPr>
        <w:t xml:space="preserve"> aux conventions relatives à la sécurité routière</w:t>
      </w:r>
      <w:r>
        <w:rPr>
          <w:b/>
          <w:bCs/>
          <w:lang w:val="fr-FR"/>
        </w:rPr>
        <w:t xml:space="preserve"> </w:t>
      </w:r>
      <w:r w:rsidR="009C0164">
        <w:rPr>
          <w:b/>
          <w:bCs/>
          <w:lang w:val="fr-FR"/>
        </w:rPr>
        <w:br/>
      </w:r>
      <w:r>
        <w:rPr>
          <w:b/>
          <w:bCs/>
          <w:lang w:val="fr-FR"/>
        </w:rPr>
        <w:t>par commission régionale</w:t>
      </w:r>
      <w:r w:rsidRPr="00BC6151">
        <w:rPr>
          <w:b/>
          <w:bCs/>
          <w:lang w:val="fr-FR"/>
        </w:rPr>
        <w:t xml:space="preserve"> (hors CEE)</w:t>
      </w:r>
      <w:r>
        <w:rPr>
          <w:b/>
          <w:bCs/>
          <w:lang w:val="fr-FR"/>
        </w:rPr>
        <w:t>, entre 1955 et 2018</w:t>
      </w:r>
    </w:p>
    <w:p w:rsidR="00A174D9" w:rsidRDefault="00A174D9" w:rsidP="0084386E">
      <w:pPr>
        <w:pStyle w:val="SingleTxtG"/>
        <w:spacing w:after="0"/>
        <w:ind w:left="1077"/>
        <w:rPr>
          <w:lang w:val="fr-FR"/>
        </w:rPr>
      </w:pPr>
      <w:r>
        <w:rPr>
          <w:noProof/>
        </w:rPr>
        <w:drawing>
          <wp:inline distT="0" distB="0" distL="0" distR="0" wp14:anchorId="02728A9B" wp14:editId="6353EC8C">
            <wp:extent cx="4680000" cy="2844000"/>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80000" cy="2844000"/>
                    </a:xfrm>
                    <a:prstGeom prst="rect">
                      <a:avLst/>
                    </a:prstGeom>
                  </pic:spPr>
                </pic:pic>
              </a:graphicData>
            </a:graphic>
          </wp:inline>
        </w:drawing>
      </w:r>
    </w:p>
    <w:p w:rsidR="005207E9" w:rsidRPr="00BC6151" w:rsidRDefault="005207E9" w:rsidP="0084386E">
      <w:pPr>
        <w:pStyle w:val="HChG"/>
        <w:spacing w:before="240" w:after="200"/>
        <w:rPr>
          <w:lang w:val="fr-FR"/>
        </w:rPr>
      </w:pPr>
      <w:r w:rsidRPr="00BC6151">
        <w:rPr>
          <w:lang w:val="fr-FR"/>
        </w:rPr>
        <w:tab/>
        <w:t>III.</w:t>
      </w:r>
      <w:r w:rsidRPr="00BC6151">
        <w:rPr>
          <w:lang w:val="fr-FR"/>
        </w:rPr>
        <w:tab/>
        <w:t>Région de la Commission économique pour l</w:t>
      </w:r>
      <w:r>
        <w:rPr>
          <w:lang w:val="fr-FR"/>
        </w:rPr>
        <w:t>’</w:t>
      </w:r>
      <w:r w:rsidRPr="00BC6151">
        <w:rPr>
          <w:lang w:val="fr-FR"/>
        </w:rPr>
        <w:t>Amérique latine et les Caraïbes</w:t>
      </w:r>
    </w:p>
    <w:p w:rsidR="005207E9" w:rsidRPr="00BC6151" w:rsidRDefault="005207E9" w:rsidP="005207E9">
      <w:pPr>
        <w:pStyle w:val="SingleTxtG"/>
        <w:rPr>
          <w:lang w:val="fr-FR"/>
        </w:rPr>
      </w:pPr>
      <w:r w:rsidRPr="00BC6151">
        <w:rPr>
          <w:lang w:val="fr-FR"/>
        </w:rPr>
        <w:t>10.</w:t>
      </w:r>
      <w:r w:rsidRPr="00BC6151">
        <w:rPr>
          <w:lang w:val="fr-FR"/>
        </w:rPr>
        <w:tab/>
        <w:t>Sur les 33</w:t>
      </w:r>
      <w:r w:rsidR="000A0AE5">
        <w:rPr>
          <w:lang w:val="fr-FR"/>
        </w:rPr>
        <w:t> </w:t>
      </w:r>
      <w:r w:rsidRPr="00BC6151">
        <w:rPr>
          <w:lang w:val="fr-FR"/>
        </w:rPr>
        <w:t>États membres de la CEPALC, seuls 22 avaient adhéré à au moins une des conventions de la CEE relatives aux transports, ce qui signifie que 11</w:t>
      </w:r>
      <w:r w:rsidR="000A0AE5">
        <w:rPr>
          <w:lang w:val="fr-FR"/>
        </w:rPr>
        <w:t> </w:t>
      </w:r>
      <w:r w:rsidRPr="00BC6151">
        <w:rPr>
          <w:lang w:val="fr-FR"/>
        </w:rPr>
        <w:t>États (33 %) n</w:t>
      </w:r>
      <w:r>
        <w:rPr>
          <w:lang w:val="fr-FR"/>
        </w:rPr>
        <w:t>’</w:t>
      </w:r>
      <w:r w:rsidRPr="00BC6151">
        <w:rPr>
          <w:lang w:val="fr-FR"/>
        </w:rPr>
        <w:t>en avaient signé aucune. Les 11</w:t>
      </w:r>
      <w:r w:rsidR="000A0AE5">
        <w:rPr>
          <w:lang w:val="fr-FR"/>
        </w:rPr>
        <w:t> </w:t>
      </w:r>
      <w:r w:rsidRPr="00BC6151">
        <w:rPr>
          <w:lang w:val="fr-FR"/>
        </w:rPr>
        <w:t xml:space="preserve">États en question sont le Belize, la Bolivie, la Colombie, la Dominique, la Grenade, le Nicaragua, le Panama, </w:t>
      </w:r>
      <w:bookmarkStart w:id="1" w:name="_Hlk59544454"/>
      <w:r w:rsidR="003C5FD3" w:rsidRPr="00BC6151">
        <w:rPr>
          <w:lang w:val="fr-FR"/>
        </w:rPr>
        <w:t xml:space="preserve">Sainte-Lucie, </w:t>
      </w:r>
      <w:r w:rsidRPr="00BC6151">
        <w:rPr>
          <w:lang w:val="fr-FR"/>
        </w:rPr>
        <w:t>Saint-Kitts-et-Nevis, Saint</w:t>
      </w:r>
      <w:r w:rsidR="00A33D6C">
        <w:rPr>
          <w:lang w:val="fr-FR"/>
        </w:rPr>
        <w:noBreakHyphen/>
      </w:r>
      <w:r w:rsidRPr="00BC6151">
        <w:rPr>
          <w:lang w:val="fr-FR"/>
        </w:rPr>
        <w:t xml:space="preserve">Vincent-et-les Grenadines </w:t>
      </w:r>
      <w:bookmarkEnd w:id="1"/>
      <w:r w:rsidRPr="00BC6151">
        <w:rPr>
          <w:lang w:val="fr-FR"/>
        </w:rPr>
        <w:t xml:space="preserve">et le Suriname. Au total, la région </w:t>
      </w:r>
      <w:r>
        <w:rPr>
          <w:lang w:val="fr-FR"/>
        </w:rPr>
        <w:t>compte</w:t>
      </w:r>
      <w:r w:rsidRPr="00BC6151">
        <w:rPr>
          <w:lang w:val="fr-FR"/>
        </w:rPr>
        <w:t xml:space="preserve"> 80</w:t>
      </w:r>
      <w:r w:rsidR="000A0AE5">
        <w:rPr>
          <w:lang w:val="fr-FR"/>
        </w:rPr>
        <w:t> </w:t>
      </w:r>
      <w:r w:rsidRPr="00BC6151">
        <w:rPr>
          <w:lang w:val="fr-FR"/>
        </w:rPr>
        <w:t xml:space="preserve">adhésions. </w:t>
      </w:r>
      <w:r w:rsidRPr="00BC6151">
        <w:rPr>
          <w:lang w:val="fr-FR"/>
        </w:rPr>
        <w:lastRenderedPageBreak/>
        <w:t>Le</w:t>
      </w:r>
      <w:r w:rsidR="003C5FD3">
        <w:rPr>
          <w:lang w:val="fr-FR"/>
        </w:rPr>
        <w:t> </w:t>
      </w:r>
      <w:r w:rsidRPr="00BC6151">
        <w:rPr>
          <w:lang w:val="fr-FR"/>
        </w:rPr>
        <w:t xml:space="preserve">rythme des adhésions a été très lent ces dernières années, puisque seulement neuf adhésions ont été enregistrées depuis 1987. </w:t>
      </w:r>
    </w:p>
    <w:p w:rsidR="005207E9" w:rsidRPr="00BC6151" w:rsidRDefault="005207E9" w:rsidP="005207E9">
      <w:pPr>
        <w:pStyle w:val="Paragraphedeliste"/>
        <w:spacing w:after="120"/>
        <w:ind w:left="1138" w:right="1138"/>
        <w:jc w:val="both"/>
        <w:rPr>
          <w:lang w:val="fr-FR"/>
        </w:rPr>
      </w:pPr>
      <w:r w:rsidRPr="00BC6151">
        <w:rPr>
          <w:lang w:val="fr-FR"/>
        </w:rPr>
        <w:t>11.</w:t>
      </w:r>
      <w:r w:rsidRPr="00BC6151">
        <w:rPr>
          <w:lang w:val="fr-FR"/>
        </w:rPr>
        <w:tab/>
        <w:t>Concernant le franchissement des frontières, les 38</w:t>
      </w:r>
      <w:r w:rsidR="006A2026">
        <w:rPr>
          <w:lang w:val="fr-FR"/>
        </w:rPr>
        <w:t> </w:t>
      </w:r>
      <w:r w:rsidRPr="00BC6151">
        <w:rPr>
          <w:lang w:val="fr-FR"/>
        </w:rPr>
        <w:t>adhésions de la région indiquent que des progrès ont été réalisés (voir la figure</w:t>
      </w:r>
      <w:r w:rsidR="006A2026">
        <w:rPr>
          <w:lang w:val="fr-FR"/>
        </w:rPr>
        <w:t> </w:t>
      </w:r>
      <w:r w:rsidRPr="00BC6151">
        <w:rPr>
          <w:lang w:val="fr-FR"/>
        </w:rPr>
        <w:t xml:space="preserve">I). Il convient toutefois de noter que la majorité de ces conventions ont été établies dans les années 1950 et que la Convention TIR, qui date de 1975, ne compte que trois signataires dans la région. </w:t>
      </w:r>
    </w:p>
    <w:p w:rsidR="005207E9" w:rsidRPr="00BC6151" w:rsidRDefault="005207E9" w:rsidP="005207E9">
      <w:pPr>
        <w:pStyle w:val="SingleTxtG"/>
        <w:rPr>
          <w:b/>
          <w:bCs/>
          <w:lang w:val="fr-FR"/>
        </w:rPr>
      </w:pPr>
      <w:r w:rsidRPr="00BC6151">
        <w:rPr>
          <w:lang w:val="fr-FR"/>
        </w:rPr>
        <w:t>12.</w:t>
      </w:r>
      <w:r w:rsidRPr="00BC6151">
        <w:rPr>
          <w:lang w:val="fr-FR"/>
        </w:rPr>
        <w:tab/>
        <w:t>S</w:t>
      </w:r>
      <w:r>
        <w:rPr>
          <w:lang w:val="fr-FR"/>
        </w:rPr>
        <w:t>’</w:t>
      </w:r>
      <w:r w:rsidRPr="00BC6151">
        <w:rPr>
          <w:lang w:val="fr-FR"/>
        </w:rPr>
        <w:t>agissant des principales conventions sur la sécurité routière, la région totalise 23</w:t>
      </w:r>
      <w:r w:rsidR="006A2026">
        <w:rPr>
          <w:lang w:val="fr-FR"/>
        </w:rPr>
        <w:t> </w:t>
      </w:r>
      <w:r w:rsidRPr="00BC6151">
        <w:rPr>
          <w:lang w:val="fr-FR"/>
        </w:rPr>
        <w:t>adhésions (voir</w:t>
      </w:r>
      <w:r w:rsidR="004D454C">
        <w:rPr>
          <w:lang w:val="fr-FR"/>
        </w:rPr>
        <w:t xml:space="preserve"> </w:t>
      </w:r>
      <w:r w:rsidR="003A0BBF">
        <w:rPr>
          <w:lang w:val="fr-FR"/>
        </w:rPr>
        <w:t>la figure</w:t>
      </w:r>
      <w:r w:rsidR="004D454C">
        <w:rPr>
          <w:lang w:val="fr-FR"/>
        </w:rPr>
        <w:t> </w:t>
      </w:r>
      <w:r w:rsidRPr="00BC6151">
        <w:rPr>
          <w:lang w:val="fr-FR"/>
        </w:rPr>
        <w:t>II). La marge de progression est donc considérable, puisque 20 des 23</w:t>
      </w:r>
      <w:r w:rsidR="006A2026">
        <w:rPr>
          <w:lang w:val="fr-FR"/>
        </w:rPr>
        <w:t> </w:t>
      </w:r>
      <w:r w:rsidRPr="00BC6151">
        <w:rPr>
          <w:lang w:val="fr-FR"/>
        </w:rPr>
        <w:t>adhésions concernent les conventions de 1949 et 1968 sur la circulation routière et qu</w:t>
      </w:r>
      <w:r>
        <w:rPr>
          <w:lang w:val="fr-FR"/>
        </w:rPr>
        <w:t>’</w:t>
      </w:r>
      <w:r w:rsidRPr="00BC6151">
        <w:rPr>
          <w:lang w:val="fr-FR"/>
        </w:rPr>
        <w:t>aucun pays de la région n</w:t>
      </w:r>
      <w:r>
        <w:rPr>
          <w:lang w:val="fr-FR"/>
        </w:rPr>
        <w:t>’</w:t>
      </w:r>
      <w:r w:rsidRPr="00BC6151">
        <w:rPr>
          <w:lang w:val="fr-FR"/>
        </w:rPr>
        <w:t>a adhéré ni à l</w:t>
      </w:r>
      <w:r>
        <w:rPr>
          <w:lang w:val="fr-FR"/>
        </w:rPr>
        <w:t>’</w:t>
      </w:r>
      <w:r w:rsidRPr="00BC6151">
        <w:rPr>
          <w:lang w:val="fr-FR"/>
        </w:rPr>
        <w:t xml:space="preserve">ADR ni aux principaux accords sur les règlements concernant les véhicules. </w:t>
      </w:r>
      <w:r w:rsidRPr="00BC6151">
        <w:rPr>
          <w:b/>
          <w:bCs/>
          <w:lang w:val="fr-FR"/>
        </w:rPr>
        <w:t>Étant donné que l</w:t>
      </w:r>
      <w:r>
        <w:rPr>
          <w:b/>
          <w:bCs/>
          <w:lang w:val="fr-FR"/>
        </w:rPr>
        <w:t>’</w:t>
      </w:r>
      <w:r w:rsidRPr="00BC6151">
        <w:rPr>
          <w:b/>
          <w:bCs/>
          <w:lang w:val="fr-FR"/>
        </w:rPr>
        <w:t>on estime à 110 000 le nombre de personnes ayant perdu la vie en 2016 sur les routes de la région, les pays de la CEPALC pourraient envisager d</w:t>
      </w:r>
      <w:r>
        <w:rPr>
          <w:b/>
          <w:bCs/>
          <w:lang w:val="fr-FR"/>
        </w:rPr>
        <w:t>’</w:t>
      </w:r>
      <w:r w:rsidRPr="00BC6151">
        <w:rPr>
          <w:b/>
          <w:bCs/>
          <w:lang w:val="fr-FR"/>
        </w:rPr>
        <w:t xml:space="preserve">améliorer </w:t>
      </w:r>
      <w:r>
        <w:rPr>
          <w:b/>
          <w:bCs/>
          <w:lang w:val="fr-FR"/>
        </w:rPr>
        <w:t>la situation dans ces deux domaines</w:t>
      </w:r>
      <w:r w:rsidRPr="00BC6151">
        <w:rPr>
          <w:b/>
          <w:bCs/>
          <w:lang w:val="fr-FR"/>
        </w:rPr>
        <w:t xml:space="preserve">. </w:t>
      </w:r>
    </w:p>
    <w:p w:rsidR="005207E9" w:rsidRPr="00BC6151" w:rsidRDefault="005207E9" w:rsidP="005207E9">
      <w:pPr>
        <w:pStyle w:val="SingleTxtG"/>
        <w:rPr>
          <w:lang w:val="fr-FR"/>
        </w:rPr>
      </w:pPr>
      <w:r w:rsidRPr="00BC6151">
        <w:rPr>
          <w:lang w:val="fr-FR"/>
        </w:rPr>
        <w:t>13.</w:t>
      </w:r>
      <w:r w:rsidRPr="00BC6151">
        <w:rPr>
          <w:lang w:val="fr-FR"/>
        </w:rPr>
        <w:tab/>
        <w:t>Avec respectivement 15 et 7</w:t>
      </w:r>
      <w:r w:rsidR="006A2026">
        <w:rPr>
          <w:lang w:val="fr-FR"/>
        </w:rPr>
        <w:t> </w:t>
      </w:r>
      <w:r w:rsidRPr="00BC6151">
        <w:rPr>
          <w:lang w:val="fr-FR"/>
        </w:rPr>
        <w:t xml:space="preserve">adhésions, Cuba et Trinité-et-Tobago sont les États de la région de la CEPALC qui sont parties au plus grand nombre de conventions. </w:t>
      </w:r>
    </w:p>
    <w:p w:rsidR="005207E9" w:rsidRPr="00BC6151" w:rsidRDefault="005207E9" w:rsidP="004D454C">
      <w:pPr>
        <w:pStyle w:val="HChG"/>
        <w:rPr>
          <w:lang w:val="fr-FR"/>
        </w:rPr>
      </w:pPr>
      <w:r w:rsidRPr="00BC6151">
        <w:rPr>
          <w:lang w:val="fr-FR"/>
        </w:rPr>
        <w:tab/>
        <w:t>IV.</w:t>
      </w:r>
      <w:r w:rsidRPr="00BC6151">
        <w:rPr>
          <w:lang w:val="fr-FR"/>
        </w:rPr>
        <w:tab/>
        <w:t>Région de la Commission économique pour l</w:t>
      </w:r>
      <w:r>
        <w:rPr>
          <w:lang w:val="fr-FR"/>
        </w:rPr>
        <w:t>’</w:t>
      </w:r>
      <w:r w:rsidRPr="00BC6151">
        <w:rPr>
          <w:lang w:val="fr-FR"/>
        </w:rPr>
        <w:t>Afrique</w:t>
      </w:r>
    </w:p>
    <w:p w:rsidR="005207E9" w:rsidRPr="00BC6151" w:rsidRDefault="005207E9" w:rsidP="00934F58">
      <w:pPr>
        <w:pStyle w:val="SingleTxtG"/>
        <w:rPr>
          <w:lang w:val="fr-FR"/>
        </w:rPr>
      </w:pPr>
      <w:r w:rsidRPr="00BC6151">
        <w:rPr>
          <w:lang w:val="fr-FR"/>
        </w:rPr>
        <w:t>14.</w:t>
      </w:r>
      <w:r w:rsidRPr="00BC6151">
        <w:rPr>
          <w:lang w:val="fr-FR"/>
        </w:rPr>
        <w:tab/>
      </w:r>
      <w:r>
        <w:rPr>
          <w:lang w:val="fr-FR"/>
        </w:rPr>
        <w:t>La</w:t>
      </w:r>
      <w:r w:rsidRPr="00BC6151">
        <w:rPr>
          <w:lang w:val="fr-FR"/>
        </w:rPr>
        <w:t xml:space="preserve"> région de la CEA totalise 153</w:t>
      </w:r>
      <w:r w:rsidR="00934F58">
        <w:rPr>
          <w:lang w:val="fr-FR"/>
        </w:rPr>
        <w:t> </w:t>
      </w:r>
      <w:r w:rsidRPr="00BC6151">
        <w:rPr>
          <w:lang w:val="fr-FR"/>
        </w:rPr>
        <w:t xml:space="preserve">adhésions </w:t>
      </w:r>
      <w:r>
        <w:rPr>
          <w:lang w:val="fr-FR"/>
        </w:rPr>
        <w:t>aux</w:t>
      </w:r>
      <w:r w:rsidRPr="00BC6151">
        <w:rPr>
          <w:lang w:val="fr-FR"/>
        </w:rPr>
        <w:t xml:space="preserve"> conventions relatives aux transports. Parmi </w:t>
      </w:r>
      <w:r>
        <w:rPr>
          <w:lang w:val="fr-FR"/>
        </w:rPr>
        <w:t>l</w:t>
      </w:r>
      <w:r w:rsidRPr="00BC6151">
        <w:rPr>
          <w:lang w:val="fr-FR"/>
        </w:rPr>
        <w:t xml:space="preserve">es </w:t>
      </w:r>
      <w:r>
        <w:rPr>
          <w:lang w:val="fr-FR"/>
        </w:rPr>
        <w:t>membres de la Commission</w:t>
      </w:r>
      <w:r w:rsidRPr="00BC6151">
        <w:rPr>
          <w:lang w:val="fr-FR"/>
        </w:rPr>
        <w:t xml:space="preserve">, 35 ont adhéré à au moins une convention et 19 (35 %) </w:t>
      </w:r>
      <w:r>
        <w:rPr>
          <w:lang w:val="fr-FR"/>
        </w:rPr>
        <w:t>à aucune</w:t>
      </w:r>
      <w:r w:rsidRPr="00BC6151">
        <w:rPr>
          <w:lang w:val="fr-FR"/>
        </w:rPr>
        <w:t xml:space="preserve">. </w:t>
      </w:r>
    </w:p>
    <w:p w:rsidR="005207E9" w:rsidRPr="00BC6151" w:rsidRDefault="005207E9" w:rsidP="00934F58">
      <w:pPr>
        <w:pStyle w:val="SingleTxtG"/>
        <w:rPr>
          <w:lang w:val="fr-FR"/>
        </w:rPr>
      </w:pPr>
      <w:r w:rsidRPr="00BC6151">
        <w:rPr>
          <w:lang w:val="fr-FR"/>
        </w:rPr>
        <w:t>15.</w:t>
      </w:r>
      <w:r w:rsidRPr="00BC6151">
        <w:rPr>
          <w:lang w:val="fr-FR"/>
        </w:rPr>
        <w:tab/>
        <w:t>Les progrès se sont ralentis au fil du temps, puisque seule</w:t>
      </w:r>
      <w:r>
        <w:rPr>
          <w:lang w:val="fr-FR"/>
        </w:rPr>
        <w:t>ment</w:t>
      </w:r>
      <w:r w:rsidRPr="00BC6151">
        <w:rPr>
          <w:lang w:val="fr-FR"/>
        </w:rPr>
        <w:t xml:space="preserve"> 37 de ces 15</w:t>
      </w:r>
      <w:r>
        <w:rPr>
          <w:lang w:val="fr-FR"/>
        </w:rPr>
        <w:t>3</w:t>
      </w:r>
      <w:r w:rsidR="00934F58">
        <w:rPr>
          <w:lang w:val="fr-FR"/>
        </w:rPr>
        <w:t> </w:t>
      </w:r>
      <w:r w:rsidRPr="00BC6151">
        <w:rPr>
          <w:lang w:val="fr-FR"/>
        </w:rPr>
        <w:t xml:space="preserve">adhésions sont postérieures à 2000. </w:t>
      </w:r>
    </w:p>
    <w:p w:rsidR="005207E9" w:rsidRPr="00BC6151" w:rsidRDefault="005207E9" w:rsidP="00934F58">
      <w:pPr>
        <w:pStyle w:val="SingleTxtG"/>
        <w:rPr>
          <w:lang w:val="fr-FR"/>
        </w:rPr>
      </w:pPr>
      <w:r w:rsidRPr="00BC6151">
        <w:rPr>
          <w:lang w:val="fr-FR"/>
        </w:rPr>
        <w:t>16.</w:t>
      </w:r>
      <w:r w:rsidRPr="00BC6151">
        <w:rPr>
          <w:lang w:val="fr-FR"/>
        </w:rPr>
        <w:tab/>
        <w:t>La facilitation du franchissement des frontières enregistre 57</w:t>
      </w:r>
      <w:r w:rsidR="00934F58">
        <w:rPr>
          <w:lang w:val="fr-FR"/>
        </w:rPr>
        <w:t> </w:t>
      </w:r>
      <w:r w:rsidRPr="00BC6151">
        <w:rPr>
          <w:lang w:val="fr-FR"/>
        </w:rPr>
        <w:t xml:space="preserve">adhésions (voir </w:t>
      </w:r>
      <w:r w:rsidR="003A0BBF">
        <w:rPr>
          <w:lang w:val="fr-FR"/>
        </w:rPr>
        <w:t>la figure</w:t>
      </w:r>
      <w:r w:rsidR="00934F58">
        <w:rPr>
          <w:lang w:val="fr-FR"/>
        </w:rPr>
        <w:t> </w:t>
      </w:r>
      <w:r w:rsidRPr="00BC6151">
        <w:rPr>
          <w:lang w:val="fr-FR"/>
        </w:rPr>
        <w:t>I), mais seules 4 concernent la Convention TIR. Pour ce qui est de la sécurité routière, la région compte 61</w:t>
      </w:r>
      <w:r w:rsidR="003A0BBF">
        <w:rPr>
          <w:lang w:val="fr-FR"/>
        </w:rPr>
        <w:t> </w:t>
      </w:r>
      <w:r w:rsidRPr="00BC6151">
        <w:rPr>
          <w:lang w:val="fr-FR"/>
        </w:rPr>
        <w:t>adhésions</w:t>
      </w:r>
      <w:r>
        <w:rPr>
          <w:lang w:val="fr-FR"/>
        </w:rPr>
        <w:t xml:space="preserve"> aux sept principales conventions</w:t>
      </w:r>
      <w:r w:rsidRPr="00BC6151">
        <w:rPr>
          <w:lang w:val="fr-FR"/>
        </w:rPr>
        <w:t>, dont 40 concernent les conventions</w:t>
      </w:r>
      <w:r>
        <w:rPr>
          <w:lang w:val="fr-FR"/>
        </w:rPr>
        <w:t xml:space="preserve"> sur la circulation routière</w:t>
      </w:r>
      <w:r w:rsidRPr="00BC6151">
        <w:rPr>
          <w:lang w:val="fr-FR"/>
        </w:rPr>
        <w:t xml:space="preserve"> et 3, seulement, l</w:t>
      </w:r>
      <w:r>
        <w:rPr>
          <w:lang w:val="fr-FR"/>
        </w:rPr>
        <w:t>’</w:t>
      </w:r>
      <w:r w:rsidRPr="00BC6151">
        <w:rPr>
          <w:lang w:val="fr-FR"/>
        </w:rPr>
        <w:t>ADR (voir la figure</w:t>
      </w:r>
      <w:r w:rsidR="003A0BBF">
        <w:rPr>
          <w:lang w:val="fr-FR"/>
        </w:rPr>
        <w:t> </w:t>
      </w:r>
      <w:r w:rsidRPr="00BC6151">
        <w:rPr>
          <w:lang w:val="fr-FR"/>
        </w:rPr>
        <w:t xml:space="preserve">II). </w:t>
      </w:r>
    </w:p>
    <w:p w:rsidR="005207E9" w:rsidRPr="00BC6151" w:rsidRDefault="005207E9" w:rsidP="00934F58">
      <w:pPr>
        <w:pStyle w:val="SingleTxtG"/>
        <w:rPr>
          <w:lang w:val="fr-FR"/>
        </w:rPr>
      </w:pPr>
      <w:r w:rsidRPr="00BC6151">
        <w:rPr>
          <w:lang w:val="fr-FR"/>
        </w:rPr>
        <w:t>17.</w:t>
      </w:r>
      <w:r w:rsidRPr="00BC6151">
        <w:rPr>
          <w:lang w:val="fr-FR"/>
        </w:rPr>
        <w:tab/>
        <w:t>Les pays ci-après comptent le plus grand nombre d</w:t>
      </w:r>
      <w:r>
        <w:rPr>
          <w:lang w:val="fr-FR"/>
        </w:rPr>
        <w:t>’</w:t>
      </w:r>
      <w:r w:rsidRPr="00BC6151">
        <w:rPr>
          <w:lang w:val="fr-FR"/>
        </w:rPr>
        <w:t>adhésions de la région : Tunisie (18), Maroc (15), Libéria et Nigeria (10 tous les deux).</w:t>
      </w:r>
    </w:p>
    <w:p w:rsidR="005207E9" w:rsidRPr="00BC6151" w:rsidRDefault="005207E9" w:rsidP="008F06CF">
      <w:pPr>
        <w:pStyle w:val="HChG"/>
        <w:rPr>
          <w:lang w:val="fr-FR"/>
        </w:rPr>
      </w:pPr>
      <w:r w:rsidRPr="00BC6151">
        <w:rPr>
          <w:lang w:val="fr-FR"/>
        </w:rPr>
        <w:tab/>
        <w:t>V.</w:t>
      </w:r>
      <w:r w:rsidRPr="00BC6151">
        <w:rPr>
          <w:lang w:val="fr-FR"/>
        </w:rPr>
        <w:tab/>
        <w:t xml:space="preserve">Région de la Commission économique et sociale </w:t>
      </w:r>
      <w:r w:rsidR="008F06CF">
        <w:rPr>
          <w:lang w:val="fr-FR"/>
        </w:rPr>
        <w:br/>
      </w:r>
      <w:r w:rsidRPr="00BC6151">
        <w:rPr>
          <w:lang w:val="fr-FR"/>
        </w:rPr>
        <w:t>pour l</w:t>
      </w:r>
      <w:r>
        <w:rPr>
          <w:lang w:val="fr-FR"/>
        </w:rPr>
        <w:t>’</w:t>
      </w:r>
      <w:r w:rsidRPr="00BC6151">
        <w:rPr>
          <w:lang w:val="fr-FR"/>
        </w:rPr>
        <w:t>Asie occidentale</w:t>
      </w:r>
    </w:p>
    <w:p w:rsidR="005207E9" w:rsidRPr="00BC6151" w:rsidRDefault="005207E9" w:rsidP="008F06CF">
      <w:pPr>
        <w:pStyle w:val="SingleTxtG"/>
        <w:rPr>
          <w:lang w:val="fr-FR"/>
        </w:rPr>
      </w:pPr>
      <w:r w:rsidRPr="00BC6151">
        <w:rPr>
          <w:lang w:val="fr-FR"/>
        </w:rPr>
        <w:t>18.</w:t>
      </w:r>
      <w:r w:rsidRPr="00BC6151">
        <w:rPr>
          <w:lang w:val="fr-FR"/>
        </w:rPr>
        <w:tab/>
        <w:t>L</w:t>
      </w:r>
      <w:r>
        <w:rPr>
          <w:lang w:val="fr-FR"/>
        </w:rPr>
        <w:t xml:space="preserve">es </w:t>
      </w:r>
      <w:r w:rsidRPr="00BC6151">
        <w:rPr>
          <w:lang w:val="fr-FR"/>
        </w:rPr>
        <w:t>20</w:t>
      </w:r>
      <w:r w:rsidR="005B7995">
        <w:rPr>
          <w:lang w:val="fr-FR"/>
        </w:rPr>
        <w:t> </w:t>
      </w:r>
      <w:r w:rsidRPr="00BC6151">
        <w:rPr>
          <w:lang w:val="fr-FR"/>
        </w:rPr>
        <w:t>États</w:t>
      </w:r>
      <w:r>
        <w:rPr>
          <w:lang w:val="fr-FR"/>
        </w:rPr>
        <w:t xml:space="preserve"> qui composent la région de la CESAO</w:t>
      </w:r>
      <w:r w:rsidRPr="00BC6151">
        <w:rPr>
          <w:lang w:val="fr-FR"/>
        </w:rPr>
        <w:t xml:space="preserve"> totalise</w:t>
      </w:r>
      <w:r>
        <w:rPr>
          <w:lang w:val="fr-FR"/>
        </w:rPr>
        <w:t>nt</w:t>
      </w:r>
      <w:r w:rsidRPr="00BC6151">
        <w:rPr>
          <w:lang w:val="fr-FR"/>
        </w:rPr>
        <w:t xml:space="preserve"> 89</w:t>
      </w:r>
      <w:r w:rsidR="005B7995">
        <w:rPr>
          <w:lang w:val="fr-FR"/>
        </w:rPr>
        <w:t> </w:t>
      </w:r>
      <w:r w:rsidRPr="00BC6151">
        <w:rPr>
          <w:lang w:val="fr-FR"/>
        </w:rPr>
        <w:t>adhésions aux différentes conventions relatives aux transports. Sur ces 20</w:t>
      </w:r>
      <w:r w:rsidR="005B7995">
        <w:rPr>
          <w:lang w:val="fr-FR"/>
        </w:rPr>
        <w:t> </w:t>
      </w:r>
      <w:r w:rsidRPr="00BC6151">
        <w:rPr>
          <w:lang w:val="fr-FR"/>
        </w:rPr>
        <w:t xml:space="preserve">États, 15 ont signé au moins une convention et 5 (Algérie, Libye, Mauritanie, Somalie et Yémen) aucune. Les pays de la région qui sont parties au plus grand nombre de conventions sont la Tunisie (18 adhésions), le Maroc (15) et la Jordanie (9). </w:t>
      </w:r>
    </w:p>
    <w:p w:rsidR="005207E9" w:rsidRPr="00BC6151" w:rsidRDefault="005207E9" w:rsidP="008F06CF">
      <w:pPr>
        <w:pStyle w:val="SingleTxtG"/>
        <w:rPr>
          <w:lang w:val="fr-FR"/>
        </w:rPr>
      </w:pPr>
      <w:r w:rsidRPr="00BC6151">
        <w:rPr>
          <w:lang w:val="fr-FR"/>
        </w:rPr>
        <w:t>19.</w:t>
      </w:r>
      <w:r w:rsidRPr="00BC6151">
        <w:rPr>
          <w:lang w:val="fr-FR"/>
        </w:rPr>
        <w:tab/>
        <w:t>Le rythme des adhésions n</w:t>
      </w:r>
      <w:r>
        <w:rPr>
          <w:lang w:val="fr-FR"/>
        </w:rPr>
        <w:t>’</w:t>
      </w:r>
      <w:r w:rsidRPr="00BC6151">
        <w:rPr>
          <w:lang w:val="fr-FR"/>
        </w:rPr>
        <w:t>a pas été constant : après 20</w:t>
      </w:r>
      <w:r w:rsidR="005B7995">
        <w:rPr>
          <w:lang w:val="fr-FR"/>
        </w:rPr>
        <w:t> </w:t>
      </w:r>
      <w:r w:rsidRPr="00BC6151">
        <w:rPr>
          <w:lang w:val="fr-FR"/>
        </w:rPr>
        <w:t>adhésions jusqu</w:t>
      </w:r>
      <w:r>
        <w:rPr>
          <w:lang w:val="fr-FR"/>
        </w:rPr>
        <w:t>’</w:t>
      </w:r>
      <w:r w:rsidRPr="00BC6151">
        <w:rPr>
          <w:lang w:val="fr-FR"/>
        </w:rPr>
        <w:t>au début des années 1960, 13</w:t>
      </w:r>
      <w:r w:rsidR="005B7995">
        <w:rPr>
          <w:lang w:val="fr-FR"/>
        </w:rPr>
        <w:t> </w:t>
      </w:r>
      <w:r w:rsidRPr="00BC6151">
        <w:rPr>
          <w:lang w:val="fr-FR"/>
        </w:rPr>
        <w:t>adhésions ont été enregistrées dans les années 1970, puis 8 dans les années 1980, 6 dans les années 1990, 24 dans les années 20</w:t>
      </w:r>
      <w:r>
        <w:rPr>
          <w:lang w:val="fr-FR"/>
        </w:rPr>
        <w:t>0</w:t>
      </w:r>
      <w:r w:rsidRPr="00BC6151">
        <w:rPr>
          <w:lang w:val="fr-FR"/>
        </w:rPr>
        <w:t xml:space="preserve">0 et 17 </w:t>
      </w:r>
      <w:r>
        <w:rPr>
          <w:lang w:val="fr-FR"/>
        </w:rPr>
        <w:t>depuis</w:t>
      </w:r>
      <w:r w:rsidRPr="00BC6151">
        <w:rPr>
          <w:lang w:val="fr-FR"/>
        </w:rPr>
        <w:t xml:space="preserve"> 2010. La Convention TIR totalise le plus grand nombre d</w:t>
      </w:r>
      <w:r>
        <w:rPr>
          <w:lang w:val="fr-FR"/>
        </w:rPr>
        <w:t>’</w:t>
      </w:r>
      <w:r w:rsidRPr="00BC6151">
        <w:rPr>
          <w:lang w:val="fr-FR"/>
        </w:rPr>
        <w:t xml:space="preserve">adhésions dans la région (11), suivie par la Convention de 1968 sur la circulation routière (10). </w:t>
      </w:r>
    </w:p>
    <w:p w:rsidR="005207E9" w:rsidRPr="00BC6151" w:rsidRDefault="005207E9" w:rsidP="008F06CF">
      <w:pPr>
        <w:pStyle w:val="SingleTxtG"/>
        <w:rPr>
          <w:lang w:val="fr-FR"/>
        </w:rPr>
      </w:pPr>
      <w:r w:rsidRPr="00BC6151">
        <w:rPr>
          <w:lang w:val="fr-FR"/>
        </w:rPr>
        <w:t>20.</w:t>
      </w:r>
      <w:r w:rsidRPr="00BC6151">
        <w:rPr>
          <w:lang w:val="fr-FR"/>
        </w:rPr>
        <w:tab/>
        <w:t>Comme pour la région de la CEPALC, la marge de progression est grande en ce qui concerne les adhésions aux instruments relatifs à la sécurité routière. La région de la CESAO compte 29</w:t>
      </w:r>
      <w:r w:rsidR="005B7995">
        <w:rPr>
          <w:lang w:val="fr-FR"/>
        </w:rPr>
        <w:t> </w:t>
      </w:r>
      <w:r w:rsidRPr="00BC6151">
        <w:rPr>
          <w:lang w:val="fr-FR"/>
        </w:rPr>
        <w:t>adhésions aux sept conventions principales, dont seulement 2 à l</w:t>
      </w:r>
      <w:r>
        <w:rPr>
          <w:lang w:val="fr-FR"/>
        </w:rPr>
        <w:t>’</w:t>
      </w:r>
      <w:r w:rsidRPr="00BC6151">
        <w:rPr>
          <w:lang w:val="fr-FR"/>
        </w:rPr>
        <w:t>ADR et 4 aux accords concernant les règlements sur les véhicules.</w:t>
      </w:r>
    </w:p>
    <w:p w:rsidR="005207E9" w:rsidRPr="00BC6151" w:rsidRDefault="005207E9" w:rsidP="0052241E">
      <w:pPr>
        <w:pStyle w:val="HChG"/>
        <w:rPr>
          <w:lang w:val="fr-FR"/>
        </w:rPr>
      </w:pPr>
      <w:r w:rsidRPr="00BC6151">
        <w:rPr>
          <w:lang w:val="fr-FR"/>
        </w:rPr>
        <w:lastRenderedPageBreak/>
        <w:tab/>
        <w:t>VI.</w:t>
      </w:r>
      <w:r w:rsidRPr="00BC6151">
        <w:rPr>
          <w:lang w:val="fr-FR"/>
        </w:rPr>
        <w:tab/>
        <w:t xml:space="preserve">Région de la Commission économique et sociale </w:t>
      </w:r>
      <w:r w:rsidR="0052241E">
        <w:rPr>
          <w:lang w:val="fr-FR"/>
        </w:rPr>
        <w:br/>
      </w:r>
      <w:r w:rsidRPr="00BC6151">
        <w:rPr>
          <w:lang w:val="fr-FR"/>
        </w:rPr>
        <w:t>pour l</w:t>
      </w:r>
      <w:r>
        <w:rPr>
          <w:lang w:val="fr-FR"/>
        </w:rPr>
        <w:t>’</w:t>
      </w:r>
      <w:r w:rsidRPr="00BC6151">
        <w:rPr>
          <w:lang w:val="fr-FR"/>
        </w:rPr>
        <w:t>Asie et le Pacifique</w:t>
      </w:r>
    </w:p>
    <w:p w:rsidR="005207E9" w:rsidRPr="00BC6151" w:rsidRDefault="005207E9" w:rsidP="005207E9">
      <w:pPr>
        <w:pStyle w:val="SingleTxtG"/>
        <w:rPr>
          <w:lang w:val="fr-FR"/>
        </w:rPr>
      </w:pPr>
      <w:r w:rsidRPr="00BC6151">
        <w:rPr>
          <w:lang w:val="fr-FR"/>
        </w:rPr>
        <w:t>21.</w:t>
      </w:r>
      <w:r w:rsidRPr="00BC6151">
        <w:rPr>
          <w:lang w:val="fr-FR"/>
        </w:rPr>
        <w:tab/>
      </w:r>
      <w:r>
        <w:rPr>
          <w:lang w:val="fr-FR"/>
        </w:rPr>
        <w:t>Sur les</w:t>
      </w:r>
      <w:r w:rsidRPr="00BC6151">
        <w:rPr>
          <w:lang w:val="fr-FR"/>
        </w:rPr>
        <w:t xml:space="preserve"> 48</w:t>
      </w:r>
      <w:r w:rsidR="008861C2">
        <w:rPr>
          <w:lang w:val="fr-FR"/>
        </w:rPr>
        <w:t> </w:t>
      </w:r>
      <w:r w:rsidRPr="00BC6151">
        <w:rPr>
          <w:lang w:val="fr-FR"/>
        </w:rPr>
        <w:t xml:space="preserve">États </w:t>
      </w:r>
      <w:r>
        <w:rPr>
          <w:lang w:val="fr-FR"/>
        </w:rPr>
        <w:t>qui composent la</w:t>
      </w:r>
      <w:r w:rsidRPr="00BC6151">
        <w:rPr>
          <w:lang w:val="fr-FR"/>
        </w:rPr>
        <w:t xml:space="preserve"> région de la CESAP</w:t>
      </w:r>
      <w:r>
        <w:rPr>
          <w:lang w:val="fr-FR"/>
        </w:rPr>
        <w:t>, 36 sont parties à un ou plusieurs instruments, pour un total de 26</w:t>
      </w:r>
      <w:r w:rsidR="008861C2">
        <w:rPr>
          <w:lang w:val="fr-FR"/>
        </w:rPr>
        <w:t>6</w:t>
      </w:r>
      <w:r w:rsidR="008861C2">
        <w:rPr>
          <w:lang w:val="fr-FR"/>
        </w:rPr>
        <w:t> </w:t>
      </w:r>
      <w:r>
        <w:rPr>
          <w:lang w:val="fr-FR"/>
        </w:rPr>
        <w:t xml:space="preserve">adhésions. Cela </w:t>
      </w:r>
      <w:r w:rsidRPr="00BC6151">
        <w:rPr>
          <w:lang w:val="fr-FR"/>
        </w:rPr>
        <w:t>signifie néanmoins que 12</w:t>
      </w:r>
      <w:r w:rsidR="008861C2">
        <w:rPr>
          <w:lang w:val="fr-FR"/>
        </w:rPr>
        <w:t> </w:t>
      </w:r>
      <w:r w:rsidRPr="00BC6151">
        <w:rPr>
          <w:lang w:val="fr-FR"/>
        </w:rPr>
        <w:t>États (25 %) n</w:t>
      </w:r>
      <w:r>
        <w:rPr>
          <w:lang w:val="fr-FR"/>
        </w:rPr>
        <w:t>’</w:t>
      </w:r>
      <w:r w:rsidRPr="00BC6151">
        <w:rPr>
          <w:lang w:val="fr-FR"/>
        </w:rPr>
        <w:t xml:space="preserve">ont adhéré à aucune des conventions relatives aux transports. Avec respectivement 33, 18 et 17 adhésions, la Fédération de Russie, le Kazakhstan et la Géorgie </w:t>
      </w:r>
      <w:r w:rsidR="00EE6DBE">
        <w:rPr>
          <w:lang w:val="fr-FR"/>
        </w:rPr>
        <w:t>−</w:t>
      </w:r>
      <w:r w:rsidRPr="00BC6151">
        <w:rPr>
          <w:lang w:val="fr-FR"/>
        </w:rPr>
        <w:t xml:space="preserve"> qui sont aussi membres de la CEE </w:t>
      </w:r>
      <w:r w:rsidR="00EE6DBE">
        <w:rPr>
          <w:lang w:val="fr-FR"/>
        </w:rPr>
        <w:t>−</w:t>
      </w:r>
      <w:r w:rsidRPr="00BC6151">
        <w:rPr>
          <w:lang w:val="fr-FR"/>
        </w:rPr>
        <w:t xml:space="preserve"> sont les États qui sont parties au plus grand nombre de conventions. </w:t>
      </w:r>
    </w:p>
    <w:p w:rsidR="005207E9" w:rsidRPr="00BC6151" w:rsidRDefault="005207E9" w:rsidP="005207E9">
      <w:pPr>
        <w:pStyle w:val="SingleTxtG"/>
        <w:rPr>
          <w:lang w:val="fr-FR"/>
        </w:rPr>
      </w:pPr>
      <w:r w:rsidRPr="00BC6151">
        <w:rPr>
          <w:lang w:val="fr-FR"/>
        </w:rPr>
        <w:t>22.</w:t>
      </w:r>
      <w:r w:rsidRPr="00BC6151">
        <w:rPr>
          <w:lang w:val="fr-FR"/>
        </w:rPr>
        <w:tab/>
        <w:t>Les instruments auxquels les États de la CESAP ont le plus adhéré sont la Convention de 1949 sur la circulation routière (25</w:t>
      </w:r>
      <w:r w:rsidR="008861C2">
        <w:rPr>
          <w:lang w:val="fr-FR"/>
        </w:rPr>
        <w:t> </w:t>
      </w:r>
      <w:r w:rsidRPr="00BC6151">
        <w:rPr>
          <w:lang w:val="fr-FR"/>
        </w:rPr>
        <w:t xml:space="preserve">adhésions) et la Convention TIR de 1975 (17). </w:t>
      </w:r>
    </w:p>
    <w:p w:rsidR="005207E9" w:rsidRPr="00BC6151" w:rsidRDefault="005207E9" w:rsidP="005207E9">
      <w:pPr>
        <w:pStyle w:val="SingleTxtG"/>
        <w:rPr>
          <w:lang w:val="fr-FR"/>
        </w:rPr>
      </w:pPr>
      <w:r w:rsidRPr="00BC6151">
        <w:rPr>
          <w:lang w:val="fr-FR"/>
        </w:rPr>
        <w:t>23.</w:t>
      </w:r>
      <w:r w:rsidRPr="00BC6151">
        <w:rPr>
          <w:lang w:val="fr-FR"/>
        </w:rPr>
        <w:tab/>
        <w:t>Concernant la facilitation du franchissement des frontières, la région de la CESAP compte 86</w:t>
      </w:r>
      <w:r w:rsidR="008861C2">
        <w:rPr>
          <w:lang w:val="fr-FR"/>
        </w:rPr>
        <w:t> </w:t>
      </w:r>
      <w:r w:rsidRPr="00BC6151">
        <w:rPr>
          <w:lang w:val="fr-FR"/>
        </w:rPr>
        <w:t>adhésions, ce qui la place en deuxième position derrière la région de la CEE, l</w:t>
      </w:r>
      <w:r>
        <w:rPr>
          <w:lang w:val="fr-FR"/>
        </w:rPr>
        <w:t>’</w:t>
      </w:r>
      <w:r w:rsidRPr="00BC6151">
        <w:rPr>
          <w:lang w:val="fr-FR"/>
        </w:rPr>
        <w:t>Australie et la République islamique d</w:t>
      </w:r>
      <w:r>
        <w:rPr>
          <w:lang w:val="fr-FR"/>
        </w:rPr>
        <w:t>’</w:t>
      </w:r>
      <w:r w:rsidRPr="00BC6151">
        <w:rPr>
          <w:lang w:val="fr-FR"/>
        </w:rPr>
        <w:t>Iran totalisant le plus d</w:t>
      </w:r>
      <w:r>
        <w:rPr>
          <w:lang w:val="fr-FR"/>
        </w:rPr>
        <w:t>’</w:t>
      </w:r>
      <w:r w:rsidRPr="00BC6151">
        <w:rPr>
          <w:lang w:val="fr-FR"/>
        </w:rPr>
        <w:t>adhésions si l</w:t>
      </w:r>
      <w:r>
        <w:rPr>
          <w:lang w:val="fr-FR"/>
        </w:rPr>
        <w:t>’</w:t>
      </w:r>
      <w:r w:rsidRPr="00BC6151">
        <w:rPr>
          <w:lang w:val="fr-FR"/>
        </w:rPr>
        <w:t xml:space="preserve">on exclut les États </w:t>
      </w:r>
      <w:r>
        <w:rPr>
          <w:lang w:val="fr-FR"/>
        </w:rPr>
        <w:t xml:space="preserve">qui sont aussi </w:t>
      </w:r>
      <w:r w:rsidRPr="00BC6151">
        <w:rPr>
          <w:lang w:val="fr-FR"/>
        </w:rPr>
        <w:t>membres de la CEE (voir</w:t>
      </w:r>
      <w:r w:rsidR="00EE6DBE">
        <w:rPr>
          <w:lang w:val="fr-FR"/>
        </w:rPr>
        <w:t xml:space="preserve"> la</w:t>
      </w:r>
      <w:r w:rsidRPr="00BC6151">
        <w:rPr>
          <w:lang w:val="fr-FR"/>
        </w:rPr>
        <w:t xml:space="preserve"> figure</w:t>
      </w:r>
      <w:r w:rsidR="008861C2">
        <w:rPr>
          <w:lang w:val="fr-FR"/>
        </w:rPr>
        <w:t> </w:t>
      </w:r>
      <w:r w:rsidRPr="00BC6151">
        <w:rPr>
          <w:lang w:val="fr-FR"/>
        </w:rPr>
        <w:t xml:space="preserve">I). </w:t>
      </w:r>
    </w:p>
    <w:p w:rsidR="005207E9" w:rsidRPr="00BC6151" w:rsidRDefault="005207E9" w:rsidP="005207E9">
      <w:pPr>
        <w:pStyle w:val="SingleTxtG"/>
        <w:rPr>
          <w:lang w:val="fr-FR"/>
        </w:rPr>
      </w:pPr>
      <w:r w:rsidRPr="00BC6151">
        <w:rPr>
          <w:lang w:val="fr-FR"/>
        </w:rPr>
        <w:t>24.</w:t>
      </w:r>
      <w:r w:rsidRPr="00BC6151">
        <w:rPr>
          <w:lang w:val="fr-FR"/>
        </w:rPr>
        <w:tab/>
        <w:t>La région compte 85</w:t>
      </w:r>
      <w:r w:rsidR="008861C2">
        <w:rPr>
          <w:lang w:val="fr-FR"/>
        </w:rPr>
        <w:t> </w:t>
      </w:r>
      <w:r w:rsidRPr="00BC6151">
        <w:rPr>
          <w:lang w:val="fr-FR"/>
        </w:rPr>
        <w:t>adhésions aux principales conventions relatives à la sécurité routière, dont 52 qui concernent les conventions sur la circulation routière et la signalisation, contre seulement 6 pour l</w:t>
      </w:r>
      <w:r>
        <w:rPr>
          <w:lang w:val="fr-FR"/>
        </w:rPr>
        <w:t>’</w:t>
      </w:r>
      <w:r w:rsidRPr="00BC6151">
        <w:rPr>
          <w:lang w:val="fr-FR"/>
        </w:rPr>
        <w:t>ADR et 15 pour les règlements sur les véhicules (voir</w:t>
      </w:r>
      <w:r w:rsidR="00EE6DBE">
        <w:rPr>
          <w:lang w:val="fr-FR"/>
        </w:rPr>
        <w:t xml:space="preserve"> la</w:t>
      </w:r>
      <w:r w:rsidRPr="00BC6151">
        <w:rPr>
          <w:lang w:val="fr-FR"/>
        </w:rPr>
        <w:t xml:space="preserve"> figure</w:t>
      </w:r>
      <w:r w:rsidR="008861C2">
        <w:rPr>
          <w:lang w:val="fr-FR"/>
        </w:rPr>
        <w:t> </w:t>
      </w:r>
      <w:r w:rsidRPr="00BC6151">
        <w:rPr>
          <w:lang w:val="fr-FR"/>
        </w:rPr>
        <w:t xml:space="preserve">II). </w:t>
      </w:r>
    </w:p>
    <w:p w:rsidR="005207E9" w:rsidRPr="00BC6151" w:rsidRDefault="005207E9" w:rsidP="00847147">
      <w:pPr>
        <w:pStyle w:val="HChG"/>
        <w:rPr>
          <w:lang w:val="fr-FR"/>
        </w:rPr>
      </w:pPr>
      <w:r w:rsidRPr="00BC6151">
        <w:rPr>
          <w:lang w:val="fr-FR"/>
        </w:rPr>
        <w:tab/>
        <w:t>VII.</w:t>
      </w:r>
      <w:r w:rsidRPr="00BC6151">
        <w:rPr>
          <w:lang w:val="fr-FR"/>
        </w:rPr>
        <w:tab/>
      </w:r>
      <w:r w:rsidRPr="00BC6151">
        <w:rPr>
          <w:lang w:val="fr-FR"/>
        </w:rPr>
        <w:tab/>
        <w:t>Conclusions générales</w:t>
      </w:r>
    </w:p>
    <w:p w:rsidR="005207E9" w:rsidRPr="00BC6151" w:rsidRDefault="005207E9" w:rsidP="005207E9">
      <w:pPr>
        <w:pStyle w:val="SingleTxtG"/>
        <w:rPr>
          <w:lang w:val="fr-FR"/>
        </w:rPr>
      </w:pPr>
      <w:r w:rsidRPr="00BC6151">
        <w:rPr>
          <w:lang w:val="fr-FR"/>
        </w:rPr>
        <w:t>25.</w:t>
      </w:r>
      <w:r w:rsidRPr="00BC6151">
        <w:rPr>
          <w:lang w:val="fr-FR"/>
        </w:rPr>
        <w:tab/>
        <w:t xml:space="preserve">Quelques tendances générales </w:t>
      </w:r>
      <w:r>
        <w:rPr>
          <w:lang w:val="fr-FR"/>
        </w:rPr>
        <w:t>se dégagent</w:t>
      </w:r>
      <w:r w:rsidRPr="00BC6151">
        <w:rPr>
          <w:lang w:val="fr-FR"/>
        </w:rPr>
        <w:t xml:space="preserve"> de l</w:t>
      </w:r>
      <w:r>
        <w:rPr>
          <w:lang w:val="fr-FR"/>
        </w:rPr>
        <w:t>’</w:t>
      </w:r>
      <w:r w:rsidRPr="00BC6151">
        <w:rPr>
          <w:lang w:val="fr-FR"/>
        </w:rPr>
        <w:t>analyse des dynamiques régionales présentée ci-dessus. Premièrement, les niveaux d</w:t>
      </w:r>
      <w:r>
        <w:rPr>
          <w:lang w:val="fr-FR"/>
        </w:rPr>
        <w:t>’</w:t>
      </w:r>
      <w:r w:rsidRPr="00BC6151">
        <w:rPr>
          <w:lang w:val="fr-FR"/>
        </w:rPr>
        <w:t>adhésion varient d</w:t>
      </w:r>
      <w:r>
        <w:rPr>
          <w:lang w:val="fr-FR"/>
        </w:rPr>
        <w:t>’</w:t>
      </w:r>
      <w:r w:rsidRPr="00BC6151">
        <w:rPr>
          <w:lang w:val="fr-FR"/>
        </w:rPr>
        <w:t>une région à l</w:t>
      </w:r>
      <w:r>
        <w:rPr>
          <w:lang w:val="fr-FR"/>
        </w:rPr>
        <w:t>’</w:t>
      </w:r>
      <w:r w:rsidRPr="00BC6151">
        <w:rPr>
          <w:lang w:val="fr-FR"/>
        </w:rPr>
        <w:t>autre. Les</w:t>
      </w:r>
      <w:r w:rsidR="008861C2">
        <w:rPr>
          <w:lang w:val="fr-FR"/>
        </w:rPr>
        <w:t> </w:t>
      </w:r>
      <w:r w:rsidRPr="00BC6151">
        <w:rPr>
          <w:lang w:val="fr-FR"/>
        </w:rPr>
        <w:t>pays de la région de la CEPALC sont à la traîne tant pour les conventions sur le franchissement des frontières que pour celles liées à la sécurité routière, alors que le nombre d</w:t>
      </w:r>
      <w:r>
        <w:rPr>
          <w:lang w:val="fr-FR"/>
        </w:rPr>
        <w:t>’</w:t>
      </w:r>
      <w:r w:rsidRPr="00BC6151">
        <w:rPr>
          <w:lang w:val="fr-FR"/>
        </w:rPr>
        <w:t xml:space="preserve">adhésions par les pays membres de la CESAP semble augmenter de manière plus soutenue au fil des années. Deuxièmement, les adhésions </w:t>
      </w:r>
      <w:r>
        <w:rPr>
          <w:lang w:val="fr-FR"/>
        </w:rPr>
        <w:t xml:space="preserve">de pays non membres de la CEE accusent de manière générale un retard manifeste par rapport à celles des pays de la CEE, en particulier dans les deux domaines essentiels que sont la sécurité routière et la facilitation du franchissement des frontières. </w:t>
      </w:r>
    </w:p>
    <w:p w:rsidR="005207E9" w:rsidRPr="009D699E" w:rsidRDefault="005207E9" w:rsidP="005207E9">
      <w:pPr>
        <w:pStyle w:val="SingleTxtG"/>
        <w:rPr>
          <w:lang w:val="fr-FR"/>
        </w:rPr>
      </w:pPr>
      <w:r w:rsidRPr="00BC6151">
        <w:rPr>
          <w:lang w:val="fr-FR"/>
        </w:rPr>
        <w:t>26.</w:t>
      </w:r>
      <w:r w:rsidRPr="00BC6151">
        <w:rPr>
          <w:lang w:val="fr-FR"/>
        </w:rPr>
        <w:tab/>
        <w:t>I</w:t>
      </w:r>
      <w:r>
        <w:rPr>
          <w:lang w:val="fr-FR"/>
        </w:rPr>
        <w:t xml:space="preserve">l ressort de la présente analyse qu’il est encore tout à fait possible et très urgent de renforcer, dans toutes les régions, l’attrait des conventions qui relèvent du Comité. </w:t>
      </w:r>
      <w:r w:rsidRPr="00D247BB">
        <w:rPr>
          <w:lang w:val="fr-FR"/>
        </w:rPr>
        <w:t>En dépit de l</w:t>
      </w:r>
      <w:r>
        <w:rPr>
          <w:lang w:val="fr-FR"/>
        </w:rPr>
        <w:t>’</w:t>
      </w:r>
      <w:r w:rsidRPr="00D247BB">
        <w:rPr>
          <w:lang w:val="fr-FR"/>
        </w:rPr>
        <w:t>incertitude actuelle concernant l</w:t>
      </w:r>
      <w:r>
        <w:rPr>
          <w:lang w:val="fr-FR"/>
        </w:rPr>
        <w:t>’</w:t>
      </w:r>
      <w:r w:rsidRPr="00D247BB">
        <w:rPr>
          <w:lang w:val="fr-FR"/>
        </w:rPr>
        <w:t>évolution des dynamiques p</w:t>
      </w:r>
      <w:r>
        <w:rPr>
          <w:lang w:val="fr-FR"/>
        </w:rPr>
        <w:t xml:space="preserve">endant la pandémie et après, il ressort des données empiriques que les pays qui ont adhéré à beaucoup de conventions relatives à la sécurité routière sont moins touchés par la crise actuelle de la sécurité routière. </w:t>
      </w:r>
      <w:bookmarkStart w:id="2" w:name="_Hlk59546237"/>
      <w:r w:rsidRPr="009A6E32">
        <w:rPr>
          <w:lang w:val="fr-FR"/>
        </w:rPr>
        <w:t>Quant aux pays qui ont adhéré à beaucoup de conventions sur la facilitation du franchissement des frontières, ils ont mieux géré les flux transfrontières de marchandises pendant la pandémie et après, alors même que nombre d’entre eux ont été durement frappés par la COVID</w:t>
      </w:r>
      <w:r w:rsidR="00903163" w:rsidRPr="009A6E32">
        <w:rPr>
          <w:lang w:val="fr-FR"/>
        </w:rPr>
        <w:noBreakHyphen/>
      </w:r>
      <w:r w:rsidRPr="009A6E32">
        <w:rPr>
          <w:lang w:val="fr-FR"/>
        </w:rPr>
        <w:t>19 (voir aussi ECE/TRANS/2021/13).</w:t>
      </w:r>
      <w:bookmarkStart w:id="3" w:name="_GoBack"/>
      <w:bookmarkEnd w:id="2"/>
      <w:bookmarkEnd w:id="3"/>
    </w:p>
    <w:p w:rsidR="005207E9" w:rsidRPr="00FB2253" w:rsidRDefault="005207E9" w:rsidP="005207E9">
      <w:pPr>
        <w:pStyle w:val="SingleTxtG"/>
        <w:rPr>
          <w:lang w:val="fr-FR"/>
        </w:rPr>
      </w:pPr>
      <w:r w:rsidRPr="00BC6151">
        <w:rPr>
          <w:lang w:val="fr-FR"/>
        </w:rPr>
        <w:t>27.</w:t>
      </w:r>
      <w:r w:rsidRPr="00BC6151">
        <w:rPr>
          <w:lang w:val="fr-FR"/>
        </w:rPr>
        <w:tab/>
      </w:r>
      <w:r>
        <w:rPr>
          <w:lang w:val="fr-FR"/>
        </w:rPr>
        <w:t xml:space="preserve">Au vu de ce qui précède, le Comité </w:t>
      </w:r>
      <w:r w:rsidRPr="00E60F81">
        <w:rPr>
          <w:b/>
          <w:bCs/>
          <w:lang w:val="fr-FR"/>
        </w:rPr>
        <w:t>souhaitera peut-être prendre en co</w:t>
      </w:r>
      <w:r>
        <w:rPr>
          <w:b/>
          <w:bCs/>
          <w:lang w:val="fr-FR"/>
        </w:rPr>
        <w:t>nsidération</w:t>
      </w:r>
      <w:r>
        <w:rPr>
          <w:lang w:val="fr-FR"/>
        </w:rPr>
        <w:t xml:space="preserve"> l’analyse des tendances et dynamiques régionales de l’adhésion aux principaux groupes de conventions et accords des Nations Unies relatifs aux transports intérieurs. </w:t>
      </w:r>
    </w:p>
    <w:p w:rsidR="005207E9" w:rsidRDefault="005207E9" w:rsidP="005207E9">
      <w:pPr>
        <w:pStyle w:val="SingleTxtG"/>
        <w:rPr>
          <w:lang w:val="fr-FR"/>
        </w:rPr>
      </w:pPr>
      <w:r w:rsidRPr="00BC6151">
        <w:rPr>
          <w:lang w:val="fr-FR"/>
        </w:rPr>
        <w:t>28.</w:t>
      </w:r>
      <w:r w:rsidRPr="00BC6151">
        <w:rPr>
          <w:lang w:val="fr-FR"/>
        </w:rPr>
        <w:tab/>
      </w:r>
      <w:r>
        <w:rPr>
          <w:lang w:val="fr-FR"/>
        </w:rPr>
        <w:t>En outre, étant donné</w:t>
      </w:r>
      <w:r w:rsidRPr="00FB2253">
        <w:rPr>
          <w:lang w:val="fr-FR"/>
        </w:rPr>
        <w:t xml:space="preserve"> que l</w:t>
      </w:r>
      <w:r>
        <w:rPr>
          <w:lang w:val="fr-FR"/>
        </w:rPr>
        <w:t>’</w:t>
      </w:r>
      <w:r w:rsidRPr="00FB2253">
        <w:rPr>
          <w:lang w:val="fr-FR"/>
        </w:rPr>
        <w:t>amélioration de la mise en œuvre de ces instruments à l</w:t>
      </w:r>
      <w:r>
        <w:rPr>
          <w:lang w:val="fr-FR"/>
        </w:rPr>
        <w:t>’</w:t>
      </w:r>
      <w:r w:rsidRPr="00FB2253">
        <w:rPr>
          <w:lang w:val="fr-FR"/>
        </w:rPr>
        <w:t>échelle mondiale est l</w:t>
      </w:r>
      <w:r>
        <w:rPr>
          <w:lang w:val="fr-FR"/>
        </w:rPr>
        <w:t>’</w:t>
      </w:r>
      <w:r w:rsidRPr="00FB2253">
        <w:rPr>
          <w:lang w:val="fr-FR"/>
        </w:rPr>
        <w:t>un des principaux éléments de sa stratégie et de sa vision à l</w:t>
      </w:r>
      <w:r>
        <w:rPr>
          <w:lang w:val="fr-FR"/>
        </w:rPr>
        <w:t>’</w:t>
      </w:r>
      <w:r w:rsidRPr="00FB2253">
        <w:rPr>
          <w:lang w:val="fr-FR"/>
        </w:rPr>
        <w:t xml:space="preserve">horizon 2030, </w:t>
      </w:r>
      <w:r>
        <w:rPr>
          <w:lang w:val="fr-FR"/>
        </w:rPr>
        <w:t xml:space="preserve">le Comité </w:t>
      </w:r>
      <w:r w:rsidRPr="00FB2253">
        <w:rPr>
          <w:lang w:val="fr-FR"/>
        </w:rPr>
        <w:t xml:space="preserve">est invité à </w:t>
      </w:r>
      <w:r w:rsidRPr="00FB2253">
        <w:rPr>
          <w:b/>
          <w:bCs/>
          <w:lang w:val="fr-FR"/>
        </w:rPr>
        <w:t>prendre note</w:t>
      </w:r>
      <w:r w:rsidRPr="00FB2253">
        <w:rPr>
          <w:lang w:val="fr-FR"/>
        </w:rPr>
        <w:t xml:space="preserve"> de ces renseignements et, éventuellement, à </w:t>
      </w:r>
      <w:r>
        <w:rPr>
          <w:b/>
          <w:bCs/>
          <w:lang w:val="fr-FR"/>
        </w:rPr>
        <w:t>conseiller le</w:t>
      </w:r>
      <w:r w:rsidRPr="00FB2253">
        <w:rPr>
          <w:b/>
          <w:bCs/>
          <w:lang w:val="fr-FR"/>
        </w:rPr>
        <w:t xml:space="preserve"> secrétariat </w:t>
      </w:r>
      <w:r w:rsidRPr="00FB2253">
        <w:rPr>
          <w:lang w:val="fr-FR"/>
        </w:rPr>
        <w:t xml:space="preserve">sur les moyens de renforcer </w:t>
      </w:r>
      <w:r>
        <w:rPr>
          <w:lang w:val="fr-FR"/>
        </w:rPr>
        <w:t xml:space="preserve">l’adhésion à ces </w:t>
      </w:r>
      <w:r w:rsidRPr="00FB2253">
        <w:rPr>
          <w:lang w:val="fr-FR"/>
        </w:rPr>
        <w:t>instruments</w:t>
      </w:r>
      <w:r>
        <w:rPr>
          <w:lang w:val="fr-FR"/>
        </w:rPr>
        <w:t xml:space="preserve"> et leur mise en œuvre</w:t>
      </w:r>
      <w:r w:rsidRPr="00FB2253">
        <w:rPr>
          <w:lang w:val="fr-FR"/>
        </w:rPr>
        <w:t>.</w:t>
      </w:r>
    </w:p>
    <w:p w:rsidR="00F9573C" w:rsidRPr="005207E9" w:rsidRDefault="005207E9" w:rsidP="005207E9">
      <w:pPr>
        <w:pStyle w:val="SingleTxtG"/>
        <w:spacing w:before="240" w:after="0"/>
        <w:jc w:val="center"/>
        <w:rPr>
          <w:u w:val="single"/>
        </w:rPr>
      </w:pPr>
      <w:r>
        <w:rPr>
          <w:lang w:val="fr-FR"/>
        </w:rPr>
        <w:tab/>
      </w:r>
      <w:r>
        <w:rPr>
          <w:u w:val="single"/>
          <w:lang w:val="fr-FR"/>
        </w:rPr>
        <w:tab/>
      </w:r>
      <w:r>
        <w:rPr>
          <w:u w:val="single"/>
          <w:lang w:val="fr-FR"/>
        </w:rPr>
        <w:tab/>
      </w:r>
      <w:r>
        <w:rPr>
          <w:u w:val="single"/>
          <w:lang w:val="fr-FR"/>
        </w:rPr>
        <w:tab/>
      </w:r>
    </w:p>
    <w:sectPr w:rsidR="00F9573C" w:rsidRPr="005207E9" w:rsidSect="00E6170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1C" w:rsidRDefault="0089541C" w:rsidP="00F95C08">
      <w:pPr>
        <w:spacing w:line="240" w:lineRule="auto"/>
      </w:pPr>
    </w:p>
  </w:endnote>
  <w:endnote w:type="continuationSeparator" w:id="0">
    <w:p w:rsidR="0089541C" w:rsidRPr="00AC3823" w:rsidRDefault="0089541C" w:rsidP="00AC3823">
      <w:pPr>
        <w:pStyle w:val="Pieddepage"/>
      </w:pPr>
    </w:p>
  </w:endnote>
  <w:endnote w:type="continuationNotice" w:id="1">
    <w:p w:rsidR="0089541C" w:rsidRDefault="008954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6" w:rsidRPr="00E61706" w:rsidRDefault="00E61706" w:rsidP="00E61706">
    <w:pPr>
      <w:pStyle w:val="Pieddepage"/>
      <w:tabs>
        <w:tab w:val="right" w:pos="9638"/>
      </w:tabs>
    </w:pPr>
    <w:r w:rsidRPr="00E61706">
      <w:rPr>
        <w:b/>
        <w:sz w:val="18"/>
      </w:rPr>
      <w:fldChar w:fldCharType="begin"/>
    </w:r>
    <w:r w:rsidRPr="00E61706">
      <w:rPr>
        <w:b/>
        <w:sz w:val="18"/>
      </w:rPr>
      <w:instrText xml:space="preserve"> PAGE  \* MERGEFORMAT </w:instrText>
    </w:r>
    <w:r w:rsidRPr="00E61706">
      <w:rPr>
        <w:b/>
        <w:sz w:val="18"/>
      </w:rPr>
      <w:fldChar w:fldCharType="separate"/>
    </w:r>
    <w:r w:rsidRPr="00E61706">
      <w:rPr>
        <w:b/>
        <w:noProof/>
        <w:sz w:val="18"/>
      </w:rPr>
      <w:t>2</w:t>
    </w:r>
    <w:r w:rsidRPr="00E61706">
      <w:rPr>
        <w:b/>
        <w:sz w:val="18"/>
      </w:rPr>
      <w:fldChar w:fldCharType="end"/>
    </w:r>
    <w:r>
      <w:rPr>
        <w:b/>
        <w:sz w:val="18"/>
      </w:rPr>
      <w:tab/>
    </w:r>
    <w:r>
      <w:t>GE.20-17124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6" w:rsidRPr="00E61706" w:rsidRDefault="00E61706" w:rsidP="00E61706">
    <w:pPr>
      <w:pStyle w:val="Pieddepage"/>
      <w:tabs>
        <w:tab w:val="right" w:pos="9638"/>
      </w:tabs>
      <w:rPr>
        <w:b/>
        <w:sz w:val="18"/>
      </w:rPr>
    </w:pPr>
    <w:r>
      <w:t>GE.20-17124</w:t>
    </w:r>
    <w:r>
      <w:tab/>
    </w:r>
    <w:r w:rsidRPr="00E61706">
      <w:rPr>
        <w:b/>
        <w:sz w:val="18"/>
      </w:rPr>
      <w:fldChar w:fldCharType="begin"/>
    </w:r>
    <w:r w:rsidRPr="00E61706">
      <w:rPr>
        <w:b/>
        <w:sz w:val="18"/>
      </w:rPr>
      <w:instrText xml:space="preserve"> PAGE  \* MERGEFORMAT </w:instrText>
    </w:r>
    <w:r w:rsidRPr="00E61706">
      <w:rPr>
        <w:b/>
        <w:sz w:val="18"/>
      </w:rPr>
      <w:fldChar w:fldCharType="separate"/>
    </w:r>
    <w:r w:rsidRPr="00E61706">
      <w:rPr>
        <w:b/>
        <w:noProof/>
        <w:sz w:val="18"/>
      </w:rPr>
      <w:t>3</w:t>
    </w:r>
    <w:r w:rsidRPr="00E617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E61706" w:rsidRDefault="00E61706" w:rsidP="00E6170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20-17124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221220    221220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1C" w:rsidRPr="00AC3823" w:rsidRDefault="0089541C" w:rsidP="00AC3823">
      <w:pPr>
        <w:pStyle w:val="Pieddepage"/>
        <w:tabs>
          <w:tab w:val="right" w:pos="2155"/>
        </w:tabs>
        <w:spacing w:after="80" w:line="240" w:lineRule="atLeast"/>
        <w:ind w:left="680"/>
        <w:rPr>
          <w:u w:val="single"/>
        </w:rPr>
      </w:pPr>
      <w:r>
        <w:rPr>
          <w:u w:val="single"/>
        </w:rPr>
        <w:tab/>
      </w:r>
    </w:p>
  </w:footnote>
  <w:footnote w:type="continuationSeparator" w:id="0">
    <w:p w:rsidR="0089541C" w:rsidRPr="00AC3823" w:rsidRDefault="0089541C" w:rsidP="00AC3823">
      <w:pPr>
        <w:pStyle w:val="Pieddepage"/>
        <w:tabs>
          <w:tab w:val="right" w:pos="2155"/>
        </w:tabs>
        <w:spacing w:after="80" w:line="240" w:lineRule="atLeast"/>
        <w:ind w:left="680"/>
        <w:rPr>
          <w:u w:val="single"/>
        </w:rPr>
      </w:pPr>
      <w:r>
        <w:rPr>
          <w:u w:val="single"/>
        </w:rPr>
        <w:tab/>
      </w:r>
    </w:p>
  </w:footnote>
  <w:footnote w:type="continuationNotice" w:id="1">
    <w:p w:rsidR="0089541C" w:rsidRPr="00AC3823" w:rsidRDefault="0089541C">
      <w:pPr>
        <w:spacing w:line="240" w:lineRule="auto"/>
        <w:rPr>
          <w:sz w:val="2"/>
          <w:szCs w:val="2"/>
        </w:rPr>
      </w:pPr>
    </w:p>
  </w:footnote>
  <w:footnote w:id="2">
    <w:p w:rsidR="005207E9" w:rsidRPr="00682EEC" w:rsidRDefault="005207E9" w:rsidP="005207E9">
      <w:pPr>
        <w:pStyle w:val="Notedebasdepage"/>
        <w:rPr>
          <w:lang w:val="fr-FR"/>
        </w:rPr>
      </w:pPr>
      <w:r>
        <w:tab/>
      </w:r>
      <w:r w:rsidRPr="00EF4D60">
        <w:rPr>
          <w:rStyle w:val="Appelnotedebasdep"/>
        </w:rPr>
        <w:footnoteRef/>
      </w:r>
      <w:r w:rsidRPr="0020232C">
        <w:rPr>
          <w:lang w:val="fr-FR"/>
        </w:rPr>
        <w:t xml:space="preserve"> </w:t>
      </w:r>
      <w:r w:rsidRPr="0020232C">
        <w:rPr>
          <w:lang w:val="fr-FR"/>
        </w:rPr>
        <w:tab/>
      </w:r>
      <w:r w:rsidRPr="0020232C">
        <w:rPr>
          <w:b/>
          <w:bCs/>
          <w:lang w:val="fr-FR"/>
        </w:rPr>
        <w:t>Principales Conventions des Nations Unies relatives à la sécurité routière</w:t>
      </w:r>
      <w:r w:rsidR="00FA1AA4">
        <w:rPr>
          <w:lang w:val="fr-FR"/>
        </w:rPr>
        <w:t> </w:t>
      </w:r>
      <w:r w:rsidRPr="0020232C">
        <w:rPr>
          <w:lang w:val="fr-FR"/>
        </w:rPr>
        <w:t>: Convention de 1949 sur la circulation routière, Convention</w:t>
      </w:r>
      <w:r>
        <w:rPr>
          <w:lang w:val="fr-FR"/>
        </w:rPr>
        <w:t xml:space="preserve"> de 1968 sur la circulation routière, Convention de 1968 sur la signalisation routière, </w:t>
      </w:r>
      <w:r w:rsidRPr="00682EEC">
        <w:rPr>
          <w:lang w:val="fr-FR"/>
        </w:rPr>
        <w:t xml:space="preserve">Accord de 1958 </w:t>
      </w:r>
      <w:r w:rsidR="00FA1AA4">
        <w:rPr>
          <w:lang w:val="fr-FR"/>
        </w:rPr>
        <w:t>−</w:t>
      </w:r>
      <w:r w:rsidRPr="00682EEC">
        <w:rPr>
          <w:lang w:val="fr-FR"/>
        </w:rPr>
        <w:t xml:space="preserve"> Règlements ONU concernant l’homologation de type des véhicules</w:t>
      </w:r>
      <w:r>
        <w:rPr>
          <w:lang w:val="fr-FR"/>
        </w:rPr>
        <w:t xml:space="preserve">, </w:t>
      </w:r>
      <w:r w:rsidRPr="00682EEC">
        <w:rPr>
          <w:lang w:val="fr-FR"/>
        </w:rPr>
        <w:t xml:space="preserve">Accord de 1997 </w:t>
      </w:r>
      <w:r w:rsidR="00FA1AA4">
        <w:rPr>
          <w:lang w:val="fr-FR"/>
        </w:rPr>
        <w:t>−</w:t>
      </w:r>
      <w:r w:rsidRPr="00682EEC">
        <w:rPr>
          <w:lang w:val="fr-FR"/>
        </w:rPr>
        <w:t xml:space="preserve"> Accord concernant l’adoption de conditions uniformes applicables au contrôle technique périodique des véhicules à roues et la reconnaissance réciproque des contrôles</w:t>
      </w:r>
      <w:r>
        <w:rPr>
          <w:lang w:val="fr-FR"/>
        </w:rPr>
        <w:t xml:space="preserve">, </w:t>
      </w:r>
      <w:r w:rsidRPr="00682EEC">
        <w:rPr>
          <w:lang w:val="fr-FR"/>
        </w:rPr>
        <w:t xml:space="preserve">Accord de 1998 </w:t>
      </w:r>
      <w:r w:rsidR="00FA1AA4">
        <w:rPr>
          <w:lang w:val="fr-FR"/>
        </w:rPr>
        <w:t>−</w:t>
      </w:r>
      <w:r w:rsidRPr="00682EEC">
        <w:rPr>
          <w:lang w:val="fr-FR"/>
        </w:rPr>
        <w:t xml:space="preserve"> Règlements techniques mondiaux ONU concernant la construction des véhicules</w:t>
      </w:r>
      <w:r>
        <w:rPr>
          <w:lang w:val="fr-FR"/>
        </w:rPr>
        <w:t xml:space="preserve">, </w:t>
      </w:r>
      <w:r w:rsidRPr="00682EEC">
        <w:rPr>
          <w:lang w:val="fr-FR"/>
        </w:rPr>
        <w:t>Accord européen de 1957 relatif au transport international des marchandises dangereuses par route</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6" w:rsidRPr="00E61706" w:rsidRDefault="00971FBA">
    <w:pPr>
      <w:pStyle w:val="En-tte"/>
    </w:pPr>
    <w:r>
      <w:fldChar w:fldCharType="begin"/>
    </w:r>
    <w:r>
      <w:instrText xml:space="preserve"> TITLE  \* MERGEFORMAT </w:instrText>
    </w:r>
    <w:r>
      <w:fldChar w:fldCharType="separate"/>
    </w:r>
    <w:r w:rsidR="00E61706">
      <w:t>ECE/TRANS/2021/12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706" w:rsidRPr="00E61706" w:rsidRDefault="00971FBA" w:rsidP="00E61706">
    <w:pPr>
      <w:pStyle w:val="En-tte"/>
      <w:jc w:val="right"/>
    </w:pPr>
    <w:r>
      <w:fldChar w:fldCharType="begin"/>
    </w:r>
    <w:r>
      <w:instrText xml:space="preserve"> TITLE  \* MERGEFORMAT </w:instrText>
    </w:r>
    <w:r>
      <w:fldChar w:fldCharType="separate"/>
    </w:r>
    <w:r w:rsidR="00E61706">
      <w:t>ECE/TRANS/2021/12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1C"/>
    <w:rsid w:val="00017F94"/>
    <w:rsid w:val="00023842"/>
    <w:rsid w:val="000334F9"/>
    <w:rsid w:val="00045FEB"/>
    <w:rsid w:val="0007796D"/>
    <w:rsid w:val="000A0AE5"/>
    <w:rsid w:val="000B7790"/>
    <w:rsid w:val="00111F2F"/>
    <w:rsid w:val="0014365E"/>
    <w:rsid w:val="00143C66"/>
    <w:rsid w:val="00176178"/>
    <w:rsid w:val="001F525A"/>
    <w:rsid w:val="00201148"/>
    <w:rsid w:val="00223272"/>
    <w:rsid w:val="0024779E"/>
    <w:rsid w:val="00257168"/>
    <w:rsid w:val="002744B8"/>
    <w:rsid w:val="002832AC"/>
    <w:rsid w:val="002B7E02"/>
    <w:rsid w:val="002D7C93"/>
    <w:rsid w:val="00305801"/>
    <w:rsid w:val="00324569"/>
    <w:rsid w:val="003405EF"/>
    <w:rsid w:val="003916DE"/>
    <w:rsid w:val="003A0BBF"/>
    <w:rsid w:val="003C5FD3"/>
    <w:rsid w:val="00421996"/>
    <w:rsid w:val="00441C3B"/>
    <w:rsid w:val="00446FE5"/>
    <w:rsid w:val="00452396"/>
    <w:rsid w:val="00462B9D"/>
    <w:rsid w:val="00477EB2"/>
    <w:rsid w:val="004837D8"/>
    <w:rsid w:val="004D454C"/>
    <w:rsid w:val="004E2EED"/>
    <w:rsid w:val="004E3B1B"/>
    <w:rsid w:val="004E468C"/>
    <w:rsid w:val="005207E9"/>
    <w:rsid w:val="0052241E"/>
    <w:rsid w:val="00535216"/>
    <w:rsid w:val="005505B7"/>
    <w:rsid w:val="00573BE5"/>
    <w:rsid w:val="005839E6"/>
    <w:rsid w:val="00586ED3"/>
    <w:rsid w:val="00596AA9"/>
    <w:rsid w:val="005B7995"/>
    <w:rsid w:val="006A2026"/>
    <w:rsid w:val="0070581D"/>
    <w:rsid w:val="0071601D"/>
    <w:rsid w:val="007A62E6"/>
    <w:rsid w:val="007F20FA"/>
    <w:rsid w:val="0080684C"/>
    <w:rsid w:val="0084386E"/>
    <w:rsid w:val="008445F9"/>
    <w:rsid w:val="00847147"/>
    <w:rsid w:val="00871C75"/>
    <w:rsid w:val="008776DC"/>
    <w:rsid w:val="008861C2"/>
    <w:rsid w:val="0089541C"/>
    <w:rsid w:val="008D5EF9"/>
    <w:rsid w:val="008E2A2A"/>
    <w:rsid w:val="008E2B59"/>
    <w:rsid w:val="008F06CF"/>
    <w:rsid w:val="00903163"/>
    <w:rsid w:val="00934F58"/>
    <w:rsid w:val="009446C0"/>
    <w:rsid w:val="009705C8"/>
    <w:rsid w:val="009A6E32"/>
    <w:rsid w:val="009C0164"/>
    <w:rsid w:val="009C1CF4"/>
    <w:rsid w:val="009E2F58"/>
    <w:rsid w:val="009F6B74"/>
    <w:rsid w:val="00A174D9"/>
    <w:rsid w:val="00A3029F"/>
    <w:rsid w:val="00A30353"/>
    <w:rsid w:val="00A33D6C"/>
    <w:rsid w:val="00A514BE"/>
    <w:rsid w:val="00AC3823"/>
    <w:rsid w:val="00AE323C"/>
    <w:rsid w:val="00AF0CB5"/>
    <w:rsid w:val="00B00181"/>
    <w:rsid w:val="00B00B0D"/>
    <w:rsid w:val="00B45F2E"/>
    <w:rsid w:val="00B765F7"/>
    <w:rsid w:val="00B77993"/>
    <w:rsid w:val="00BA0CA9"/>
    <w:rsid w:val="00C02897"/>
    <w:rsid w:val="00C070EC"/>
    <w:rsid w:val="00C961F2"/>
    <w:rsid w:val="00C97039"/>
    <w:rsid w:val="00CA0270"/>
    <w:rsid w:val="00D3439C"/>
    <w:rsid w:val="00D7622E"/>
    <w:rsid w:val="00DB1831"/>
    <w:rsid w:val="00DB1E19"/>
    <w:rsid w:val="00DD3BFD"/>
    <w:rsid w:val="00DF6678"/>
    <w:rsid w:val="00E0299A"/>
    <w:rsid w:val="00E61706"/>
    <w:rsid w:val="00E85C74"/>
    <w:rsid w:val="00EA6547"/>
    <w:rsid w:val="00EB0101"/>
    <w:rsid w:val="00ED7237"/>
    <w:rsid w:val="00EE6DBE"/>
    <w:rsid w:val="00EF2E22"/>
    <w:rsid w:val="00F35BAF"/>
    <w:rsid w:val="00F660DF"/>
    <w:rsid w:val="00F8784F"/>
    <w:rsid w:val="00F94664"/>
    <w:rsid w:val="00F9573C"/>
    <w:rsid w:val="00F95C08"/>
    <w:rsid w:val="00FA004E"/>
    <w:rsid w:val="00FA1AA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29D73A"/>
  <w15:docId w15:val="{4C6355B2-D685-4E4E-A124-10AA6CDA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paragraph" w:styleId="Paragraphedeliste">
    <w:name w:val="List Paragraph"/>
    <w:basedOn w:val="Normal"/>
    <w:uiPriority w:val="34"/>
    <w:qFormat/>
    <w:rsid w:val="005207E9"/>
    <w:pPr>
      <w:ind w:left="720"/>
      <w:contextualSpacing/>
    </w:pPr>
  </w:style>
  <w:style w:type="character" w:customStyle="1" w:styleId="SingleTxtGChar">
    <w:name w:val="_ Single Txt_G Char"/>
    <w:link w:val="SingleTxtG"/>
    <w:qFormat/>
    <w:rsid w:val="005207E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ece.org/fr/list-agreem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5</Pages>
  <Words>2196</Words>
  <Characters>12080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ECE/TRANS/2021/12</vt:lpstr>
    </vt:vector>
  </TitlesOfParts>
  <Company>DCM</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ECE/TRANS/2021/12</dc:title>
  <dc:subject/>
  <dc:creator>Nathalie VITTOZ</dc:creator>
  <cp:keywords/>
  <cp:lastModifiedBy>Nathalie Vittoz</cp:lastModifiedBy>
  <cp:revision>2</cp:revision>
  <cp:lastPrinted>2014-05-14T10:59:00Z</cp:lastPrinted>
  <dcterms:created xsi:type="dcterms:W3CDTF">2020-12-22T15:26:00Z</dcterms:created>
  <dcterms:modified xsi:type="dcterms:W3CDTF">2020-12-22T15:26:00Z</dcterms:modified>
</cp:coreProperties>
</file>