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86CA0" w14:paraId="1865FFBE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76D212" w14:textId="77777777" w:rsidR="00986CA0" w:rsidRPr="00986CA0" w:rsidRDefault="00986CA0" w:rsidP="00986CA0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986CA0">
              <w:rPr>
                <w:sz w:val="40"/>
                <w:lang w:val="en-US"/>
              </w:rPr>
              <w:t>E</w:t>
            </w:r>
            <w:r w:rsidRPr="00986CA0">
              <w:rPr>
                <w:lang w:val="en-US"/>
              </w:rPr>
              <w:t>/ECE/324/Rev.1/Add.73/Rev.2/Amend.6−</w:t>
            </w:r>
            <w:r w:rsidRPr="00986CA0">
              <w:rPr>
                <w:sz w:val="40"/>
                <w:lang w:val="en-US"/>
              </w:rPr>
              <w:t>E</w:t>
            </w:r>
            <w:r w:rsidRPr="00986CA0">
              <w:rPr>
                <w:lang w:val="en-US"/>
              </w:rPr>
              <w:t>/ECE/TRANS/505/Rev.1/Add.73/Rev.2/Amend.6</w:t>
            </w:r>
          </w:p>
        </w:tc>
      </w:tr>
      <w:tr w:rsidR="00421A10" w:rsidRPr="00DB58B5" w14:paraId="286C8D50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10D19A" w14:textId="77777777" w:rsidR="00421A10" w:rsidRPr="00986CA0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45AF8D" w14:textId="77777777" w:rsidR="00421A10" w:rsidRPr="00DB58B5" w:rsidRDefault="00986CA0" w:rsidP="00A27C92">
            <w:pPr>
              <w:spacing w:before="480" w:line="240" w:lineRule="exact"/>
            </w:pPr>
            <w:r>
              <w:t>1 juillet 2020</w:t>
            </w:r>
          </w:p>
        </w:tc>
      </w:tr>
    </w:tbl>
    <w:p w14:paraId="67760EC7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3721C488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</w:t>
      </w:r>
      <w:r w:rsidR="00986CA0">
        <w:t xml:space="preserve"> </w:t>
      </w:r>
      <w:r w:rsidR="00986CA0" w:rsidRPr="00BD0091">
        <w:t xml:space="preserve">de Règlements techniques harmonisés </w:t>
      </w:r>
      <w:r w:rsidR="001F5C95">
        <w:br/>
      </w:r>
      <w:r w:rsidR="00986CA0" w:rsidRPr="00BD0091">
        <w:t>de l</w:t>
      </w:r>
      <w:r w:rsidR="00986CA0">
        <w:t>’</w:t>
      </w:r>
      <w:r w:rsidR="00986CA0" w:rsidRPr="00BD0091">
        <w:t xml:space="preserve">ONU applicables aux véhicules à roues et aux équipements </w:t>
      </w:r>
      <w:r w:rsidR="001F5C95">
        <w:br/>
      </w:r>
      <w:r w:rsidR="00986CA0" w:rsidRPr="00BD0091">
        <w:t>et pièces susceptibles d</w:t>
      </w:r>
      <w:r w:rsidR="00986CA0">
        <w:t>’</w:t>
      </w:r>
      <w:r w:rsidR="00986CA0" w:rsidRPr="00BD0091">
        <w:t xml:space="preserve">être montés ou utilisés sur les véhicules </w:t>
      </w:r>
      <w:r w:rsidR="001F5C95">
        <w:br/>
      </w:r>
      <w:r w:rsidR="00986CA0" w:rsidRPr="00BD0091">
        <w:t>à roues et les</w:t>
      </w:r>
      <w:r w:rsidR="001F5C95">
        <w:t xml:space="preserve"> </w:t>
      </w:r>
      <w:r w:rsidR="00986CA0" w:rsidRPr="00BD0091">
        <w:rPr>
          <w:iCs/>
        </w:rPr>
        <w:t>conditions</w:t>
      </w:r>
      <w:r w:rsidR="001F5C95">
        <w:t xml:space="preserve"> </w:t>
      </w:r>
      <w:r w:rsidR="00986CA0" w:rsidRPr="00BD0091">
        <w:t>de reconnaissance réciproque des homologations délivrées conformément à ces Règlements</w:t>
      </w:r>
      <w:r w:rsidR="00986CA0" w:rsidRPr="00986CA0">
        <w:rPr>
          <w:b w:val="0"/>
          <w:bCs/>
        </w:rPr>
        <w:footnoteReference w:customMarkFollows="1" w:id="2"/>
        <w:t>*</w:t>
      </w:r>
    </w:p>
    <w:p w14:paraId="257D5FE3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986CA0" w:rsidRPr="00782EA4">
        <w:t xml:space="preserve">3, </w:t>
      </w:r>
      <w:r w:rsidR="00986CA0" w:rsidRPr="00320F0A">
        <w:t>comprenant les amendements entrés en vigueur le 14 septembre 2017</w:t>
      </w:r>
      <w:r w:rsidRPr="006549FF">
        <w:t>)</w:t>
      </w:r>
    </w:p>
    <w:p w14:paraId="55D45012" w14:textId="77777777" w:rsidR="00421A10" w:rsidRPr="006549FF" w:rsidRDefault="0029791D" w:rsidP="0029791D">
      <w:pPr>
        <w:jc w:val="center"/>
      </w:pPr>
      <w:r>
        <w:t>_______________</w:t>
      </w:r>
    </w:p>
    <w:p w14:paraId="4D109CC1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986CA0">
        <w:t>73 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986CA0">
        <w:t>74</w:t>
      </w:r>
    </w:p>
    <w:p w14:paraId="115A6644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986CA0" w:rsidRPr="00782EA4">
        <w:t>2 - Amend</w:t>
      </w:r>
      <w:r w:rsidR="00986CA0">
        <w:t>e</w:t>
      </w:r>
      <w:r w:rsidR="00986CA0" w:rsidRPr="00782EA4">
        <w:t xml:space="preserve">ment </w:t>
      </w:r>
      <w:r w:rsidR="00986CA0">
        <w:t>6</w:t>
      </w:r>
    </w:p>
    <w:p w14:paraId="5412037D" w14:textId="77777777" w:rsidR="00986CA0" w:rsidRDefault="00986CA0" w:rsidP="00986CA0">
      <w:pPr>
        <w:pStyle w:val="SingleTxtG"/>
      </w:pPr>
      <w:r w:rsidRPr="00986CA0">
        <w:t>Complément 12 à la série 01 d’amendements – Date d’entrée en vigueur</w:t>
      </w:r>
      <w:r w:rsidR="00E57E3F">
        <w:t> </w:t>
      </w:r>
      <w:r w:rsidRPr="00986CA0">
        <w:t xml:space="preserve">: </w:t>
      </w:r>
      <w:r w:rsidRPr="00782EA4">
        <w:t xml:space="preserve">29 </w:t>
      </w:r>
      <w:r>
        <w:t>mai</w:t>
      </w:r>
      <w:r w:rsidRPr="00782EA4">
        <w:t xml:space="preserve"> 2020</w:t>
      </w:r>
    </w:p>
    <w:p w14:paraId="521CA282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986CA0" w:rsidRPr="00320F0A">
        <w:rPr>
          <w:spacing w:val="-2"/>
        </w:rPr>
        <w:t>à l</w:t>
      </w:r>
      <w:r w:rsidR="00986CA0">
        <w:rPr>
          <w:spacing w:val="-2"/>
        </w:rPr>
        <w:t>’</w:t>
      </w:r>
      <w:r w:rsidR="00986CA0" w:rsidRPr="00320F0A">
        <w:rPr>
          <w:spacing w:val="-2"/>
        </w:rPr>
        <w:t xml:space="preserve">homologation des véhicules </w:t>
      </w:r>
      <w:r w:rsidR="001F5C95">
        <w:rPr>
          <w:spacing w:val="-2"/>
        </w:rPr>
        <w:br/>
      </w:r>
      <w:r w:rsidR="00986CA0" w:rsidRPr="00320F0A">
        <w:rPr>
          <w:spacing w:val="-2"/>
        </w:rPr>
        <w:t>de catégorie</w:t>
      </w:r>
      <w:r w:rsidR="001F5C95">
        <w:rPr>
          <w:spacing w:val="-2"/>
        </w:rPr>
        <w:t xml:space="preserve"> </w:t>
      </w:r>
      <w:r w:rsidR="00986CA0" w:rsidRPr="00320F0A">
        <w:rPr>
          <w:iCs/>
          <w:spacing w:val="-2"/>
        </w:rPr>
        <w:t>L1</w:t>
      </w:r>
      <w:r w:rsidR="001F5C95">
        <w:rPr>
          <w:spacing w:val="-2"/>
        </w:rPr>
        <w:t xml:space="preserve"> </w:t>
      </w:r>
      <w:r w:rsidR="00986CA0" w:rsidRPr="00320F0A">
        <w:rPr>
          <w:spacing w:val="-2"/>
        </w:rPr>
        <w:t>en ce qui concerne l</w:t>
      </w:r>
      <w:r w:rsidR="00986CA0">
        <w:rPr>
          <w:spacing w:val="-2"/>
        </w:rPr>
        <w:t>’</w:t>
      </w:r>
      <w:r w:rsidR="00986CA0" w:rsidRPr="00320F0A">
        <w:rPr>
          <w:iCs/>
          <w:spacing w:val="-2"/>
        </w:rPr>
        <w:t>installation</w:t>
      </w:r>
      <w:r w:rsidR="001F5C95">
        <w:rPr>
          <w:spacing w:val="-2"/>
        </w:rPr>
        <w:t xml:space="preserve"> </w:t>
      </w:r>
      <w:r w:rsidR="00986CA0" w:rsidRPr="00320F0A">
        <w:rPr>
          <w:spacing w:val="-2"/>
        </w:rPr>
        <w:t>des dispositifs d</w:t>
      </w:r>
      <w:r w:rsidR="00986CA0">
        <w:rPr>
          <w:spacing w:val="-2"/>
        </w:rPr>
        <w:t>’</w:t>
      </w:r>
      <w:r w:rsidR="00986CA0" w:rsidRPr="00320F0A">
        <w:rPr>
          <w:spacing w:val="-2"/>
        </w:rPr>
        <w:t>éclairage et de signalisation lumineuse</w:t>
      </w:r>
    </w:p>
    <w:p w14:paraId="2F9335BC" w14:textId="77777777" w:rsidR="00986CA0" w:rsidRPr="00986CA0" w:rsidRDefault="00986CA0" w:rsidP="00986CA0">
      <w:pPr>
        <w:pStyle w:val="SingleTxtG"/>
        <w:rPr>
          <w:spacing w:val="-2"/>
        </w:rPr>
      </w:pPr>
      <w:r w:rsidRPr="00986CA0">
        <w:rPr>
          <w:spacing w:val="-2"/>
        </w:rPr>
        <w:t>Le présent document est communiqué uniquement à titre d’information. Le texte authentique, juridiquement contraignant, est celui du document</w:t>
      </w:r>
      <w:r w:rsidRPr="00986CA0">
        <w:rPr>
          <w:spacing w:val="-2"/>
        </w:rPr>
        <w:t xml:space="preserve"> </w:t>
      </w:r>
      <w:r w:rsidRPr="00986CA0">
        <w:rPr>
          <w:spacing w:val="-2"/>
          <w:lang w:eastAsia="en-GB"/>
        </w:rPr>
        <w:t>ECE/TRANS/WP.29/2019/87.</w:t>
      </w:r>
    </w:p>
    <w:p w14:paraId="3D814557" w14:textId="77777777" w:rsidR="00986CA0" w:rsidRDefault="00986CA0" w:rsidP="005F0207"/>
    <w:p w14:paraId="234DDE7E" w14:textId="77777777" w:rsidR="00986CA0" w:rsidRDefault="00986CA0" w:rsidP="005F0207"/>
    <w:p w14:paraId="7D5D50FA" w14:textId="77777777" w:rsidR="00986CA0" w:rsidRDefault="00986CA0" w:rsidP="005F0207"/>
    <w:p w14:paraId="7FF8726A" w14:textId="77777777" w:rsidR="00986CA0" w:rsidRDefault="00986CA0" w:rsidP="005F0207"/>
    <w:p w14:paraId="794A466A" w14:textId="77777777" w:rsidR="00986CA0" w:rsidRDefault="00986CA0" w:rsidP="005F0207"/>
    <w:p w14:paraId="317C3EBB" w14:textId="77777777" w:rsidR="00986CA0" w:rsidRDefault="00986CA0" w:rsidP="005F0207"/>
    <w:p w14:paraId="067F46E8" w14:textId="77777777" w:rsidR="00986CA0" w:rsidRDefault="00986CA0" w:rsidP="005F0207"/>
    <w:p w14:paraId="5BCFE3E2" w14:textId="77777777" w:rsidR="00986CA0" w:rsidRDefault="00442E31" w:rsidP="005F0207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53CCE" wp14:editId="60CA4BCD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7A56B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4AF1F0A2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F816CFD" wp14:editId="233F35A0">
                                  <wp:extent cx="914400" cy="77152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A94CF2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53CC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6BD7A56B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4AF1F0A2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F816CFD" wp14:editId="233F35A0">
                            <wp:extent cx="914400" cy="77152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A94CF2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1663861" w14:textId="77777777" w:rsidR="00986CA0" w:rsidRPr="003A62CA" w:rsidRDefault="00986CA0" w:rsidP="00986CA0">
      <w:pPr>
        <w:pStyle w:val="SingleTxtG"/>
      </w:pPr>
      <w:r w:rsidRPr="00986CA0">
        <w:rPr>
          <w:i/>
          <w:iCs/>
          <w:lang w:val="fr-FR"/>
        </w:rPr>
        <w:lastRenderedPageBreak/>
        <w:t>Paragraphe 3.2.5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598DD4ED" w14:textId="77777777" w:rsidR="00986CA0" w:rsidRPr="004B3117" w:rsidRDefault="00986CA0" w:rsidP="00986CA0">
      <w:pPr>
        <w:pStyle w:val="SingleTxtG"/>
        <w:ind w:left="2268" w:hanging="1134"/>
        <w:rPr>
          <w:strike/>
        </w:rPr>
      </w:pPr>
      <w:r>
        <w:rPr>
          <w:lang w:val="fr-FR"/>
        </w:rPr>
        <w:t>« 3.2.5</w:t>
      </w:r>
      <w:r>
        <w:rPr>
          <w:lang w:val="fr-FR"/>
        </w:rPr>
        <w:tab/>
        <w:t>La demande d’homologation doit préciser la méthode utilisée pour la définition de la surface apparente (voir par. 2.6)</w:t>
      </w:r>
      <w:r>
        <w:rPr>
          <w:lang w:val="fr-FR"/>
        </w:rPr>
        <w:t> </w:t>
      </w:r>
      <w:r>
        <w:rPr>
          <w:lang w:val="fr-FR"/>
        </w:rPr>
        <w:t>;</w:t>
      </w:r>
      <w:r>
        <w:rPr>
          <w:lang w:val="fr-FR"/>
        </w:rPr>
        <w:t> </w:t>
      </w:r>
      <w:r>
        <w:rPr>
          <w:lang w:val="fr-FR"/>
        </w:rPr>
        <w:t>».</w:t>
      </w:r>
    </w:p>
    <w:p w14:paraId="312E7352" w14:textId="77777777" w:rsidR="00986CA0" w:rsidRPr="003A62CA" w:rsidRDefault="00986CA0" w:rsidP="00986CA0">
      <w:pPr>
        <w:pStyle w:val="SingleTxtG"/>
      </w:pPr>
      <w:r>
        <w:rPr>
          <w:i/>
          <w:iCs/>
          <w:lang w:val="fr-FR"/>
        </w:rPr>
        <w:t>Ajouter un nouveau paragraphe 3.2.6</w:t>
      </w:r>
      <w:r>
        <w:rPr>
          <w:lang w:val="fr-FR"/>
        </w:rPr>
        <w:t>, libellé comme suit</w:t>
      </w:r>
      <w:r>
        <w:rPr>
          <w:lang w:val="fr-FR"/>
        </w:rPr>
        <w:t> </w:t>
      </w:r>
      <w:r>
        <w:rPr>
          <w:lang w:val="fr-FR"/>
        </w:rPr>
        <w:t>:</w:t>
      </w:r>
    </w:p>
    <w:p w14:paraId="5E0AE7DB" w14:textId="77777777" w:rsidR="00986CA0" w:rsidRPr="004B3117" w:rsidRDefault="00986CA0" w:rsidP="00986CA0">
      <w:pPr>
        <w:pStyle w:val="SingleTxtG"/>
        <w:ind w:left="2268" w:hanging="1134"/>
        <w:rPr>
          <w:bCs/>
        </w:rPr>
      </w:pPr>
      <w:r>
        <w:rPr>
          <w:lang w:val="fr-FR"/>
        </w:rPr>
        <w:t>«</w:t>
      </w:r>
      <w:r>
        <w:rPr>
          <w:lang w:val="fr-FR"/>
        </w:rPr>
        <w:t> </w:t>
      </w:r>
      <w:r>
        <w:rPr>
          <w:lang w:val="fr-FR"/>
        </w:rPr>
        <w:t>3.2.6</w:t>
      </w:r>
      <w:r>
        <w:rPr>
          <w:lang w:val="fr-FR"/>
        </w:rPr>
        <w:tab/>
        <w:t>À la discrétion du constructeur, une déclaration indiquant s’il est autorisé ou non d’installer sur le véhicule des feux homologués pour être équipés de sources lumineuses à DEL de substitution, et qui en sont équipés ; dans l’affirmative, préciser les types de feux concernés. ».</w:t>
      </w:r>
    </w:p>
    <w:p w14:paraId="636D98F1" w14:textId="77777777" w:rsidR="00986CA0" w:rsidRPr="003A62CA" w:rsidRDefault="00986CA0" w:rsidP="00986CA0">
      <w:pPr>
        <w:pStyle w:val="SingleTxtG"/>
      </w:pPr>
      <w:r>
        <w:rPr>
          <w:i/>
          <w:iCs/>
          <w:lang w:val="fr-FR"/>
        </w:rPr>
        <w:t>Ajouter un nouveau paragraphe 5.20</w:t>
      </w:r>
      <w:r>
        <w:rPr>
          <w:lang w:val="fr-FR"/>
        </w:rPr>
        <w:t>, libellé comme suit</w:t>
      </w:r>
      <w:r>
        <w:rPr>
          <w:lang w:val="fr-FR"/>
        </w:rPr>
        <w:t> </w:t>
      </w:r>
      <w:r>
        <w:rPr>
          <w:lang w:val="fr-FR"/>
        </w:rPr>
        <w:t>:</w:t>
      </w:r>
    </w:p>
    <w:p w14:paraId="7E915453" w14:textId="77777777" w:rsidR="00986CA0" w:rsidRPr="004B3117" w:rsidRDefault="00986CA0" w:rsidP="00986CA0">
      <w:pPr>
        <w:pStyle w:val="SingleTxtG"/>
        <w:ind w:left="2268" w:hanging="1134"/>
      </w:pPr>
      <w:r>
        <w:rPr>
          <w:lang w:val="fr-FR"/>
        </w:rPr>
        <w:t>«</w:t>
      </w:r>
      <w:r>
        <w:rPr>
          <w:lang w:val="fr-FR"/>
        </w:rPr>
        <w:t> </w:t>
      </w:r>
      <w:r>
        <w:rPr>
          <w:lang w:val="fr-FR"/>
        </w:rPr>
        <w:t>5.20</w:t>
      </w:r>
      <w:r>
        <w:rPr>
          <w:lang w:val="fr-FR"/>
        </w:rPr>
        <w:tab/>
      </w:r>
      <w:r>
        <w:rPr>
          <w:lang w:val="fr-FR"/>
        </w:rPr>
        <w:tab/>
        <w:t>L’utilisation de feux homologués pour être équipés de sources lumineuses à DEL de substitution, et qui en sont équipés, est autorisée uniquement lorsqu’il est répondu positivement à la question du paragraphe 3.2.6.</w:t>
      </w:r>
    </w:p>
    <w:p w14:paraId="285D013E" w14:textId="77777777" w:rsidR="00986CA0" w:rsidRPr="004B3117" w:rsidRDefault="00986CA0" w:rsidP="00986CA0">
      <w:pPr>
        <w:pStyle w:val="SingleTxtG"/>
        <w:ind w:left="2268"/>
      </w:pPr>
      <w:r>
        <w:rPr>
          <w:lang w:val="fr-FR"/>
        </w:rPr>
        <w:t>Pour vérifier que cette déclaration est suivie d’effets, il faut contrôler la présence sur les feux de la marque relative à l’utilisation de sources lumineuses à DEL de substitution, tant au stade de l’homologation de type qu’à celui de la vérification de la conformité de la production. ».</w:t>
      </w:r>
    </w:p>
    <w:p w14:paraId="13058290" w14:textId="77777777" w:rsidR="00986CA0" w:rsidRDefault="00986CA0" w:rsidP="00986CA0">
      <w:pPr>
        <w:pStyle w:val="SingleTxtG"/>
        <w:rPr>
          <w:i/>
        </w:rPr>
      </w:pPr>
      <w:r>
        <w:rPr>
          <w:i/>
          <w:iCs/>
          <w:lang w:val="fr-FR"/>
        </w:rPr>
        <w:t>Annexe 1,</w:t>
      </w:r>
    </w:p>
    <w:p w14:paraId="556E9C63" w14:textId="77777777" w:rsidR="00986CA0" w:rsidRPr="004F2217" w:rsidRDefault="00986CA0" w:rsidP="00986CA0">
      <w:pPr>
        <w:pStyle w:val="SingleTxtG"/>
      </w:pPr>
      <w:r>
        <w:rPr>
          <w:i/>
          <w:iCs/>
          <w:lang w:val="fr-FR"/>
        </w:rPr>
        <w:t>Ajouter un nouveau point 5.12 et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une nouvelle note de bas de page 5</w:t>
      </w:r>
      <w:r>
        <w:rPr>
          <w:lang w:val="fr-FR"/>
        </w:rPr>
        <w:t>, libellés comme suit :</w:t>
      </w:r>
    </w:p>
    <w:p w14:paraId="0F726626" w14:textId="77777777" w:rsidR="00986CA0" w:rsidRDefault="00986CA0" w:rsidP="00986CA0">
      <w:pPr>
        <w:pStyle w:val="SingleTxtG"/>
        <w:ind w:left="2268" w:hanging="1134"/>
        <w:rPr>
          <w:vertAlign w:val="superscript"/>
          <w:lang w:val="fr-FR"/>
        </w:rPr>
      </w:pPr>
      <w:r>
        <w:rPr>
          <w:lang w:val="fr-FR"/>
        </w:rPr>
        <w:t>«</w:t>
      </w:r>
      <w:r>
        <w:rPr>
          <w:lang w:val="fr-FR"/>
        </w:rPr>
        <w:t> </w:t>
      </w:r>
      <w:r>
        <w:rPr>
          <w:lang w:val="fr-FR"/>
        </w:rPr>
        <w:t>5.12</w:t>
      </w:r>
      <w:r>
        <w:rPr>
          <w:lang w:val="fr-FR"/>
        </w:rPr>
        <w:tab/>
        <w:t>Feux homologués pour être équipés de sources lumineuses à DEL de substitution, et qui en sont équipés, autorisés sur ce type de véhicule : oui/non</w:t>
      </w:r>
      <w:r w:rsidRPr="00755C6F">
        <w:rPr>
          <w:sz w:val="18"/>
          <w:szCs w:val="18"/>
          <w:vertAlign w:val="superscript"/>
          <w:lang w:val="fr-FR"/>
        </w:rPr>
        <w:t>2</w:t>
      </w:r>
      <w:r>
        <w:rPr>
          <w:vertAlign w:val="superscript"/>
          <w:lang w:val="fr-FR"/>
        </w:rPr>
        <w:t xml:space="preserve">, </w:t>
      </w:r>
      <w:r w:rsidR="001F5C95" w:rsidRPr="00755C6F">
        <w:rPr>
          <w:sz w:val="18"/>
          <w:szCs w:val="18"/>
          <w:vertAlign w:val="superscript"/>
          <w:lang w:val="fr-FR"/>
        </w:rPr>
        <w:t>5</w:t>
      </w:r>
    </w:p>
    <w:p w14:paraId="32C56DA9" w14:textId="77777777" w:rsidR="00986CA0" w:rsidRPr="001F5C95" w:rsidRDefault="00986CA0" w:rsidP="00986CA0">
      <w:pPr>
        <w:tabs>
          <w:tab w:val="right" w:pos="8505"/>
        </w:tabs>
        <w:spacing w:after="120"/>
        <w:ind w:left="2268" w:right="1134" w:hanging="1134"/>
        <w:jc w:val="both"/>
        <w:rPr>
          <w:u w:val="dotted"/>
        </w:rPr>
      </w:pPr>
      <w:r w:rsidRPr="001F5C95">
        <w:tab/>
      </w:r>
      <w:r w:rsidRPr="004B3117">
        <w:rPr>
          <w:u w:val="dotted"/>
        </w:rPr>
        <w:tab/>
      </w:r>
    </w:p>
    <w:p w14:paraId="5B0CCC87" w14:textId="77777777" w:rsidR="005F0207" w:rsidRDefault="00986CA0" w:rsidP="00986CA0">
      <w:pPr>
        <w:ind w:left="2268"/>
        <w:rPr>
          <w:lang w:val="fr-FR"/>
        </w:rPr>
      </w:pPr>
      <w:r w:rsidRPr="00755C6F">
        <w:rPr>
          <w:sz w:val="18"/>
          <w:szCs w:val="18"/>
          <w:vertAlign w:val="superscript"/>
          <w:lang w:val="fr-FR"/>
        </w:rPr>
        <w:t>5</w:t>
      </w:r>
      <w:r>
        <w:rPr>
          <w:lang w:val="fr-FR"/>
        </w:rPr>
        <w:tab/>
      </w:r>
      <w:r w:rsidRPr="00E9351B">
        <w:rPr>
          <w:sz w:val="18"/>
          <w:szCs w:val="18"/>
          <w:lang w:val="fr-FR"/>
        </w:rPr>
        <w:t>Dans l</w:t>
      </w:r>
      <w:r>
        <w:rPr>
          <w:sz w:val="18"/>
          <w:szCs w:val="18"/>
          <w:lang w:val="fr-FR"/>
        </w:rPr>
        <w:t>’</w:t>
      </w:r>
      <w:r w:rsidRPr="00E9351B">
        <w:rPr>
          <w:sz w:val="18"/>
          <w:szCs w:val="18"/>
          <w:lang w:val="fr-FR"/>
        </w:rPr>
        <w:t>affirmative, donner la liste des feux utilisables.</w:t>
      </w:r>
      <w:r>
        <w:rPr>
          <w:lang w:val="fr-FR"/>
        </w:rPr>
        <w:t> ».</w:t>
      </w:r>
    </w:p>
    <w:p w14:paraId="150F329C" w14:textId="77777777" w:rsidR="00986CA0" w:rsidRPr="00986CA0" w:rsidRDefault="00986CA0" w:rsidP="00986CA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86CA0" w:rsidRPr="00986CA0" w:rsidSect="00986CA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FC2AD" w14:textId="77777777" w:rsidR="00EE48F8" w:rsidRDefault="00EE48F8"/>
  </w:endnote>
  <w:endnote w:type="continuationSeparator" w:id="0">
    <w:p w14:paraId="39E0480E" w14:textId="77777777" w:rsidR="00EE48F8" w:rsidRDefault="00EE48F8">
      <w:pPr>
        <w:pStyle w:val="Pieddepage"/>
      </w:pPr>
    </w:p>
  </w:endnote>
  <w:endnote w:type="continuationNotice" w:id="1">
    <w:p w14:paraId="670419AC" w14:textId="77777777" w:rsidR="00EE48F8" w:rsidRPr="00C451B9" w:rsidRDefault="00EE48F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16960" w14:textId="77777777" w:rsidR="00986CA0" w:rsidRPr="00986CA0" w:rsidRDefault="00986CA0" w:rsidP="00986CA0">
    <w:pPr>
      <w:pStyle w:val="Pieddepage"/>
      <w:tabs>
        <w:tab w:val="right" w:pos="9638"/>
      </w:tabs>
    </w:pPr>
    <w:r w:rsidRPr="00986CA0">
      <w:rPr>
        <w:b/>
        <w:sz w:val="18"/>
      </w:rPr>
      <w:fldChar w:fldCharType="begin"/>
    </w:r>
    <w:r w:rsidRPr="00986CA0">
      <w:rPr>
        <w:b/>
        <w:sz w:val="18"/>
      </w:rPr>
      <w:instrText xml:space="preserve"> PAGE  \* MERGEFORMAT </w:instrText>
    </w:r>
    <w:r w:rsidRPr="00986CA0">
      <w:rPr>
        <w:b/>
        <w:sz w:val="18"/>
      </w:rPr>
      <w:fldChar w:fldCharType="separate"/>
    </w:r>
    <w:r w:rsidRPr="00986CA0">
      <w:rPr>
        <w:b/>
        <w:noProof/>
        <w:sz w:val="18"/>
      </w:rPr>
      <w:t>2</w:t>
    </w:r>
    <w:r w:rsidRPr="00986CA0">
      <w:rPr>
        <w:b/>
        <w:sz w:val="18"/>
      </w:rPr>
      <w:fldChar w:fldCharType="end"/>
    </w:r>
    <w:r>
      <w:rPr>
        <w:b/>
        <w:sz w:val="18"/>
      </w:rPr>
      <w:tab/>
    </w:r>
    <w:r>
      <w:t>GE.20-08737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AEE3" w14:textId="77777777" w:rsidR="00986CA0" w:rsidRPr="00986CA0" w:rsidRDefault="00986CA0" w:rsidP="00986CA0">
    <w:pPr>
      <w:pStyle w:val="Pieddepage"/>
      <w:tabs>
        <w:tab w:val="right" w:pos="9638"/>
      </w:tabs>
      <w:rPr>
        <w:b/>
        <w:sz w:val="18"/>
      </w:rPr>
    </w:pPr>
    <w:r>
      <w:t>GE.20-08737</w:t>
    </w:r>
    <w:r>
      <w:tab/>
    </w:r>
    <w:r w:rsidRPr="00986CA0">
      <w:rPr>
        <w:b/>
        <w:sz w:val="18"/>
      </w:rPr>
      <w:fldChar w:fldCharType="begin"/>
    </w:r>
    <w:r w:rsidRPr="00986CA0">
      <w:rPr>
        <w:b/>
        <w:sz w:val="18"/>
      </w:rPr>
      <w:instrText xml:space="preserve"> PAGE  \* MERGEFORMAT </w:instrText>
    </w:r>
    <w:r w:rsidRPr="00986CA0">
      <w:rPr>
        <w:b/>
        <w:sz w:val="18"/>
      </w:rPr>
      <w:fldChar w:fldCharType="separate"/>
    </w:r>
    <w:r w:rsidRPr="00986CA0">
      <w:rPr>
        <w:b/>
        <w:noProof/>
        <w:sz w:val="18"/>
      </w:rPr>
      <w:t>3</w:t>
    </w:r>
    <w:r w:rsidRPr="00986C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CB12" w14:textId="77777777" w:rsidR="00467F2C" w:rsidRPr="00986CA0" w:rsidRDefault="00986CA0" w:rsidP="00986CA0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5AAA439C" wp14:editId="50F08BF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20-08737  (F)    061120    061120</w:t>
    </w:r>
    <w:r>
      <w:rPr>
        <w:sz w:val="20"/>
      </w:rPr>
      <w:br/>
    </w:r>
    <w:r w:rsidRPr="00986CA0">
      <w:rPr>
        <w:rFonts w:ascii="C39T30Lfz" w:hAnsi="C39T30Lfz"/>
        <w:sz w:val="56"/>
      </w:rPr>
      <w:t>*2008737*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CEABFA1" wp14:editId="04C67B2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519FC" w14:textId="77777777" w:rsidR="00EE48F8" w:rsidRPr="00D27D5E" w:rsidRDefault="00EE48F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B4899F" w14:textId="77777777" w:rsidR="00EE48F8" w:rsidRPr="00D171D4" w:rsidRDefault="00EE48F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6D2C7C1A" w14:textId="77777777" w:rsidR="00EE48F8" w:rsidRPr="00C451B9" w:rsidRDefault="00EE48F8" w:rsidP="00C451B9">
      <w:pPr>
        <w:spacing w:line="240" w:lineRule="auto"/>
        <w:rPr>
          <w:sz w:val="2"/>
          <w:szCs w:val="2"/>
        </w:rPr>
      </w:pPr>
    </w:p>
  </w:footnote>
  <w:footnote w:id="2">
    <w:p w14:paraId="4D6F4954" w14:textId="77777777" w:rsidR="00986CA0" w:rsidRDefault="00986CA0" w:rsidP="00986CA0">
      <w:pPr>
        <w:pStyle w:val="Notedebasdepage"/>
      </w:pPr>
      <w:r w:rsidRPr="00782EA4">
        <w:tab/>
      </w:r>
      <w:r w:rsidRPr="00E35500">
        <w:rPr>
          <w:sz w:val="20"/>
        </w:rPr>
        <w:t>*</w:t>
      </w:r>
      <w:r w:rsidRPr="00E35500">
        <w:rPr>
          <w:sz w:val="20"/>
        </w:rPr>
        <w:tab/>
      </w:r>
      <w:r w:rsidRPr="00BD0091">
        <w:t>Anciens titres de l</w:t>
      </w:r>
      <w:r w:rsidR="001F5C95">
        <w:t>’</w:t>
      </w:r>
      <w:r w:rsidRPr="00BD0091">
        <w:t>Accord</w:t>
      </w:r>
      <w:r w:rsidR="001F5C95">
        <w:t> </w:t>
      </w:r>
      <w:r w:rsidRPr="00BD0091">
        <w:t xml:space="preserve">: </w:t>
      </w:r>
    </w:p>
    <w:p w14:paraId="415D0444" w14:textId="77777777" w:rsidR="00986CA0" w:rsidRPr="00E35500" w:rsidRDefault="00986CA0" w:rsidP="00986CA0">
      <w:pPr>
        <w:pStyle w:val="Notedebasdepage"/>
        <w:rPr>
          <w:sz w:val="20"/>
        </w:rPr>
      </w:pPr>
      <w:r>
        <w:tab/>
      </w:r>
      <w:r>
        <w:tab/>
      </w:r>
      <w:r w:rsidRPr="00BD0091">
        <w:t>Accord concernant l</w:t>
      </w:r>
      <w:r w:rsidR="001F5C95">
        <w:t>’</w:t>
      </w:r>
      <w:r w:rsidRPr="00BD0091">
        <w:t>adoption de conditions uniformes d</w:t>
      </w:r>
      <w:r w:rsidR="001F5C95">
        <w:t>’</w:t>
      </w:r>
      <w:r w:rsidRPr="00BD0091">
        <w:t>homologation et la reconnaissance réciproque de l</w:t>
      </w:r>
      <w:r w:rsidR="001F5C95">
        <w:t>’</w:t>
      </w:r>
      <w:r w:rsidRPr="00BD0091">
        <w:t xml:space="preserve">homologation des équipements et pièces de véhicules à moteur, en date, à Genève, </w:t>
      </w:r>
      <w:r w:rsidR="001F5C95">
        <w:br/>
      </w:r>
      <w:r w:rsidRPr="00BD0091">
        <w:t>du 20 mars 1958 (version originale)</w:t>
      </w:r>
      <w:r w:rsidR="00E57E3F">
        <w:t> </w:t>
      </w:r>
      <w:r w:rsidRPr="00E35500">
        <w:t>;</w:t>
      </w:r>
    </w:p>
    <w:p w14:paraId="28797BFF" w14:textId="77777777" w:rsidR="00986CA0" w:rsidRPr="00BD0091" w:rsidRDefault="00986CA0" w:rsidP="00986CA0">
      <w:pPr>
        <w:pStyle w:val="Notedebasdepage"/>
      </w:pPr>
      <w:r w:rsidRPr="00E35500">
        <w:tab/>
      </w:r>
      <w:r w:rsidRPr="00E35500">
        <w:tab/>
      </w:r>
      <w:r w:rsidRPr="00BD0091">
        <w:t>Accord concernant l</w:t>
      </w:r>
      <w:r w:rsidR="001F5C95">
        <w:t>’</w:t>
      </w:r>
      <w:r w:rsidRPr="00BD0091">
        <w:t>adoption de prescriptions techniques uniformes applicables aux véhicules à roues, aux équipements et aux pièces susceptibles d</w:t>
      </w:r>
      <w:r w:rsidR="001F5C95">
        <w:t>’</w:t>
      </w:r>
      <w:r w:rsidRPr="00BD0091">
        <w:t xml:space="preserve">être montés ou utilisés sur un véhicule à roues </w:t>
      </w:r>
      <w:r w:rsidR="001F5C95">
        <w:br/>
      </w:r>
      <w:r w:rsidRPr="00BD0091">
        <w:t>et les conditions de reconnaissance réciproque des homologations délivrées conformément à ces prescriptions, en date, à Genève, du 5 octobre 1995 (Révision 2).</w:t>
      </w:r>
    </w:p>
    <w:p w14:paraId="5796B090" w14:textId="77777777" w:rsidR="00986CA0" w:rsidRPr="00E35500" w:rsidRDefault="00986CA0" w:rsidP="00986CA0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BF034" w14:textId="176AC48F" w:rsidR="00986CA0" w:rsidRPr="00986CA0" w:rsidRDefault="00986CA0">
    <w:pPr>
      <w:pStyle w:val="En-tte"/>
      <w:rPr>
        <w:lang w:val="en-US"/>
      </w:rPr>
    </w:pPr>
    <w:r>
      <w:fldChar w:fldCharType="begin"/>
    </w:r>
    <w:r w:rsidRPr="00986CA0">
      <w:rPr>
        <w:lang w:val="en-US"/>
      </w:rPr>
      <w:instrText xml:space="preserve"> TITLE  \* MERGEFORMAT </w:instrText>
    </w:r>
    <w:r>
      <w:fldChar w:fldCharType="separate"/>
    </w:r>
    <w:r w:rsidR="00246DB4">
      <w:rPr>
        <w:lang w:val="en-US"/>
      </w:rPr>
      <w:t>E/ECE/324/Rev.1/Add.73/Rev.2/Amend.6</w:t>
    </w:r>
    <w:r>
      <w:fldChar w:fldCharType="end"/>
    </w:r>
    <w:r w:rsidRPr="00986CA0">
      <w:rPr>
        <w:lang w:val="en-US"/>
      </w:rPr>
      <w:br/>
    </w:r>
    <w:r>
      <w:fldChar w:fldCharType="begin"/>
    </w:r>
    <w:r w:rsidRPr="00986CA0">
      <w:rPr>
        <w:lang w:val="en-US"/>
      </w:rPr>
      <w:instrText xml:space="preserve"> KEYWORDS  \* MERGEFORMAT </w:instrText>
    </w:r>
    <w:r>
      <w:fldChar w:fldCharType="separate"/>
    </w:r>
    <w:r w:rsidR="00246DB4">
      <w:rPr>
        <w:lang w:val="en-US"/>
      </w:rPr>
      <w:t>E/ECE/TRANS/505/Rev.1/Add.73/Rev.2/Amend.6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CBB6B" w14:textId="4A0C3EDE" w:rsidR="00986CA0" w:rsidRPr="00986CA0" w:rsidRDefault="00986CA0" w:rsidP="00986CA0">
    <w:pPr>
      <w:pStyle w:val="En-tte"/>
      <w:jc w:val="right"/>
      <w:rPr>
        <w:lang w:val="en-US"/>
      </w:rPr>
    </w:pPr>
    <w:r>
      <w:fldChar w:fldCharType="begin"/>
    </w:r>
    <w:r w:rsidRPr="00986CA0">
      <w:rPr>
        <w:lang w:val="en-US"/>
      </w:rPr>
      <w:instrText xml:space="preserve"> TITLE  \* MERGEFORMAT </w:instrText>
    </w:r>
    <w:r>
      <w:fldChar w:fldCharType="separate"/>
    </w:r>
    <w:r w:rsidR="00246DB4">
      <w:rPr>
        <w:lang w:val="en-US"/>
      </w:rPr>
      <w:t>E/ECE/324/Rev.1/Add.73/Rev.2/Amend.6</w:t>
    </w:r>
    <w:r>
      <w:fldChar w:fldCharType="end"/>
    </w:r>
    <w:r w:rsidRPr="00986CA0">
      <w:rPr>
        <w:lang w:val="en-US"/>
      </w:rPr>
      <w:br/>
    </w:r>
    <w:r>
      <w:fldChar w:fldCharType="begin"/>
    </w:r>
    <w:r w:rsidRPr="00986CA0">
      <w:rPr>
        <w:lang w:val="en-US"/>
      </w:rPr>
      <w:instrText xml:space="preserve"> KEYWORDS  \* MERGEFORMAT </w:instrText>
    </w:r>
    <w:r>
      <w:fldChar w:fldCharType="separate"/>
    </w:r>
    <w:r w:rsidR="00246DB4">
      <w:rPr>
        <w:lang w:val="en-US"/>
      </w:rPr>
      <w:t>E/ECE/TRANS/505/Rev.1/Add.73/Rev.2/Amend.6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48F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1F5C95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46DB4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1F54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86CA0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57E3F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E48F8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7A3D4BC"/>
  <w15:docId w15:val="{4A37F077-8B39-4F50-9E69-065F93EC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EB78F-52E7-4ECD-B791-0921E308171A}"/>
</file>

<file path=customXml/itemProps2.xml><?xml version="1.0" encoding="utf-8"?>
<ds:datastoreItem xmlns:ds="http://schemas.openxmlformats.org/officeDocument/2006/customXml" ds:itemID="{EC2F6318-1D31-47EE-B3AE-7737EA4353F0}"/>
</file>

<file path=customXml/itemProps3.xml><?xml version="1.0" encoding="utf-8"?>
<ds:datastoreItem xmlns:ds="http://schemas.openxmlformats.org/officeDocument/2006/customXml" ds:itemID="{59F184CC-B724-4332-8F46-D6F4B520BFE1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321</Words>
  <Characters>2089</Characters>
  <Application>Microsoft Office Word</Application>
  <DocSecurity>0</DocSecurity>
  <Lines>208</Lines>
  <Paragraphs>141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E/ECE/324/Rev.1/Add.73/Rev.2/Amend.6</vt:lpstr>
    </vt:vector>
  </TitlesOfParts>
  <Company>CSD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E/ECE/324/Rev.1/Add.73/Rev.2/Amend.6</dc:title>
  <dc:creator>Valerie BERTIN</dc:creator>
  <cp:keywords>E/ECE/TRANS/505/Rev.1/Add.73/Rev.2/Amend.6</cp:keywords>
  <cp:lastModifiedBy>Valerie BERTIN</cp:lastModifiedBy>
  <cp:revision>3</cp:revision>
  <cp:lastPrinted>2020-11-06T13:31:00Z</cp:lastPrinted>
  <dcterms:created xsi:type="dcterms:W3CDTF">2020-11-06T13:31:00Z</dcterms:created>
  <dcterms:modified xsi:type="dcterms:W3CDTF">2020-11-06T13:32:00Z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