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64650F" w:rsidTr="009E6CB7">
        <w:trPr>
          <w:cantSplit/>
          <w:trHeight w:hRule="exact" w:val="851"/>
        </w:trPr>
        <w:tc>
          <w:tcPr>
            <w:tcW w:w="1276" w:type="dxa"/>
            <w:tcBorders>
              <w:bottom w:val="single" w:sz="4" w:space="0" w:color="auto"/>
            </w:tcBorders>
            <w:vAlign w:val="bottom"/>
          </w:tcPr>
          <w:p w:rsidR="009E6CB7" w:rsidRPr="00446F54" w:rsidRDefault="009E6CB7" w:rsidP="00446F54">
            <w:pPr>
              <w:spacing w:line="20" w:lineRule="exact"/>
              <w:rPr>
                <w:sz w:val="2"/>
              </w:rPr>
            </w:pPr>
            <w:bookmarkStart w:id="0" w:name="_GoBack"/>
            <w:bookmarkEnd w:id="0"/>
          </w:p>
          <w:p w:rsidR="00446F54" w:rsidRPr="0064650F" w:rsidRDefault="00446F54" w:rsidP="009E6CB7">
            <w:pPr>
              <w:spacing w:after="80"/>
            </w:pPr>
          </w:p>
        </w:tc>
        <w:tc>
          <w:tcPr>
            <w:tcW w:w="2268" w:type="dxa"/>
            <w:tcBorders>
              <w:bottom w:val="single" w:sz="4" w:space="0" w:color="auto"/>
            </w:tcBorders>
            <w:vAlign w:val="bottom"/>
          </w:tcPr>
          <w:p w:rsidR="009E6CB7" w:rsidRPr="0064650F" w:rsidRDefault="009E6CB7" w:rsidP="009E6CB7">
            <w:pPr>
              <w:spacing w:after="80" w:line="300" w:lineRule="exact"/>
              <w:rPr>
                <w:b/>
                <w:sz w:val="24"/>
                <w:szCs w:val="24"/>
              </w:rPr>
            </w:pPr>
            <w:r w:rsidRPr="0064650F">
              <w:rPr>
                <w:sz w:val="28"/>
                <w:szCs w:val="28"/>
              </w:rPr>
              <w:t>United Nations</w:t>
            </w:r>
          </w:p>
        </w:tc>
        <w:tc>
          <w:tcPr>
            <w:tcW w:w="6095" w:type="dxa"/>
            <w:gridSpan w:val="2"/>
            <w:tcBorders>
              <w:bottom w:val="single" w:sz="4" w:space="0" w:color="auto"/>
            </w:tcBorders>
            <w:vAlign w:val="bottom"/>
          </w:tcPr>
          <w:p w:rsidR="009E6CB7" w:rsidRPr="0064650F" w:rsidRDefault="005F6C8E" w:rsidP="005F6C8E">
            <w:pPr>
              <w:jc w:val="right"/>
            </w:pPr>
            <w:r w:rsidRPr="0064650F">
              <w:rPr>
                <w:sz w:val="40"/>
              </w:rPr>
              <w:t>ECE</w:t>
            </w:r>
            <w:r w:rsidRPr="0064650F">
              <w:t>/CEP/2015/L.2</w:t>
            </w:r>
          </w:p>
        </w:tc>
      </w:tr>
      <w:tr w:rsidR="009E6CB7" w:rsidRPr="0064650F" w:rsidTr="009E6CB7">
        <w:trPr>
          <w:cantSplit/>
          <w:trHeight w:hRule="exact" w:val="2835"/>
        </w:trPr>
        <w:tc>
          <w:tcPr>
            <w:tcW w:w="1276" w:type="dxa"/>
            <w:tcBorders>
              <w:top w:val="single" w:sz="4" w:space="0" w:color="auto"/>
              <w:bottom w:val="single" w:sz="12" w:space="0" w:color="auto"/>
            </w:tcBorders>
          </w:tcPr>
          <w:p w:rsidR="009E6CB7" w:rsidRPr="0064650F" w:rsidRDefault="00BC7F91" w:rsidP="009E6CB7">
            <w:pPr>
              <w:spacing w:before="120"/>
            </w:pPr>
            <w:r w:rsidRPr="0064650F">
              <w:rPr>
                <w:noProof/>
                <w:lang w:eastAsia="en-GB"/>
              </w:rPr>
              <w:drawing>
                <wp:inline distT="0" distB="0" distL="0" distR="0" wp14:anchorId="775A4E45" wp14:editId="5E79B4C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64650F" w:rsidRDefault="009E6CB7" w:rsidP="009E6CB7">
            <w:pPr>
              <w:spacing w:before="120" w:line="420" w:lineRule="exact"/>
              <w:rPr>
                <w:sz w:val="40"/>
                <w:szCs w:val="40"/>
              </w:rPr>
            </w:pPr>
            <w:r w:rsidRPr="0064650F">
              <w:rPr>
                <w:b/>
                <w:sz w:val="40"/>
                <w:szCs w:val="40"/>
              </w:rPr>
              <w:t>Economic and Social Council</w:t>
            </w:r>
          </w:p>
        </w:tc>
        <w:tc>
          <w:tcPr>
            <w:tcW w:w="2835" w:type="dxa"/>
            <w:tcBorders>
              <w:top w:val="single" w:sz="4" w:space="0" w:color="auto"/>
              <w:bottom w:val="single" w:sz="12" w:space="0" w:color="auto"/>
            </w:tcBorders>
          </w:tcPr>
          <w:p w:rsidR="009E6CB7" w:rsidRPr="0064650F" w:rsidRDefault="005F6C8E" w:rsidP="005F6C8E">
            <w:pPr>
              <w:spacing w:before="240" w:line="240" w:lineRule="exact"/>
            </w:pPr>
            <w:r w:rsidRPr="0064650F">
              <w:t xml:space="preserve">Distr.: </w:t>
            </w:r>
            <w:r w:rsidR="007D4FC9" w:rsidRPr="0064650F">
              <w:t>Limited</w:t>
            </w:r>
          </w:p>
          <w:p w:rsidR="005F6C8E" w:rsidRPr="0064650F" w:rsidRDefault="002E0253" w:rsidP="005F6C8E">
            <w:pPr>
              <w:spacing w:line="240" w:lineRule="exact"/>
            </w:pPr>
            <w:r>
              <w:t>1</w:t>
            </w:r>
            <w:r w:rsidR="009A1D27">
              <w:t>8</w:t>
            </w:r>
            <w:r w:rsidRPr="0064650F">
              <w:t xml:space="preserve"> </w:t>
            </w:r>
            <w:r w:rsidR="005F6C8E" w:rsidRPr="0064650F">
              <w:t>August 2015</w:t>
            </w:r>
          </w:p>
          <w:p w:rsidR="005F6C8E" w:rsidRPr="0064650F" w:rsidRDefault="005F6C8E" w:rsidP="005F6C8E">
            <w:pPr>
              <w:spacing w:line="240" w:lineRule="exact"/>
            </w:pPr>
          </w:p>
          <w:p w:rsidR="005F6C8E" w:rsidRPr="0064650F" w:rsidRDefault="005F6C8E" w:rsidP="005F6C8E">
            <w:pPr>
              <w:spacing w:line="240" w:lineRule="exact"/>
            </w:pPr>
            <w:r w:rsidRPr="0064650F">
              <w:t>Original: English</w:t>
            </w:r>
          </w:p>
        </w:tc>
      </w:tr>
    </w:tbl>
    <w:p w:rsidR="005F6C8E" w:rsidRPr="0064650F" w:rsidRDefault="005F6C8E" w:rsidP="005F6C8E">
      <w:pPr>
        <w:spacing w:before="120"/>
        <w:rPr>
          <w:b/>
          <w:sz w:val="28"/>
          <w:szCs w:val="28"/>
        </w:rPr>
      </w:pPr>
      <w:r w:rsidRPr="0064650F">
        <w:rPr>
          <w:b/>
          <w:sz w:val="28"/>
          <w:szCs w:val="28"/>
        </w:rPr>
        <w:t>Economic Commission for Europe</w:t>
      </w:r>
    </w:p>
    <w:p w:rsidR="005F6C8E" w:rsidRPr="0064650F" w:rsidRDefault="005F6C8E" w:rsidP="005F6C8E">
      <w:pPr>
        <w:spacing w:before="120"/>
        <w:rPr>
          <w:bCs/>
          <w:sz w:val="28"/>
          <w:szCs w:val="28"/>
        </w:rPr>
      </w:pPr>
      <w:r w:rsidRPr="0064650F">
        <w:rPr>
          <w:bCs/>
          <w:sz w:val="28"/>
          <w:szCs w:val="28"/>
        </w:rPr>
        <w:t>Committee on Environmental Policy</w:t>
      </w:r>
    </w:p>
    <w:p w:rsidR="005F6C8E" w:rsidRPr="0064650F" w:rsidRDefault="005F6C8E" w:rsidP="005F6C8E">
      <w:pPr>
        <w:spacing w:before="120"/>
        <w:rPr>
          <w:b/>
        </w:rPr>
      </w:pPr>
      <w:r w:rsidRPr="0064650F">
        <w:rPr>
          <w:b/>
        </w:rPr>
        <w:t xml:space="preserve">Twenty-first </w:t>
      </w:r>
      <w:proofErr w:type="gramStart"/>
      <w:r w:rsidRPr="0064650F">
        <w:rPr>
          <w:b/>
        </w:rPr>
        <w:t>session</w:t>
      </w:r>
      <w:proofErr w:type="gramEnd"/>
    </w:p>
    <w:p w:rsidR="005F6C8E" w:rsidRPr="0064650F" w:rsidRDefault="005F6C8E" w:rsidP="005F6C8E">
      <w:pPr>
        <w:spacing w:line="264" w:lineRule="auto"/>
      </w:pPr>
      <w:r w:rsidRPr="0064650F">
        <w:t>Geneva, 27–30 October 2015</w:t>
      </w:r>
    </w:p>
    <w:p w:rsidR="005F6C8E" w:rsidRPr="0064650F" w:rsidRDefault="005F6C8E" w:rsidP="005F6C8E">
      <w:pPr>
        <w:spacing w:line="240" w:lineRule="auto"/>
      </w:pPr>
      <w:r w:rsidRPr="0064650F">
        <w:t xml:space="preserve">Item </w:t>
      </w:r>
      <w:r w:rsidR="00C63E44" w:rsidRPr="0064650F">
        <w:t>5 (b)</w:t>
      </w:r>
      <w:r w:rsidRPr="0064650F">
        <w:t xml:space="preserve"> of the provisional agenda</w:t>
      </w:r>
    </w:p>
    <w:p w:rsidR="00C63E44" w:rsidRPr="0064650F" w:rsidRDefault="005F6C8E" w:rsidP="005F6C8E">
      <w:pPr>
        <w:spacing w:line="240" w:lineRule="auto"/>
        <w:rPr>
          <w:b/>
        </w:rPr>
      </w:pPr>
      <w:r w:rsidRPr="0064650F">
        <w:rPr>
          <w:b/>
        </w:rPr>
        <w:t>The Eighth Environment for Europe Ministerial Conference</w:t>
      </w:r>
      <w:proofErr w:type="gramStart"/>
      <w:r w:rsidR="00C63E44" w:rsidRPr="0064650F">
        <w:rPr>
          <w:b/>
        </w:rPr>
        <w:t>:</w:t>
      </w:r>
      <w:proofErr w:type="gramEnd"/>
      <w:r w:rsidR="00C63E44" w:rsidRPr="0064650F">
        <w:rPr>
          <w:b/>
        </w:rPr>
        <w:br/>
        <w:t>greening the economy</w:t>
      </w:r>
    </w:p>
    <w:p w:rsidR="005F6C8E" w:rsidRPr="0064650F" w:rsidRDefault="005F6C8E" w:rsidP="00DE71E6">
      <w:pPr>
        <w:pStyle w:val="HChG"/>
        <w:spacing w:line="240" w:lineRule="auto"/>
        <w:rPr>
          <w:lang w:eastAsia="en-GB"/>
        </w:rPr>
      </w:pPr>
      <w:r w:rsidRPr="0064650F">
        <w:tab/>
      </w:r>
      <w:r w:rsidRPr="0064650F">
        <w:tab/>
      </w:r>
      <w:r w:rsidRPr="0064650F">
        <w:rPr>
          <w:lang w:eastAsia="en-GB"/>
        </w:rPr>
        <w:t xml:space="preserve">Draft thematic document </w:t>
      </w:r>
      <w:r w:rsidR="0064650F" w:rsidRPr="0064650F">
        <w:rPr>
          <w:lang w:eastAsia="en-GB"/>
        </w:rPr>
        <w:t>for the Eighth Environment for Europe Ministerial Conference</w:t>
      </w:r>
      <w:r w:rsidR="0064650F">
        <w:rPr>
          <w:lang w:eastAsia="en-GB"/>
        </w:rPr>
        <w:t xml:space="preserve">: </w:t>
      </w:r>
      <w:r w:rsidRPr="0064650F">
        <w:rPr>
          <w:lang w:eastAsia="en-GB"/>
        </w:rPr>
        <w:t xml:space="preserve">greening the economy in the pan-European region </w:t>
      </w:r>
    </w:p>
    <w:p w:rsidR="005F6C8E" w:rsidRPr="0064650F" w:rsidRDefault="005F6C8E" w:rsidP="00F21DAD">
      <w:pPr>
        <w:pStyle w:val="H1G"/>
        <w:rPr>
          <w:lang w:eastAsia="en-GB"/>
        </w:rPr>
      </w:pPr>
      <w:r w:rsidRPr="0064650F">
        <w:rPr>
          <w:lang w:eastAsia="en-GB"/>
        </w:rPr>
        <w:tab/>
      </w:r>
      <w:r w:rsidRPr="0064650F">
        <w:rPr>
          <w:lang w:eastAsia="en-GB"/>
        </w:rPr>
        <w:tab/>
        <w:t xml:space="preserve">Note by the Chair of the Committee </w:t>
      </w:r>
      <w:r w:rsidR="006B0473" w:rsidRPr="0064650F">
        <w:rPr>
          <w:lang w:eastAsia="en-GB"/>
        </w:rPr>
        <w:t xml:space="preserve">with support </w:t>
      </w:r>
      <w:r w:rsidR="0064650F">
        <w:rPr>
          <w:lang w:eastAsia="en-GB"/>
        </w:rPr>
        <w:t xml:space="preserve">from </w:t>
      </w:r>
      <w:r w:rsidRPr="0064650F">
        <w:rPr>
          <w:lang w:eastAsia="en-GB"/>
        </w:rPr>
        <w:t>the secretariat and the United Nations Environment Programme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F21DAD" w:rsidRPr="0064650F" w:rsidTr="00F21DAD">
        <w:trPr>
          <w:jc w:val="center"/>
        </w:trPr>
        <w:tc>
          <w:tcPr>
            <w:tcW w:w="9637" w:type="dxa"/>
            <w:shd w:val="clear" w:color="auto" w:fill="auto"/>
          </w:tcPr>
          <w:p w:rsidR="00F21DAD" w:rsidRPr="0064650F" w:rsidRDefault="00F21DAD" w:rsidP="00F21DAD">
            <w:pPr>
              <w:spacing w:before="240" w:after="120"/>
              <w:ind w:left="255"/>
              <w:rPr>
                <w:i/>
                <w:sz w:val="24"/>
                <w:lang w:eastAsia="en-GB"/>
              </w:rPr>
            </w:pPr>
            <w:r w:rsidRPr="0064650F">
              <w:rPr>
                <w:i/>
                <w:sz w:val="24"/>
                <w:lang w:eastAsia="en-GB"/>
              </w:rPr>
              <w:t>Summary</w:t>
            </w:r>
          </w:p>
        </w:tc>
      </w:tr>
      <w:tr w:rsidR="00F21DAD" w:rsidRPr="0064650F" w:rsidTr="00F21DAD">
        <w:trPr>
          <w:jc w:val="center"/>
        </w:trPr>
        <w:tc>
          <w:tcPr>
            <w:tcW w:w="9637" w:type="dxa"/>
            <w:shd w:val="clear" w:color="auto" w:fill="auto"/>
          </w:tcPr>
          <w:p w:rsidR="00F21DAD" w:rsidRPr="0064650F" w:rsidRDefault="00F21DAD" w:rsidP="002E0253">
            <w:pPr>
              <w:pStyle w:val="SingleTxtG"/>
              <w:spacing w:line="240" w:lineRule="auto"/>
              <w:rPr>
                <w:lang w:eastAsia="en-GB"/>
              </w:rPr>
            </w:pPr>
            <w:r w:rsidRPr="0064650F">
              <w:rPr>
                <w:lang w:eastAsia="en-GB"/>
              </w:rPr>
              <w:tab/>
            </w:r>
            <w:r w:rsidR="0064650F">
              <w:t>At its twentieth session (</w:t>
            </w:r>
            <w:r w:rsidR="0064650F">
              <w:rPr>
                <w:lang w:eastAsia="en-GB"/>
              </w:rPr>
              <w:t>Geneva, 28–31 October 2014),</w:t>
            </w:r>
            <w:r w:rsidR="0064650F">
              <w:t xml:space="preserve"> the Economic Commission for Europe (ECE) Committee on Environmental Policy (CEP) mandated its Bureau, with support from the ECE secretariat and in cooperation with relevant stakeholders, to proceed with the preparation of the Eighth Environment for Europe (EfE) Ministerial Conference (Batumi, Georgia, 8–10 June 2016), </w:t>
            </w:r>
            <w:r w:rsidRPr="0064650F">
              <w:rPr>
                <w:lang w:eastAsia="en-GB"/>
              </w:rPr>
              <w:t xml:space="preserve">including the drawing up of the first draft of the background thematic document on greening the economy in the pan-European region, based on the questions for discussion agreed by the CEP Bureau (ECE/CEP/2014/2, </w:t>
            </w:r>
            <w:r w:rsidR="00F95AB1" w:rsidRPr="00C27E18">
              <w:t>para</w:t>
            </w:r>
            <w:r w:rsidR="00F95AB1">
              <w:t>s.</w:t>
            </w:r>
            <w:r w:rsidR="00F95AB1" w:rsidRPr="00C27E18">
              <w:t xml:space="preserve"> </w:t>
            </w:r>
            <w:r w:rsidR="00F95AB1">
              <w:t>84 (a) and 98 (gg) (xi) a</w:t>
            </w:r>
            <w:r w:rsidRPr="0064650F">
              <w:rPr>
                <w:lang w:eastAsia="en-GB"/>
              </w:rPr>
              <w:t>).</w:t>
            </w:r>
          </w:p>
          <w:p w:rsidR="00F21DAD" w:rsidRPr="0064650F" w:rsidRDefault="00F21DAD" w:rsidP="002E0253">
            <w:pPr>
              <w:pStyle w:val="SingleTxtG"/>
              <w:spacing w:line="240" w:lineRule="auto"/>
              <w:rPr>
                <w:lang w:eastAsia="en-GB"/>
              </w:rPr>
            </w:pPr>
            <w:r w:rsidRPr="0064650F">
              <w:rPr>
                <w:lang w:eastAsia="en-GB"/>
              </w:rPr>
              <w:tab/>
              <w:t>The thematic document aims to facilitate the ministerial discussion under the theme of greening the economy in the pan-European region by providing background information to support delegations</w:t>
            </w:r>
            <w:r w:rsidR="0086163F">
              <w:rPr>
                <w:lang w:eastAsia="en-GB"/>
              </w:rPr>
              <w:t xml:space="preserve"> in</w:t>
            </w:r>
            <w:r w:rsidRPr="0064650F">
              <w:rPr>
                <w:lang w:eastAsia="en-GB"/>
              </w:rPr>
              <w:t xml:space="preserve"> prepar</w:t>
            </w:r>
            <w:r w:rsidR="0086163F">
              <w:rPr>
                <w:lang w:eastAsia="en-GB"/>
              </w:rPr>
              <w:t>ing</w:t>
            </w:r>
            <w:r w:rsidRPr="0064650F">
              <w:rPr>
                <w:lang w:eastAsia="en-GB"/>
              </w:rPr>
              <w:t xml:space="preserve"> for the Conference. It is expected that concrete national perspectives under each of the identified questions will be brought up during the ministers’ interventions and discussion.</w:t>
            </w:r>
          </w:p>
          <w:p w:rsidR="00F21DAD" w:rsidRPr="0064650F" w:rsidRDefault="00F21DAD" w:rsidP="00C750DD">
            <w:pPr>
              <w:pStyle w:val="SingleTxtG"/>
              <w:spacing w:line="240" w:lineRule="auto"/>
              <w:rPr>
                <w:lang w:eastAsia="en-GB"/>
              </w:rPr>
            </w:pPr>
            <w:r w:rsidRPr="0064650F">
              <w:rPr>
                <w:lang w:eastAsia="en-GB"/>
              </w:rPr>
              <w:tab/>
              <w:t xml:space="preserve">The document was prepared </w:t>
            </w:r>
            <w:r w:rsidR="0086163F">
              <w:rPr>
                <w:lang w:eastAsia="en-GB"/>
              </w:rPr>
              <w:t xml:space="preserve">by the Chair of CEP, with support from </w:t>
            </w:r>
            <w:r w:rsidRPr="0064650F">
              <w:rPr>
                <w:lang w:eastAsia="en-GB"/>
              </w:rPr>
              <w:t xml:space="preserve">the ECE secretariat </w:t>
            </w:r>
            <w:r w:rsidR="0086163F">
              <w:rPr>
                <w:lang w:eastAsia="en-GB"/>
              </w:rPr>
              <w:t xml:space="preserve">and </w:t>
            </w:r>
            <w:r w:rsidRPr="0064650F">
              <w:rPr>
                <w:lang w:eastAsia="en-GB"/>
              </w:rPr>
              <w:t xml:space="preserve">the United Nations Environment Programme (UNEP) and </w:t>
            </w:r>
            <w:r w:rsidR="003669DD" w:rsidRPr="0064650F">
              <w:rPr>
                <w:lang w:eastAsia="en-GB"/>
              </w:rPr>
              <w:t xml:space="preserve">in </w:t>
            </w:r>
            <w:r w:rsidR="00330FD0" w:rsidRPr="0064650F">
              <w:rPr>
                <w:lang w:eastAsia="en-GB"/>
              </w:rPr>
              <w:t xml:space="preserve">cooperation </w:t>
            </w:r>
            <w:r w:rsidRPr="0064650F">
              <w:rPr>
                <w:lang w:eastAsia="en-GB"/>
              </w:rPr>
              <w:t>with partner organizations listed in the introduct</w:t>
            </w:r>
            <w:r w:rsidR="0086163F">
              <w:rPr>
                <w:lang w:eastAsia="en-GB"/>
              </w:rPr>
              <w:t>ion</w:t>
            </w:r>
            <w:r w:rsidRPr="0064650F">
              <w:rPr>
                <w:lang w:eastAsia="en-GB"/>
              </w:rPr>
              <w:t>.</w:t>
            </w:r>
            <w:r w:rsidR="00330FD0" w:rsidRPr="0064650F">
              <w:rPr>
                <w:lang w:eastAsia="en-GB"/>
              </w:rPr>
              <w:t xml:space="preserve"> </w:t>
            </w:r>
          </w:p>
          <w:p w:rsidR="00F21DAD" w:rsidRPr="0064650F" w:rsidRDefault="00F21DAD" w:rsidP="00C750DD">
            <w:pPr>
              <w:pStyle w:val="SingleTxtG"/>
              <w:spacing w:line="240" w:lineRule="auto"/>
              <w:rPr>
                <w:lang w:eastAsia="en-GB"/>
              </w:rPr>
            </w:pPr>
            <w:r w:rsidRPr="0064650F">
              <w:rPr>
                <w:lang w:eastAsia="en-GB"/>
              </w:rPr>
              <w:tab/>
              <w:t>CEP will be invited to consider the draft with a view to provide guidance to the ECE and UNEP secretariats and partners in finalizing the document for submission to the Batumi EfE Ministerial Conference.</w:t>
            </w:r>
          </w:p>
        </w:tc>
      </w:tr>
    </w:tbl>
    <w:p w:rsidR="003C0AB2" w:rsidRPr="0064650F" w:rsidRDefault="003C0AB2" w:rsidP="003C0AB2">
      <w:pPr>
        <w:spacing w:after="120"/>
        <w:rPr>
          <w:rFonts w:eastAsia="SimSun"/>
          <w:sz w:val="28"/>
          <w:lang w:eastAsia="en-GB"/>
        </w:rPr>
      </w:pPr>
      <w:r w:rsidRPr="0064650F">
        <w:rPr>
          <w:rFonts w:eastAsia="SimSun"/>
          <w:sz w:val="28"/>
          <w:lang w:eastAsia="en-GB"/>
        </w:rPr>
        <w:lastRenderedPageBreak/>
        <w:t>Contents</w:t>
      </w:r>
    </w:p>
    <w:p w:rsidR="003C0AB2" w:rsidRPr="0064650F" w:rsidRDefault="003C0AB2" w:rsidP="003C0AB2">
      <w:pPr>
        <w:tabs>
          <w:tab w:val="right" w:pos="9638"/>
        </w:tabs>
        <w:spacing w:after="120"/>
        <w:ind w:left="283"/>
        <w:rPr>
          <w:rFonts w:eastAsia="SimSun"/>
          <w:i/>
          <w:sz w:val="18"/>
          <w:lang w:eastAsia="en-GB"/>
        </w:rPr>
      </w:pPr>
      <w:r w:rsidRPr="0064650F">
        <w:rPr>
          <w:rFonts w:eastAsia="SimSun"/>
          <w:i/>
          <w:sz w:val="18"/>
          <w:lang w:eastAsia="en-GB"/>
        </w:rPr>
        <w:tab/>
        <w:t>Page</w:t>
      </w:r>
    </w:p>
    <w:p w:rsidR="00C63369" w:rsidRPr="0064650F" w:rsidRDefault="00C63369" w:rsidP="00C63369">
      <w:pPr>
        <w:shd w:val="clear" w:color="auto" w:fill="FFFFFF" w:themeFill="background1"/>
        <w:tabs>
          <w:tab w:val="right" w:pos="850"/>
          <w:tab w:val="left" w:pos="1134"/>
          <w:tab w:val="left" w:pos="1559"/>
          <w:tab w:val="left" w:pos="1984"/>
          <w:tab w:val="right" w:leader="dot" w:pos="8929"/>
          <w:tab w:val="right" w:pos="9638"/>
        </w:tabs>
        <w:spacing w:after="120"/>
        <w:rPr>
          <w:rFonts w:eastAsia="SimSun"/>
          <w:lang w:eastAsia="en-GB"/>
        </w:rPr>
      </w:pPr>
      <w:r w:rsidRPr="0064650F">
        <w:rPr>
          <w:rFonts w:eastAsia="SimSun"/>
          <w:lang w:eastAsia="en-GB"/>
        </w:rPr>
        <w:tab/>
      </w:r>
      <w:r w:rsidRPr="0064650F">
        <w:rPr>
          <w:rFonts w:eastAsia="SimSun"/>
          <w:lang w:eastAsia="en-GB"/>
        </w:rPr>
        <w:tab/>
        <w:t>Introduction</w:t>
      </w:r>
      <w:r w:rsidRPr="0064650F">
        <w:rPr>
          <w:rFonts w:eastAsia="SimSun"/>
          <w:lang w:eastAsia="en-GB"/>
        </w:rPr>
        <w:tab/>
      </w:r>
      <w:r w:rsidRPr="0064650F">
        <w:rPr>
          <w:rFonts w:eastAsia="SimSun"/>
          <w:lang w:eastAsia="en-GB"/>
        </w:rPr>
        <w:tab/>
      </w:r>
      <w:r w:rsidR="006141E2" w:rsidRPr="0064650F">
        <w:rPr>
          <w:rFonts w:eastAsia="SimSun"/>
          <w:lang w:eastAsia="en-GB"/>
        </w:rPr>
        <w:t>3</w:t>
      </w:r>
    </w:p>
    <w:p w:rsidR="00C63369" w:rsidRPr="0064650F" w:rsidRDefault="00C63369" w:rsidP="00C63369">
      <w:pPr>
        <w:shd w:val="clear" w:color="auto" w:fill="FFFFFF" w:themeFill="background1"/>
        <w:tabs>
          <w:tab w:val="right" w:pos="850"/>
          <w:tab w:val="left" w:pos="1134"/>
          <w:tab w:val="left" w:pos="1559"/>
          <w:tab w:val="left" w:pos="1984"/>
          <w:tab w:val="right" w:leader="dot" w:pos="8929"/>
          <w:tab w:val="right" w:pos="9638"/>
        </w:tabs>
        <w:spacing w:after="120"/>
        <w:rPr>
          <w:rFonts w:eastAsia="SimSun"/>
          <w:lang w:eastAsia="en-GB"/>
        </w:rPr>
      </w:pPr>
      <w:r w:rsidRPr="0064650F">
        <w:rPr>
          <w:rFonts w:eastAsia="SimSun"/>
          <w:lang w:eastAsia="en-GB"/>
        </w:rPr>
        <w:tab/>
        <w:t>I.</w:t>
      </w:r>
      <w:r w:rsidRPr="0064650F">
        <w:rPr>
          <w:rFonts w:eastAsia="SimSun"/>
          <w:lang w:eastAsia="en-GB"/>
        </w:rPr>
        <w:tab/>
        <w:t>Challenges and opportunities</w:t>
      </w:r>
      <w:r w:rsidRPr="0064650F">
        <w:rPr>
          <w:rFonts w:eastAsia="SimSun"/>
          <w:lang w:eastAsia="en-GB"/>
        </w:rPr>
        <w:tab/>
      </w:r>
      <w:r w:rsidRPr="0064650F">
        <w:rPr>
          <w:rFonts w:eastAsia="SimSun"/>
          <w:lang w:eastAsia="en-GB"/>
        </w:rPr>
        <w:tab/>
      </w:r>
      <w:r w:rsidR="006141E2" w:rsidRPr="0064650F">
        <w:rPr>
          <w:rFonts w:eastAsia="SimSun"/>
          <w:lang w:eastAsia="en-GB"/>
        </w:rPr>
        <w:t>4</w:t>
      </w:r>
    </w:p>
    <w:p w:rsidR="00C63369" w:rsidRPr="0064650F" w:rsidRDefault="00C63369" w:rsidP="00C63369">
      <w:pPr>
        <w:shd w:val="clear" w:color="auto" w:fill="FFFFFF" w:themeFill="background1"/>
        <w:tabs>
          <w:tab w:val="right" w:pos="850"/>
          <w:tab w:val="left" w:pos="1134"/>
          <w:tab w:val="left" w:pos="1559"/>
          <w:tab w:val="left" w:pos="1984"/>
          <w:tab w:val="right" w:leader="dot" w:pos="8929"/>
          <w:tab w:val="right" w:pos="9638"/>
        </w:tabs>
        <w:spacing w:after="120"/>
        <w:rPr>
          <w:rFonts w:eastAsia="SimSun"/>
          <w:lang w:eastAsia="en-GB"/>
        </w:rPr>
      </w:pPr>
      <w:r w:rsidRPr="0064650F">
        <w:rPr>
          <w:rFonts w:eastAsia="SimSun"/>
          <w:lang w:eastAsia="en-GB"/>
        </w:rPr>
        <w:tab/>
      </w:r>
      <w:r w:rsidR="00882755" w:rsidRPr="0064650F">
        <w:rPr>
          <w:rFonts w:eastAsia="SimSun"/>
          <w:lang w:eastAsia="en-GB"/>
        </w:rPr>
        <w:t>II.</w:t>
      </w:r>
      <w:r w:rsidR="00882755" w:rsidRPr="0064650F">
        <w:rPr>
          <w:rFonts w:eastAsia="SimSun"/>
          <w:lang w:eastAsia="en-GB"/>
        </w:rPr>
        <w:tab/>
      </w:r>
      <w:r w:rsidR="00C27641" w:rsidRPr="0064650F">
        <w:rPr>
          <w:rFonts w:eastAsia="SimSun"/>
          <w:lang w:eastAsia="en-GB"/>
        </w:rPr>
        <w:t>Best paths to sustainability</w:t>
      </w:r>
      <w:r w:rsidR="00C27641" w:rsidRPr="0064650F">
        <w:rPr>
          <w:rFonts w:eastAsia="SimSun"/>
          <w:lang w:eastAsia="en-GB"/>
        </w:rPr>
        <w:tab/>
      </w:r>
      <w:r w:rsidR="00C27641" w:rsidRPr="0064650F">
        <w:rPr>
          <w:rFonts w:eastAsia="SimSun"/>
          <w:lang w:eastAsia="en-GB"/>
        </w:rPr>
        <w:tab/>
      </w:r>
      <w:r w:rsidR="00BC5A5A">
        <w:rPr>
          <w:rFonts w:eastAsia="SimSun"/>
          <w:lang w:eastAsia="en-GB"/>
        </w:rPr>
        <w:t>9</w:t>
      </w:r>
    </w:p>
    <w:p w:rsidR="00C27641" w:rsidRPr="0064650F" w:rsidRDefault="00C27641" w:rsidP="00C63369">
      <w:pPr>
        <w:shd w:val="clear" w:color="auto" w:fill="FFFFFF" w:themeFill="background1"/>
        <w:tabs>
          <w:tab w:val="right" w:pos="850"/>
          <w:tab w:val="left" w:pos="1134"/>
          <w:tab w:val="left" w:pos="1559"/>
          <w:tab w:val="left" w:pos="1984"/>
          <w:tab w:val="right" w:leader="dot" w:pos="8929"/>
          <w:tab w:val="right" w:pos="9638"/>
        </w:tabs>
        <w:spacing w:after="120"/>
        <w:rPr>
          <w:rFonts w:eastAsia="SimSun"/>
          <w:lang w:eastAsia="en-GB"/>
        </w:rPr>
      </w:pPr>
      <w:r w:rsidRPr="0064650F">
        <w:rPr>
          <w:rFonts w:eastAsia="SimSun"/>
          <w:lang w:eastAsia="en-GB"/>
        </w:rPr>
        <w:tab/>
        <w:t>III.</w:t>
      </w:r>
      <w:r w:rsidRPr="0064650F">
        <w:rPr>
          <w:rFonts w:eastAsia="SimSun"/>
          <w:lang w:eastAsia="en-GB"/>
        </w:rPr>
        <w:tab/>
      </w:r>
      <w:r w:rsidR="004B266A" w:rsidRPr="0064650F">
        <w:rPr>
          <w:rFonts w:eastAsia="SimSun"/>
          <w:lang w:eastAsia="en-GB"/>
        </w:rPr>
        <w:t>Green incentives</w:t>
      </w:r>
      <w:r w:rsidRPr="0064650F">
        <w:rPr>
          <w:rFonts w:eastAsia="SimSun"/>
          <w:lang w:eastAsia="en-GB"/>
        </w:rPr>
        <w:tab/>
      </w:r>
      <w:r w:rsidRPr="0064650F">
        <w:rPr>
          <w:rFonts w:eastAsia="SimSun"/>
          <w:lang w:eastAsia="en-GB"/>
        </w:rPr>
        <w:tab/>
      </w:r>
      <w:r w:rsidR="004B266A" w:rsidRPr="0064650F">
        <w:rPr>
          <w:rFonts w:eastAsia="SimSun"/>
          <w:lang w:eastAsia="en-GB"/>
        </w:rPr>
        <w:t>15</w:t>
      </w:r>
    </w:p>
    <w:p w:rsidR="00C27641" w:rsidRPr="0064650F" w:rsidRDefault="00C27641" w:rsidP="00C63369">
      <w:pPr>
        <w:shd w:val="clear" w:color="auto" w:fill="FFFFFF" w:themeFill="background1"/>
        <w:tabs>
          <w:tab w:val="right" w:pos="850"/>
          <w:tab w:val="left" w:pos="1134"/>
          <w:tab w:val="left" w:pos="1559"/>
          <w:tab w:val="left" w:pos="1984"/>
          <w:tab w:val="right" w:leader="dot" w:pos="8929"/>
          <w:tab w:val="right" w:pos="9638"/>
        </w:tabs>
        <w:spacing w:after="120"/>
        <w:rPr>
          <w:rFonts w:eastAsia="SimSun"/>
          <w:lang w:eastAsia="en-GB"/>
        </w:rPr>
      </w:pPr>
      <w:r w:rsidRPr="0064650F">
        <w:rPr>
          <w:rFonts w:eastAsia="SimSun"/>
          <w:lang w:eastAsia="en-GB"/>
        </w:rPr>
        <w:tab/>
        <w:t>IV.</w:t>
      </w:r>
      <w:r w:rsidRPr="0064650F">
        <w:rPr>
          <w:rFonts w:eastAsia="SimSun"/>
          <w:lang w:eastAsia="en-GB"/>
        </w:rPr>
        <w:tab/>
        <w:t>Cooperation</w:t>
      </w:r>
      <w:r w:rsidRPr="0064650F">
        <w:rPr>
          <w:rFonts w:eastAsia="SimSun"/>
          <w:lang w:eastAsia="en-GB"/>
        </w:rPr>
        <w:tab/>
      </w:r>
      <w:r w:rsidRPr="0064650F">
        <w:rPr>
          <w:rFonts w:eastAsia="SimSun"/>
          <w:lang w:eastAsia="en-GB"/>
        </w:rPr>
        <w:tab/>
      </w:r>
      <w:r w:rsidR="00CA61F5" w:rsidRPr="0064650F">
        <w:rPr>
          <w:rFonts w:eastAsia="SimSun"/>
          <w:lang w:eastAsia="en-GB"/>
        </w:rPr>
        <w:t>2</w:t>
      </w:r>
      <w:r w:rsidR="00197C2E">
        <w:rPr>
          <w:rFonts w:eastAsia="SimSun"/>
          <w:lang w:eastAsia="en-GB"/>
        </w:rPr>
        <w:t>1</w:t>
      </w:r>
    </w:p>
    <w:p w:rsidR="006141E2" w:rsidRPr="0064650F" w:rsidRDefault="006141E2" w:rsidP="006141E2">
      <w:pPr>
        <w:shd w:val="clear" w:color="auto" w:fill="FFFFFF" w:themeFill="background1"/>
        <w:tabs>
          <w:tab w:val="right" w:pos="850"/>
          <w:tab w:val="left" w:pos="1134"/>
          <w:tab w:val="left" w:pos="1559"/>
          <w:tab w:val="left" w:pos="1984"/>
          <w:tab w:val="right" w:leader="dot" w:pos="8929"/>
          <w:tab w:val="right" w:pos="9638"/>
        </w:tabs>
        <w:spacing w:after="120"/>
        <w:rPr>
          <w:rFonts w:eastAsia="SimSun"/>
          <w:lang w:eastAsia="en-GB"/>
        </w:rPr>
      </w:pPr>
      <w:r w:rsidRPr="0064650F">
        <w:rPr>
          <w:rFonts w:eastAsia="SimSun"/>
          <w:lang w:eastAsia="en-GB"/>
        </w:rPr>
        <w:tab/>
        <w:t>V.</w:t>
      </w:r>
      <w:r w:rsidRPr="0064650F">
        <w:rPr>
          <w:rFonts w:eastAsia="SimSun"/>
          <w:lang w:eastAsia="en-GB"/>
        </w:rPr>
        <w:tab/>
        <w:t xml:space="preserve">Conclusions and </w:t>
      </w:r>
      <w:r w:rsidR="0002187B">
        <w:rPr>
          <w:rFonts w:eastAsia="SimSun"/>
          <w:lang w:eastAsia="en-GB"/>
        </w:rPr>
        <w:t xml:space="preserve">the </w:t>
      </w:r>
      <w:r w:rsidRPr="0064650F">
        <w:rPr>
          <w:rFonts w:eastAsia="SimSun"/>
          <w:lang w:eastAsia="en-GB"/>
        </w:rPr>
        <w:t>way forward</w:t>
      </w:r>
      <w:r w:rsidRPr="0064650F">
        <w:rPr>
          <w:rFonts w:eastAsia="SimSun"/>
          <w:lang w:eastAsia="en-GB"/>
        </w:rPr>
        <w:tab/>
      </w:r>
      <w:r w:rsidRPr="0064650F">
        <w:rPr>
          <w:rFonts w:eastAsia="SimSun"/>
          <w:lang w:eastAsia="en-GB"/>
        </w:rPr>
        <w:tab/>
        <w:t>2</w:t>
      </w:r>
      <w:r w:rsidR="00197C2E">
        <w:rPr>
          <w:rFonts w:eastAsia="SimSun"/>
          <w:lang w:eastAsia="en-GB"/>
        </w:rPr>
        <w:t>3</w:t>
      </w:r>
    </w:p>
    <w:p w:rsidR="00795611" w:rsidRPr="0064650F" w:rsidRDefault="00795611" w:rsidP="00795611">
      <w:pPr>
        <w:tabs>
          <w:tab w:val="right" w:pos="850"/>
          <w:tab w:val="left" w:pos="1134"/>
          <w:tab w:val="left" w:pos="1559"/>
          <w:tab w:val="left" w:pos="1984"/>
          <w:tab w:val="left" w:leader="dot" w:pos="8505"/>
          <w:tab w:val="right" w:pos="8929"/>
          <w:tab w:val="right" w:pos="9638"/>
        </w:tabs>
        <w:spacing w:after="110" w:line="240" w:lineRule="auto"/>
        <w:ind w:left="1140" w:hanging="1140"/>
        <w:rPr>
          <w:rFonts w:eastAsia="Calibri"/>
          <w:b/>
        </w:rPr>
      </w:pPr>
      <w:r w:rsidRPr="0064650F">
        <w:rPr>
          <w:rFonts w:eastAsia="Calibri"/>
        </w:rPr>
        <w:tab/>
      </w:r>
      <w:r w:rsidRPr="0064650F">
        <w:rPr>
          <w:rFonts w:eastAsia="Calibri"/>
          <w:b/>
        </w:rPr>
        <w:t>Figures</w:t>
      </w:r>
    </w:p>
    <w:p w:rsidR="00795611" w:rsidRPr="0064650F" w:rsidRDefault="00795611" w:rsidP="00C750DD">
      <w:pPr>
        <w:tabs>
          <w:tab w:val="right" w:pos="850"/>
          <w:tab w:val="left" w:pos="1134"/>
          <w:tab w:val="left" w:pos="1559"/>
          <w:tab w:val="left" w:pos="1984"/>
          <w:tab w:val="right" w:leader="dot" w:pos="8929"/>
          <w:tab w:val="right" w:pos="9638"/>
        </w:tabs>
        <w:spacing w:after="110" w:line="240" w:lineRule="auto"/>
        <w:ind w:left="1140" w:hanging="1140"/>
        <w:rPr>
          <w:rFonts w:eastAsia="Calibri"/>
        </w:rPr>
      </w:pPr>
      <w:r w:rsidRPr="0064650F">
        <w:rPr>
          <w:rFonts w:eastAsia="Calibri"/>
        </w:rPr>
        <w:tab/>
        <w:t>1.</w:t>
      </w:r>
      <w:r w:rsidRPr="0064650F">
        <w:rPr>
          <w:rFonts w:eastAsia="Calibri"/>
        </w:rPr>
        <w:tab/>
        <w:t>Loans originated by commercial banks for capital repairs and energy</w:t>
      </w:r>
      <w:r w:rsidR="00EE11A9">
        <w:rPr>
          <w:rFonts w:eastAsia="Calibri"/>
        </w:rPr>
        <w:t>-</w:t>
      </w:r>
      <w:r w:rsidRPr="0064650F">
        <w:rPr>
          <w:rFonts w:eastAsia="Calibri"/>
        </w:rPr>
        <w:t>efficient modernization</w:t>
      </w:r>
      <w:r w:rsidR="0086163F">
        <w:rPr>
          <w:rFonts w:eastAsia="Calibri"/>
        </w:rPr>
        <w:t xml:space="preserve"> </w:t>
      </w:r>
      <w:r w:rsidR="003372AA">
        <w:rPr>
          <w:rFonts w:eastAsia="Calibri"/>
        </w:rPr>
        <w:br/>
      </w:r>
      <w:r w:rsidRPr="0064650F">
        <w:rPr>
          <w:rFonts w:eastAsia="Calibri"/>
        </w:rPr>
        <w:t xml:space="preserve">of apartment buildings </w:t>
      </w:r>
      <w:r w:rsidR="003372AA">
        <w:rPr>
          <w:rFonts w:eastAsia="Calibri"/>
        </w:rPr>
        <w:t xml:space="preserve">in Estonia, </w:t>
      </w:r>
      <w:r w:rsidRPr="0064650F">
        <w:rPr>
          <w:rFonts w:eastAsia="Calibri"/>
        </w:rPr>
        <w:t>backed by the surety issued by KredEx</w:t>
      </w:r>
      <w:r w:rsidRPr="0064650F">
        <w:rPr>
          <w:rFonts w:eastAsia="Calibri"/>
        </w:rPr>
        <w:tab/>
      </w:r>
      <w:r w:rsidRPr="0064650F">
        <w:rPr>
          <w:rFonts w:eastAsia="Calibri"/>
        </w:rPr>
        <w:tab/>
      </w:r>
      <w:r w:rsidR="006141E2" w:rsidRPr="0064650F">
        <w:rPr>
          <w:rFonts w:eastAsia="Calibri"/>
        </w:rPr>
        <w:t>6</w:t>
      </w:r>
    </w:p>
    <w:p w:rsidR="00795611" w:rsidRPr="0064650F" w:rsidRDefault="00795611" w:rsidP="00C750DD">
      <w:pPr>
        <w:tabs>
          <w:tab w:val="right" w:pos="850"/>
          <w:tab w:val="left" w:pos="1134"/>
          <w:tab w:val="left" w:pos="1559"/>
          <w:tab w:val="left" w:pos="1984"/>
          <w:tab w:val="right" w:leader="dot" w:pos="8929"/>
          <w:tab w:val="right" w:pos="9638"/>
        </w:tabs>
        <w:spacing w:after="110" w:line="240" w:lineRule="auto"/>
        <w:ind w:left="1140" w:hanging="1140"/>
        <w:rPr>
          <w:rFonts w:eastAsia="Calibri"/>
        </w:rPr>
      </w:pPr>
      <w:r w:rsidRPr="0064650F">
        <w:rPr>
          <w:rFonts w:eastAsia="Calibri"/>
        </w:rPr>
        <w:tab/>
        <w:t>2.</w:t>
      </w:r>
      <w:r w:rsidRPr="0064650F">
        <w:rPr>
          <w:rFonts w:eastAsia="Calibri"/>
        </w:rPr>
        <w:tab/>
        <w:t>Quality of urban public transport versus demand in selected ECE capitals</w:t>
      </w:r>
      <w:r w:rsidRPr="0064650F">
        <w:rPr>
          <w:rFonts w:eastAsia="Calibri"/>
        </w:rPr>
        <w:tab/>
      </w:r>
      <w:r w:rsidRPr="0064650F">
        <w:rPr>
          <w:rFonts w:eastAsia="Calibri"/>
        </w:rPr>
        <w:tab/>
      </w:r>
      <w:r w:rsidR="008E514A">
        <w:rPr>
          <w:rFonts w:eastAsia="Calibri"/>
        </w:rPr>
        <w:t>8</w:t>
      </w:r>
    </w:p>
    <w:p w:rsidR="009464A0" w:rsidRPr="0064650F" w:rsidRDefault="009464A0" w:rsidP="00C750DD">
      <w:pPr>
        <w:tabs>
          <w:tab w:val="right" w:pos="850"/>
          <w:tab w:val="left" w:pos="1134"/>
          <w:tab w:val="left" w:pos="1559"/>
          <w:tab w:val="left" w:pos="1984"/>
          <w:tab w:val="right" w:leader="dot" w:pos="8929"/>
          <w:tab w:val="right" w:pos="9638"/>
        </w:tabs>
        <w:spacing w:after="110" w:line="240" w:lineRule="auto"/>
        <w:ind w:left="1140" w:hanging="1140"/>
        <w:rPr>
          <w:rFonts w:eastAsia="Calibri"/>
        </w:rPr>
      </w:pPr>
      <w:r w:rsidRPr="0064650F">
        <w:rPr>
          <w:rFonts w:eastAsia="Calibri"/>
        </w:rPr>
        <w:tab/>
      </w:r>
      <w:r w:rsidR="00F80672" w:rsidRPr="0064650F">
        <w:rPr>
          <w:rFonts w:eastAsia="Calibri"/>
        </w:rPr>
        <w:t>3</w:t>
      </w:r>
      <w:r w:rsidRPr="0064650F">
        <w:rPr>
          <w:rFonts w:eastAsia="Calibri"/>
        </w:rPr>
        <w:t>.</w:t>
      </w:r>
      <w:r w:rsidRPr="0064650F">
        <w:rPr>
          <w:rFonts w:eastAsia="Calibri"/>
        </w:rPr>
        <w:tab/>
      </w:r>
      <w:r w:rsidR="0049311E" w:rsidRPr="0064650F">
        <w:rPr>
          <w:rFonts w:eastAsia="Calibri"/>
        </w:rPr>
        <w:t xml:space="preserve">Trends in selected forest management characteristics, compared </w:t>
      </w:r>
      <w:r w:rsidR="0002187B">
        <w:rPr>
          <w:rFonts w:eastAsia="Calibri"/>
        </w:rPr>
        <w:t xml:space="preserve">with </w:t>
      </w:r>
      <w:r w:rsidR="00C542D8">
        <w:rPr>
          <w:rFonts w:eastAsia="Calibri"/>
        </w:rPr>
        <w:t xml:space="preserve">the </w:t>
      </w:r>
      <w:r w:rsidR="0049311E" w:rsidRPr="0064650F">
        <w:rPr>
          <w:rFonts w:eastAsia="Calibri"/>
        </w:rPr>
        <w:t>situation in 2000</w:t>
      </w:r>
      <w:r w:rsidRPr="0064650F">
        <w:rPr>
          <w:rFonts w:eastAsia="Calibri"/>
        </w:rPr>
        <w:tab/>
      </w:r>
      <w:r w:rsidRPr="0064650F">
        <w:rPr>
          <w:rFonts w:eastAsia="Calibri"/>
        </w:rPr>
        <w:tab/>
      </w:r>
      <w:r w:rsidR="0049311E" w:rsidRPr="0064650F">
        <w:rPr>
          <w:rFonts w:eastAsia="Calibri"/>
        </w:rPr>
        <w:t>1</w:t>
      </w:r>
      <w:r w:rsidR="006141E2" w:rsidRPr="0064650F">
        <w:rPr>
          <w:rFonts w:eastAsia="Calibri"/>
        </w:rPr>
        <w:t>0</w:t>
      </w:r>
    </w:p>
    <w:p w:rsidR="009464A0" w:rsidRPr="0064650F" w:rsidRDefault="009464A0" w:rsidP="00C750DD">
      <w:pPr>
        <w:tabs>
          <w:tab w:val="right" w:pos="850"/>
          <w:tab w:val="left" w:pos="1134"/>
          <w:tab w:val="left" w:pos="1559"/>
          <w:tab w:val="left" w:pos="1984"/>
          <w:tab w:val="right" w:leader="dot" w:pos="8929"/>
          <w:tab w:val="right" w:pos="9638"/>
        </w:tabs>
        <w:spacing w:after="110" w:line="240" w:lineRule="auto"/>
        <w:ind w:left="1140" w:hanging="1140"/>
        <w:rPr>
          <w:rFonts w:eastAsia="Calibri"/>
        </w:rPr>
      </w:pPr>
      <w:r w:rsidRPr="0064650F">
        <w:rPr>
          <w:rFonts w:eastAsia="Calibri"/>
        </w:rPr>
        <w:tab/>
      </w:r>
      <w:r w:rsidR="00F80672" w:rsidRPr="0064650F">
        <w:rPr>
          <w:rFonts w:eastAsia="Calibri"/>
        </w:rPr>
        <w:t>4</w:t>
      </w:r>
      <w:r w:rsidRPr="0064650F">
        <w:rPr>
          <w:rFonts w:eastAsia="Calibri"/>
        </w:rPr>
        <w:t>.</w:t>
      </w:r>
      <w:r w:rsidRPr="0064650F">
        <w:rPr>
          <w:rFonts w:eastAsia="Calibri"/>
        </w:rPr>
        <w:tab/>
      </w:r>
      <w:r w:rsidR="004C538B" w:rsidRPr="0064650F">
        <w:rPr>
          <w:rFonts w:eastAsia="Calibri"/>
        </w:rPr>
        <w:t>Nexus components</w:t>
      </w:r>
      <w:r w:rsidRPr="0064650F">
        <w:rPr>
          <w:rFonts w:eastAsia="Calibri"/>
        </w:rPr>
        <w:tab/>
      </w:r>
      <w:r w:rsidRPr="0064650F">
        <w:rPr>
          <w:rFonts w:eastAsia="Calibri"/>
        </w:rPr>
        <w:tab/>
      </w:r>
      <w:r w:rsidR="004C538B" w:rsidRPr="0064650F">
        <w:rPr>
          <w:rFonts w:eastAsia="Calibri"/>
        </w:rPr>
        <w:t>1</w:t>
      </w:r>
      <w:r w:rsidR="006141E2" w:rsidRPr="0064650F">
        <w:rPr>
          <w:rFonts w:eastAsia="Calibri"/>
        </w:rPr>
        <w:t>2</w:t>
      </w:r>
    </w:p>
    <w:p w:rsidR="00C27641" w:rsidRPr="0064650F" w:rsidRDefault="00C27641" w:rsidP="00C750DD">
      <w:pPr>
        <w:tabs>
          <w:tab w:val="right" w:pos="850"/>
          <w:tab w:val="left" w:pos="1134"/>
          <w:tab w:val="left" w:pos="1559"/>
          <w:tab w:val="left" w:pos="1984"/>
          <w:tab w:val="right" w:leader="dot" w:pos="8929"/>
          <w:tab w:val="right" w:pos="9638"/>
        </w:tabs>
        <w:spacing w:after="110" w:line="240" w:lineRule="auto"/>
        <w:ind w:left="1140" w:hanging="1140"/>
        <w:rPr>
          <w:rFonts w:eastAsia="Calibri"/>
          <w:b/>
        </w:rPr>
      </w:pPr>
      <w:r w:rsidRPr="0064650F">
        <w:rPr>
          <w:rFonts w:eastAsia="Calibri"/>
        </w:rPr>
        <w:tab/>
      </w:r>
      <w:r w:rsidRPr="0064650F">
        <w:rPr>
          <w:rFonts w:eastAsia="Calibri"/>
          <w:b/>
        </w:rPr>
        <w:t>Boxes</w:t>
      </w:r>
    </w:p>
    <w:p w:rsidR="00C27641" w:rsidRPr="0064650F" w:rsidRDefault="00C27641" w:rsidP="00C750DD">
      <w:pPr>
        <w:tabs>
          <w:tab w:val="right" w:pos="850"/>
          <w:tab w:val="left" w:pos="1134"/>
          <w:tab w:val="left" w:pos="1559"/>
          <w:tab w:val="left" w:pos="1984"/>
          <w:tab w:val="right" w:leader="dot" w:pos="8929"/>
          <w:tab w:val="right" w:pos="9638"/>
        </w:tabs>
        <w:spacing w:after="110" w:line="240" w:lineRule="auto"/>
        <w:ind w:left="1140" w:hanging="1140"/>
        <w:rPr>
          <w:rFonts w:eastAsia="Calibri"/>
        </w:rPr>
      </w:pPr>
      <w:r w:rsidRPr="0064650F">
        <w:rPr>
          <w:rFonts w:eastAsia="Calibri"/>
        </w:rPr>
        <w:tab/>
        <w:t>1.</w:t>
      </w:r>
      <w:r w:rsidRPr="0064650F">
        <w:rPr>
          <w:rFonts w:eastAsia="Calibri"/>
        </w:rPr>
        <w:tab/>
      </w:r>
      <w:r w:rsidR="00070580" w:rsidRPr="0064650F">
        <w:rPr>
          <w:rFonts w:eastAsia="Calibri"/>
        </w:rPr>
        <w:t xml:space="preserve">Benefits of </w:t>
      </w:r>
      <w:r w:rsidR="00D56B2D">
        <w:rPr>
          <w:rFonts w:eastAsia="Calibri"/>
        </w:rPr>
        <w:t>s</w:t>
      </w:r>
      <w:r w:rsidR="00070580" w:rsidRPr="0064650F">
        <w:rPr>
          <w:rFonts w:eastAsia="Calibri"/>
        </w:rPr>
        <w:t xml:space="preserve">ustainable </w:t>
      </w:r>
      <w:r w:rsidR="00D56B2D">
        <w:rPr>
          <w:rFonts w:eastAsia="Calibri"/>
        </w:rPr>
        <w:t>p</w:t>
      </w:r>
      <w:r w:rsidR="00070580" w:rsidRPr="0064650F">
        <w:rPr>
          <w:rFonts w:eastAsia="Calibri"/>
        </w:rPr>
        <w:t xml:space="preserve">ublic </w:t>
      </w:r>
      <w:r w:rsidR="00D56B2D">
        <w:rPr>
          <w:rFonts w:eastAsia="Calibri"/>
        </w:rPr>
        <w:t>p</w:t>
      </w:r>
      <w:r w:rsidR="00070580" w:rsidRPr="0064650F">
        <w:rPr>
          <w:rFonts w:eastAsia="Calibri"/>
        </w:rPr>
        <w:t>rocurement</w:t>
      </w:r>
      <w:r w:rsidRPr="0064650F">
        <w:rPr>
          <w:rFonts w:eastAsia="Calibri"/>
        </w:rPr>
        <w:tab/>
      </w:r>
      <w:r w:rsidRPr="0064650F">
        <w:rPr>
          <w:rFonts w:eastAsia="Calibri"/>
        </w:rPr>
        <w:tab/>
      </w:r>
      <w:r w:rsidR="00C86A6F" w:rsidRPr="0064650F">
        <w:rPr>
          <w:rFonts w:eastAsia="Calibri"/>
        </w:rPr>
        <w:t>1</w:t>
      </w:r>
      <w:r w:rsidR="00C30CD9" w:rsidRPr="0064650F">
        <w:rPr>
          <w:rFonts w:eastAsia="Calibri"/>
        </w:rPr>
        <w:t>6</w:t>
      </w:r>
    </w:p>
    <w:p w:rsidR="00C27641" w:rsidRPr="0064650F" w:rsidRDefault="00C27641" w:rsidP="00C750DD">
      <w:pPr>
        <w:tabs>
          <w:tab w:val="right" w:pos="850"/>
          <w:tab w:val="left" w:pos="1134"/>
          <w:tab w:val="left" w:pos="1559"/>
          <w:tab w:val="left" w:pos="1984"/>
          <w:tab w:val="right" w:leader="dot" w:pos="8929"/>
          <w:tab w:val="right" w:pos="9638"/>
        </w:tabs>
        <w:spacing w:after="110" w:line="240" w:lineRule="auto"/>
        <w:ind w:left="1140" w:hanging="1140"/>
        <w:rPr>
          <w:rFonts w:eastAsia="Calibri"/>
        </w:rPr>
      </w:pPr>
      <w:r w:rsidRPr="0064650F">
        <w:rPr>
          <w:rFonts w:eastAsia="Calibri"/>
        </w:rPr>
        <w:tab/>
        <w:t>2.</w:t>
      </w:r>
      <w:r w:rsidRPr="0064650F">
        <w:rPr>
          <w:rFonts w:eastAsia="Calibri"/>
        </w:rPr>
        <w:tab/>
      </w:r>
      <w:r w:rsidR="00C86A6F" w:rsidRPr="0064650F">
        <w:rPr>
          <w:rFonts w:eastAsia="Calibri"/>
        </w:rPr>
        <w:t>Reforming environmentally</w:t>
      </w:r>
      <w:r w:rsidR="00EE11A9">
        <w:rPr>
          <w:rFonts w:eastAsia="Calibri"/>
        </w:rPr>
        <w:t xml:space="preserve"> </w:t>
      </w:r>
      <w:r w:rsidR="00C86A6F" w:rsidRPr="0064650F">
        <w:rPr>
          <w:rFonts w:eastAsia="Calibri"/>
        </w:rPr>
        <w:t xml:space="preserve">related economic instruments in Eastern Europe, </w:t>
      </w:r>
      <w:r w:rsidR="00EE11A9">
        <w:rPr>
          <w:rFonts w:eastAsia="Calibri"/>
        </w:rPr>
        <w:t xml:space="preserve">the </w:t>
      </w:r>
      <w:r w:rsidR="00C86A6F" w:rsidRPr="0064650F">
        <w:rPr>
          <w:rFonts w:eastAsia="Calibri"/>
        </w:rPr>
        <w:t>Caucasus</w:t>
      </w:r>
      <w:r w:rsidR="00C86A6F" w:rsidRPr="0064650F">
        <w:rPr>
          <w:rFonts w:eastAsia="Calibri"/>
        </w:rPr>
        <w:br/>
        <w:t>and Central Asia</w:t>
      </w:r>
      <w:r w:rsidRPr="0064650F">
        <w:rPr>
          <w:rFonts w:eastAsia="Calibri"/>
        </w:rPr>
        <w:tab/>
      </w:r>
      <w:r w:rsidR="00C86A6F" w:rsidRPr="0064650F">
        <w:rPr>
          <w:rFonts w:eastAsia="Calibri"/>
        </w:rPr>
        <w:tab/>
        <w:t>1</w:t>
      </w:r>
      <w:r w:rsidR="00197C2E">
        <w:rPr>
          <w:rFonts w:eastAsia="Calibri"/>
        </w:rPr>
        <w:t>8</w:t>
      </w:r>
    </w:p>
    <w:p w:rsidR="00C27641" w:rsidRPr="0064650F" w:rsidRDefault="00C27641" w:rsidP="00C750DD">
      <w:pPr>
        <w:tabs>
          <w:tab w:val="right" w:pos="850"/>
          <w:tab w:val="left" w:pos="1134"/>
          <w:tab w:val="left" w:pos="1559"/>
          <w:tab w:val="left" w:pos="1984"/>
          <w:tab w:val="right" w:leader="dot" w:pos="8929"/>
          <w:tab w:val="right" w:pos="9638"/>
        </w:tabs>
        <w:spacing w:after="110" w:line="240" w:lineRule="auto"/>
        <w:ind w:left="1140" w:hanging="1140"/>
        <w:rPr>
          <w:rFonts w:eastAsia="Calibri"/>
        </w:rPr>
      </w:pPr>
      <w:r w:rsidRPr="0064650F">
        <w:rPr>
          <w:rFonts w:eastAsia="Calibri"/>
        </w:rPr>
        <w:tab/>
        <w:t>3.</w:t>
      </w:r>
      <w:r w:rsidRPr="0064650F">
        <w:rPr>
          <w:rFonts w:eastAsia="Calibri"/>
        </w:rPr>
        <w:tab/>
      </w:r>
      <w:r w:rsidR="00197C2E" w:rsidRPr="00197C2E">
        <w:rPr>
          <w:rFonts w:eastAsia="Calibri"/>
        </w:rPr>
        <w:t xml:space="preserve">Enabling conditions for </w:t>
      </w:r>
      <w:proofErr w:type="gramStart"/>
      <w:r w:rsidR="00197C2E" w:rsidRPr="00197C2E">
        <w:rPr>
          <w:rFonts w:eastAsia="Calibri"/>
        </w:rPr>
        <w:t>innovative  start</w:t>
      </w:r>
      <w:proofErr w:type="gramEnd"/>
      <w:r w:rsidR="00197C2E" w:rsidRPr="00197C2E">
        <w:rPr>
          <w:rFonts w:eastAsia="Calibri"/>
        </w:rPr>
        <w:t>-ups: the case of Italy</w:t>
      </w:r>
      <w:r w:rsidRPr="0064650F">
        <w:rPr>
          <w:rFonts w:eastAsia="Calibri"/>
        </w:rPr>
        <w:tab/>
      </w:r>
      <w:r w:rsidRPr="0064650F">
        <w:rPr>
          <w:rFonts w:eastAsia="Calibri"/>
        </w:rPr>
        <w:tab/>
      </w:r>
      <w:r w:rsidR="00162416" w:rsidRPr="0064650F">
        <w:rPr>
          <w:rFonts w:eastAsia="Calibri"/>
        </w:rPr>
        <w:t>20</w:t>
      </w:r>
    </w:p>
    <w:p w:rsidR="00C27641" w:rsidRPr="0064650F" w:rsidRDefault="00C27641" w:rsidP="003C0AB2">
      <w:pPr>
        <w:tabs>
          <w:tab w:val="right" w:pos="850"/>
          <w:tab w:val="left" w:pos="1134"/>
          <w:tab w:val="left" w:pos="1559"/>
          <w:tab w:val="left" w:pos="1984"/>
          <w:tab w:val="left" w:leader="dot" w:pos="8929"/>
          <w:tab w:val="right" w:pos="9638"/>
        </w:tabs>
        <w:spacing w:after="120"/>
        <w:rPr>
          <w:rFonts w:eastAsia="SimSun"/>
          <w:lang w:eastAsia="en-GB"/>
        </w:rPr>
      </w:pPr>
      <w:r w:rsidRPr="0064650F">
        <w:rPr>
          <w:rFonts w:eastAsia="SimSun"/>
          <w:lang w:eastAsia="en-GB"/>
        </w:rPr>
        <w:br w:type="page"/>
      </w:r>
    </w:p>
    <w:p w:rsidR="005F6C8E" w:rsidRPr="0064650F" w:rsidRDefault="005F6C8E" w:rsidP="00317DD1">
      <w:pPr>
        <w:pStyle w:val="HChG"/>
        <w:rPr>
          <w:i/>
        </w:rPr>
      </w:pPr>
      <w:r w:rsidRPr="0064650F">
        <w:rPr>
          <w:rFonts w:eastAsia="SimSun"/>
          <w:lang w:eastAsia="en-GB"/>
        </w:rPr>
        <w:lastRenderedPageBreak/>
        <w:tab/>
      </w:r>
      <w:r w:rsidRPr="0064650F">
        <w:rPr>
          <w:rFonts w:eastAsia="SimSun"/>
          <w:lang w:eastAsia="en-GB"/>
        </w:rPr>
        <w:tab/>
        <w:t>Introduction</w:t>
      </w:r>
    </w:p>
    <w:p w:rsidR="005F6C8E" w:rsidRPr="0064650F" w:rsidRDefault="005F6C8E" w:rsidP="00317DD1">
      <w:pPr>
        <w:pStyle w:val="SingleTxtG"/>
      </w:pPr>
      <w:r w:rsidRPr="0064650F">
        <w:t>1.</w:t>
      </w:r>
      <w:r w:rsidRPr="0064650F">
        <w:tab/>
        <w:t xml:space="preserve">Greening the economy </w:t>
      </w:r>
      <w:r w:rsidR="0086163F">
        <w:t>—</w:t>
      </w:r>
      <w:r w:rsidRPr="0064650F">
        <w:t xml:space="preserve"> understood as an approach to foster </w:t>
      </w:r>
      <w:r w:rsidR="00D54DD6">
        <w:t xml:space="preserve">a healthy economy </w:t>
      </w:r>
      <w:r w:rsidRPr="0064650F">
        <w:t xml:space="preserve">while ensuring environmental sustainability and social equity </w:t>
      </w:r>
      <w:r w:rsidR="0086163F">
        <w:t>—</w:t>
      </w:r>
      <w:r w:rsidRPr="0064650F">
        <w:t xml:space="preserve"> </w:t>
      </w:r>
      <w:r w:rsidRPr="0064650F">
        <w:rPr>
          <w:rFonts w:eastAsia="SimSun"/>
          <w:lang w:eastAsia="en-GB"/>
        </w:rPr>
        <w:t xml:space="preserve">is considered to be a promising avenue </w:t>
      </w:r>
      <w:r w:rsidRPr="0064650F">
        <w:t xml:space="preserve">towards sustainable development. For this reason, the United Nations and its Member States are working towards embracing green economy approaches, including within the post-2015 development agenda and </w:t>
      </w:r>
      <w:proofErr w:type="gramStart"/>
      <w:r w:rsidRPr="0064650F">
        <w:t>its</w:t>
      </w:r>
      <w:proofErr w:type="gramEnd"/>
      <w:r w:rsidRPr="0064650F">
        <w:t xml:space="preserve"> </w:t>
      </w:r>
      <w:r w:rsidR="002760FF">
        <w:t>S</w:t>
      </w:r>
      <w:r w:rsidRPr="0064650F">
        <w:t xml:space="preserve">ustainable </w:t>
      </w:r>
      <w:r w:rsidR="002760FF">
        <w:t>D</w:t>
      </w:r>
      <w:r w:rsidRPr="0064650F">
        <w:t xml:space="preserve">evelopment </w:t>
      </w:r>
      <w:r w:rsidR="002760FF">
        <w:t>G</w:t>
      </w:r>
      <w:r w:rsidRPr="0064650F">
        <w:t xml:space="preserve">oals (SDGs). </w:t>
      </w:r>
    </w:p>
    <w:p w:rsidR="005F6C8E" w:rsidRPr="0064650F" w:rsidRDefault="005F6C8E" w:rsidP="00317DD1">
      <w:pPr>
        <w:pStyle w:val="SingleTxtG"/>
      </w:pPr>
      <w:r w:rsidRPr="0064650F">
        <w:t>2.</w:t>
      </w:r>
      <w:r w:rsidRPr="0064650F">
        <w:tab/>
        <w:t>In the pan-European region</w:t>
      </w:r>
      <w:r w:rsidR="002760FF">
        <w:t>,</w:t>
      </w:r>
      <w:r w:rsidR="001249ED" w:rsidRPr="0064650F">
        <w:rPr>
          <w:rStyle w:val="FootnoteReference"/>
        </w:rPr>
        <w:footnoteReference w:id="2"/>
      </w:r>
      <w:r w:rsidRPr="0064650F">
        <w:t xml:space="preserve"> environment ministers agreed at the 2011 Environment for Europe </w:t>
      </w:r>
      <w:r w:rsidR="002760FF">
        <w:t>(EfE) C</w:t>
      </w:r>
      <w:r w:rsidRPr="0064650F">
        <w:t>onference in Astana to take the lead in the transition to a green economy. They stressed the need to strengthen efforts to decouple economic growth from environmental degradation by stimulating green investments and promoting sustainable consumption and production, energy and resource efficiency and innovation. They also emphasized the importance of the development of human, institutional and economic capacities, including through research, education and training in support of greening the economies.</w:t>
      </w:r>
      <w:r w:rsidRPr="0064650F">
        <w:rPr>
          <w:sz w:val="18"/>
          <w:vertAlign w:val="superscript"/>
        </w:rPr>
        <w:footnoteReference w:id="3"/>
      </w:r>
      <w:r w:rsidRPr="0064650F">
        <w:t xml:space="preserve"> </w:t>
      </w:r>
    </w:p>
    <w:p w:rsidR="005F6C8E" w:rsidRPr="0064650F" w:rsidRDefault="00290650" w:rsidP="00317DD1">
      <w:pPr>
        <w:pStyle w:val="SingleTxtG"/>
        <w:rPr>
          <w:lang w:eastAsia="es-ES"/>
        </w:rPr>
      </w:pPr>
      <w:r w:rsidRPr="0064650F">
        <w:t>3.</w:t>
      </w:r>
      <w:r w:rsidR="005F6C8E" w:rsidRPr="0064650F">
        <w:tab/>
        <w:t xml:space="preserve">The </w:t>
      </w:r>
      <w:r w:rsidR="005F6C8E" w:rsidRPr="0064650F">
        <w:rPr>
          <w:lang w:eastAsia="es-ES"/>
        </w:rPr>
        <w:t>Eighth</w:t>
      </w:r>
      <w:r w:rsidR="002760FF">
        <w:rPr>
          <w:lang w:eastAsia="es-ES"/>
        </w:rPr>
        <w:t xml:space="preserve"> </w:t>
      </w:r>
      <w:r w:rsidR="005F6C8E" w:rsidRPr="0064650F">
        <w:rPr>
          <w:lang w:eastAsia="es-ES"/>
        </w:rPr>
        <w:t xml:space="preserve">EfE Ministerial Conference (Batumi, Georgia, 8–10 June 2016) will work on furthering the green economy transition in the region in response to commitments made at the previous </w:t>
      </w:r>
      <w:r w:rsidR="002760FF">
        <w:rPr>
          <w:lang w:eastAsia="es-ES"/>
        </w:rPr>
        <w:t>C</w:t>
      </w:r>
      <w:r w:rsidR="005F6C8E" w:rsidRPr="0064650F">
        <w:rPr>
          <w:lang w:eastAsia="es-ES"/>
        </w:rPr>
        <w:t xml:space="preserve">onference. </w:t>
      </w:r>
      <w:r w:rsidR="00497206">
        <w:rPr>
          <w:lang w:eastAsia="es-ES"/>
        </w:rPr>
        <w:t>Whereas, i</w:t>
      </w:r>
      <w:r w:rsidR="005F6C8E" w:rsidRPr="0064650F">
        <w:rPr>
          <w:lang w:eastAsia="es-ES"/>
        </w:rPr>
        <w:t>n Astana</w:t>
      </w:r>
      <w:r w:rsidR="002760FF">
        <w:rPr>
          <w:lang w:eastAsia="es-ES"/>
        </w:rPr>
        <w:t>,</w:t>
      </w:r>
      <w:r w:rsidR="005F6C8E" w:rsidRPr="0064650F">
        <w:rPr>
          <w:lang w:eastAsia="es-ES"/>
        </w:rPr>
        <w:t xml:space="preserve"> the discussion </w:t>
      </w:r>
      <w:r w:rsidR="002760FF">
        <w:rPr>
          <w:lang w:eastAsia="es-ES"/>
        </w:rPr>
        <w:t xml:space="preserve">on green economy </w:t>
      </w:r>
      <w:r w:rsidR="005F6C8E" w:rsidRPr="0064650F">
        <w:rPr>
          <w:lang w:eastAsia="es-ES"/>
        </w:rPr>
        <w:t>focused mostly on why</w:t>
      </w:r>
      <w:r w:rsidR="002760FF">
        <w:rPr>
          <w:lang w:eastAsia="es-ES"/>
        </w:rPr>
        <w:t xml:space="preserve"> this process should be started</w:t>
      </w:r>
      <w:r w:rsidR="005F6C8E" w:rsidRPr="0064650F">
        <w:rPr>
          <w:lang w:eastAsia="es-ES"/>
        </w:rPr>
        <w:t>, in Batumi the discussion will focus on how. The intention is to support ministries of environment to</w:t>
      </w:r>
      <w:r w:rsidR="005F6C8E" w:rsidRPr="0064650F">
        <w:t xml:space="preserve"> </w:t>
      </w:r>
      <w:r w:rsidR="005F6C8E" w:rsidRPr="0064650F">
        <w:rPr>
          <w:lang w:eastAsia="es-ES"/>
        </w:rPr>
        <w:t>initiate and sustain discussions on the green economy in their national Governments and other relevant for</w:t>
      </w:r>
      <w:r w:rsidR="002760FF">
        <w:rPr>
          <w:lang w:eastAsia="es-ES"/>
        </w:rPr>
        <w:t>ums</w:t>
      </w:r>
      <w:r w:rsidR="005F6C8E" w:rsidRPr="0064650F">
        <w:rPr>
          <w:lang w:eastAsia="es-ES"/>
        </w:rPr>
        <w:t xml:space="preserve">, and to help move the green economy agenda forward. </w:t>
      </w:r>
    </w:p>
    <w:p w:rsidR="005F6C8E" w:rsidRPr="0064650F" w:rsidRDefault="005F6C8E" w:rsidP="00317DD1">
      <w:pPr>
        <w:pStyle w:val="SingleTxtG"/>
      </w:pPr>
      <w:r w:rsidRPr="0064650F">
        <w:t>4.</w:t>
      </w:r>
      <w:r w:rsidRPr="0064650F">
        <w:tab/>
        <w:t xml:space="preserve">There is no one-size-fits-all approach for transitioning to a green economy, as different countries encounter different challenges and opportunities. Countries may therefore be interested in different approaches, tools and actions, whether economy-wide or sectoral, for a green economy transition. At the same time, cooperation and the exchange of good practices and lessons learned are important, including with subnational and local authorities, business and civil society, for efficiently and effectively greening the economy. </w:t>
      </w:r>
    </w:p>
    <w:p w:rsidR="005F6C8E" w:rsidRPr="0064650F" w:rsidRDefault="005F6C8E" w:rsidP="00317DD1">
      <w:pPr>
        <w:pStyle w:val="SingleTxtG"/>
      </w:pPr>
      <w:r w:rsidRPr="0064650F">
        <w:rPr>
          <w:lang w:eastAsia="es-ES"/>
        </w:rPr>
        <w:t>5.</w:t>
      </w:r>
      <w:r w:rsidRPr="0064650F">
        <w:rPr>
          <w:lang w:eastAsia="es-ES"/>
        </w:rPr>
        <w:tab/>
      </w:r>
      <w:r w:rsidRPr="0064650F">
        <w:t>The</w:t>
      </w:r>
      <w:r w:rsidRPr="0064650F">
        <w:rPr>
          <w:bCs/>
          <w:iCs/>
          <w:lang w:eastAsia="es-ES"/>
        </w:rPr>
        <w:t xml:space="preserve"> present document is based on the four clusters of questions for the ministerial discussion prepared by the Bureau of the</w:t>
      </w:r>
      <w:r w:rsidRPr="0064650F">
        <w:rPr>
          <w:lang w:eastAsia="es-ES"/>
        </w:rPr>
        <w:t xml:space="preserve"> </w:t>
      </w:r>
      <w:r w:rsidR="002760FF">
        <w:rPr>
          <w:lang w:eastAsia="es-ES"/>
        </w:rPr>
        <w:t>Economic Commission for Europe (</w:t>
      </w:r>
      <w:r w:rsidRPr="0064650F">
        <w:rPr>
          <w:bCs/>
          <w:iCs/>
          <w:lang w:eastAsia="es-ES"/>
        </w:rPr>
        <w:t>ECE</w:t>
      </w:r>
      <w:r w:rsidR="002760FF">
        <w:rPr>
          <w:bCs/>
          <w:iCs/>
          <w:lang w:eastAsia="es-ES"/>
        </w:rPr>
        <w:t>)</w:t>
      </w:r>
      <w:r w:rsidRPr="0064650F">
        <w:rPr>
          <w:bCs/>
          <w:iCs/>
          <w:lang w:eastAsia="es-ES"/>
        </w:rPr>
        <w:t xml:space="preserve"> </w:t>
      </w:r>
      <w:r w:rsidRPr="0064650F">
        <w:rPr>
          <w:lang w:eastAsia="es-ES"/>
        </w:rPr>
        <w:t>Committee on Environmental Policy (CEP).</w:t>
      </w:r>
      <w:r w:rsidRPr="0064650F">
        <w:rPr>
          <w:sz w:val="18"/>
          <w:vertAlign w:val="superscript"/>
          <w:lang w:eastAsia="es-ES"/>
        </w:rPr>
        <w:footnoteReference w:id="4"/>
      </w:r>
      <w:r w:rsidRPr="0064650F">
        <w:rPr>
          <w:lang w:eastAsia="es-ES"/>
        </w:rPr>
        <w:t xml:space="preserve"> </w:t>
      </w:r>
      <w:r w:rsidRPr="0064650F">
        <w:t xml:space="preserve">The document was prepared by the </w:t>
      </w:r>
      <w:r w:rsidR="002760FF">
        <w:t xml:space="preserve">CEP Chair with input and support from the </w:t>
      </w:r>
      <w:r w:rsidRPr="0064650F">
        <w:t xml:space="preserve">ECE secretariat and </w:t>
      </w:r>
      <w:r w:rsidR="002760FF">
        <w:t>the United Nations Environment Programme (</w:t>
      </w:r>
      <w:r w:rsidRPr="0064650F">
        <w:t>UNEP</w:t>
      </w:r>
      <w:r w:rsidR="002760FF">
        <w:t>)</w:t>
      </w:r>
      <w:r w:rsidRPr="0064650F">
        <w:t xml:space="preserve">, </w:t>
      </w:r>
      <w:r w:rsidR="002760FF">
        <w:t xml:space="preserve">and </w:t>
      </w:r>
      <w:r w:rsidRPr="0064650F">
        <w:t>in consultation with partner organizations, including the European Environment Agency (EEA), the International Labour Organization (ILO), the Organization for Economic Cooperation and Development (OECD), the United Nations Development Programme (UNDP) and the World Health Organization Regional Office for Europe (WHO/Europe).</w:t>
      </w:r>
    </w:p>
    <w:p w:rsidR="005F6C8E" w:rsidRPr="0064650F" w:rsidRDefault="003E7C8C" w:rsidP="006859E2">
      <w:pPr>
        <w:pStyle w:val="SingleTxtG"/>
      </w:pPr>
      <w:r w:rsidRPr="0064650F">
        <w:t>6</w:t>
      </w:r>
      <w:r w:rsidR="005F6C8E" w:rsidRPr="0064650F">
        <w:t>.</w:t>
      </w:r>
      <w:r w:rsidR="005F6C8E" w:rsidRPr="0064650F">
        <w:tab/>
      </w:r>
      <w:r w:rsidR="006859E2" w:rsidRPr="000F2ADB">
        <w:rPr>
          <w:lang w:eastAsia="es-ES"/>
        </w:rPr>
        <w:t xml:space="preserve">The document includes comments made by the CEP Bureau and is </w:t>
      </w:r>
      <w:r w:rsidR="006859E2">
        <w:rPr>
          <w:lang w:eastAsia="es-ES"/>
        </w:rPr>
        <w:t xml:space="preserve">being submitted to </w:t>
      </w:r>
      <w:r w:rsidR="006859E2" w:rsidRPr="000F2ADB">
        <w:rPr>
          <w:lang w:eastAsia="es-ES"/>
        </w:rPr>
        <w:t xml:space="preserve">CEP </w:t>
      </w:r>
      <w:r w:rsidR="006859E2">
        <w:rPr>
          <w:lang w:eastAsia="es-ES"/>
        </w:rPr>
        <w:t xml:space="preserve">for further commenting. A revised version, taking into account any comments received at the twenty-first session, will be updated and resubmitted to CEP for final comments at its </w:t>
      </w:r>
      <w:r w:rsidR="006859E2" w:rsidRPr="000F2ADB">
        <w:rPr>
          <w:lang w:eastAsia="es-ES"/>
        </w:rPr>
        <w:t xml:space="preserve">special session </w:t>
      </w:r>
      <w:r w:rsidR="006859E2">
        <w:rPr>
          <w:lang w:eastAsia="es-ES"/>
        </w:rPr>
        <w:t xml:space="preserve">in </w:t>
      </w:r>
      <w:r w:rsidR="006859E2" w:rsidRPr="000F2ADB">
        <w:rPr>
          <w:lang w:eastAsia="es-ES"/>
        </w:rPr>
        <w:t>February 2016</w:t>
      </w:r>
      <w:r w:rsidR="006859E2">
        <w:rPr>
          <w:lang w:eastAsia="es-ES"/>
        </w:rPr>
        <w:t xml:space="preserve">. The finalized document will then be </w:t>
      </w:r>
      <w:r w:rsidR="006859E2">
        <w:rPr>
          <w:lang w:eastAsia="es-ES"/>
        </w:rPr>
        <w:lastRenderedPageBreak/>
        <w:t xml:space="preserve">submitted to the </w:t>
      </w:r>
      <w:r w:rsidR="006859E2" w:rsidRPr="000F2ADB">
        <w:rPr>
          <w:lang w:eastAsia="es-ES"/>
        </w:rPr>
        <w:t>Batumi EfE Ministerial Conference</w:t>
      </w:r>
      <w:r w:rsidR="006859E2">
        <w:rPr>
          <w:lang w:eastAsia="es-ES"/>
        </w:rPr>
        <w:t xml:space="preserve"> to support the </w:t>
      </w:r>
      <w:r w:rsidR="006859E2">
        <w:rPr>
          <w:bCs/>
          <w:iCs/>
          <w:lang w:eastAsia="es-ES"/>
        </w:rPr>
        <w:t>d</w:t>
      </w:r>
      <w:r w:rsidR="006859E2" w:rsidRPr="000F2ADB">
        <w:rPr>
          <w:bCs/>
          <w:iCs/>
          <w:lang w:eastAsia="es-ES"/>
        </w:rPr>
        <w:t xml:space="preserve">iscussion </w:t>
      </w:r>
      <w:r w:rsidR="006859E2">
        <w:rPr>
          <w:bCs/>
          <w:iCs/>
          <w:lang w:eastAsia="es-ES"/>
        </w:rPr>
        <w:t xml:space="preserve">by ministers </w:t>
      </w:r>
      <w:r w:rsidR="005F6C8E" w:rsidRPr="0064650F">
        <w:t xml:space="preserve">on greening the economy in the pan-European region. </w:t>
      </w:r>
    </w:p>
    <w:p w:rsidR="005F6C8E" w:rsidRPr="0064650F" w:rsidRDefault="003E7C8C" w:rsidP="00882755">
      <w:pPr>
        <w:pStyle w:val="SingleTxtG"/>
      </w:pPr>
      <w:r w:rsidRPr="0064650F">
        <w:t>7</w:t>
      </w:r>
      <w:r w:rsidR="005F6C8E" w:rsidRPr="0064650F">
        <w:t>.</w:t>
      </w:r>
      <w:r w:rsidR="005F6C8E" w:rsidRPr="0064650F">
        <w:tab/>
        <w:t>The document builds on and is complementary to other background documents related to greening the economy produced thus far under the EfE process, as follows:</w:t>
      </w:r>
    </w:p>
    <w:p w:rsidR="005F6C8E" w:rsidRPr="0064650F" w:rsidRDefault="005F6C8E" w:rsidP="00882755">
      <w:pPr>
        <w:pStyle w:val="SingleTxtG"/>
      </w:pPr>
      <w:r w:rsidRPr="0064650F">
        <w:tab/>
        <w:t>(a)</w:t>
      </w:r>
      <w:r w:rsidRPr="0064650F">
        <w:tab/>
        <w:t>Greening the economy: mainstreaming the environment into economic development (ECE/ASTANA.CONF/2011/4)</w:t>
      </w:r>
      <w:r w:rsidR="006859E2">
        <w:t>;</w:t>
      </w:r>
      <w:r w:rsidR="00A14F2D" w:rsidRPr="0064650F">
        <w:rPr>
          <w:rStyle w:val="FootnoteReference"/>
        </w:rPr>
        <w:footnoteReference w:id="5"/>
      </w:r>
    </w:p>
    <w:p w:rsidR="005F6C8E" w:rsidRPr="0064650F" w:rsidRDefault="005F6C8E" w:rsidP="00882755">
      <w:pPr>
        <w:pStyle w:val="SingleTxtG"/>
      </w:pPr>
      <w:r w:rsidRPr="0064650F">
        <w:tab/>
        <w:t>(b)</w:t>
      </w:r>
      <w:r w:rsidRPr="0064650F">
        <w:tab/>
        <w:t>Greening the economy in the pan-European region: progress and future prospects (ECE/CEP/2013/10)</w:t>
      </w:r>
      <w:r w:rsidR="006859E2">
        <w:t>;</w:t>
      </w:r>
      <w:r w:rsidR="00944E92" w:rsidRPr="0064650F">
        <w:rPr>
          <w:rStyle w:val="FootnoteReference"/>
        </w:rPr>
        <w:footnoteReference w:id="6"/>
      </w:r>
    </w:p>
    <w:p w:rsidR="005F6C8E" w:rsidRPr="0064650F" w:rsidRDefault="005F6C8E" w:rsidP="00882755">
      <w:pPr>
        <w:pStyle w:val="SingleTxtG"/>
      </w:pPr>
      <w:r w:rsidRPr="0064650F">
        <w:tab/>
        <w:t>(c)</w:t>
      </w:r>
      <w:r w:rsidRPr="0064650F">
        <w:tab/>
        <w:t>Greening the economy in the pan-European region: progress, priorities, modalities and options (ECE/CEP/2014/5)</w:t>
      </w:r>
      <w:r w:rsidR="006C309E" w:rsidRPr="0064650F">
        <w:t>.</w:t>
      </w:r>
      <w:r w:rsidR="00944E92" w:rsidRPr="0064650F">
        <w:rPr>
          <w:rStyle w:val="FootnoteReference"/>
        </w:rPr>
        <w:footnoteReference w:id="7"/>
      </w:r>
    </w:p>
    <w:p w:rsidR="005F6C8E" w:rsidRPr="0064650F" w:rsidRDefault="005F6C8E" w:rsidP="00882755">
      <w:pPr>
        <w:pStyle w:val="HChG"/>
        <w:rPr>
          <w:rFonts w:eastAsia="SimSun"/>
          <w:lang w:eastAsia="en-GB"/>
        </w:rPr>
      </w:pPr>
      <w:r w:rsidRPr="0064650F">
        <w:rPr>
          <w:rFonts w:eastAsia="SimSun"/>
          <w:lang w:eastAsia="en-GB"/>
        </w:rPr>
        <w:tab/>
        <w:t>I.</w:t>
      </w:r>
      <w:r w:rsidRPr="0064650F">
        <w:rPr>
          <w:rFonts w:eastAsia="SimSun"/>
          <w:lang w:eastAsia="en-GB"/>
        </w:rPr>
        <w:tab/>
        <w:t>Challenges and o</w:t>
      </w:r>
      <w:r w:rsidR="00882755" w:rsidRPr="0064650F">
        <w:rPr>
          <w:rFonts w:eastAsia="SimSun"/>
          <w:lang w:eastAsia="en-GB"/>
        </w:rPr>
        <w:t>pportunities</w:t>
      </w:r>
    </w:p>
    <w:tbl>
      <w:tblPr>
        <w:tblW w:w="0" w:type="auto"/>
        <w:jc w:val="center"/>
        <w:tblInd w:w="142"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12"/>
      </w:tblGrid>
      <w:tr w:rsidR="005F6C8E" w:rsidRPr="0064650F" w:rsidTr="00056605">
        <w:trPr>
          <w:trHeight w:hRule="exact" w:val="240"/>
          <w:jc w:val="center"/>
        </w:trPr>
        <w:tc>
          <w:tcPr>
            <w:tcW w:w="7512" w:type="dxa"/>
            <w:tcBorders>
              <w:top w:val="single" w:sz="4" w:space="0" w:color="auto"/>
            </w:tcBorders>
            <w:shd w:val="clear" w:color="auto" w:fill="auto"/>
          </w:tcPr>
          <w:p w:rsidR="005F6C8E" w:rsidRPr="0064650F" w:rsidRDefault="005F6C8E" w:rsidP="005F6C8E">
            <w:pPr>
              <w:suppressAutoHyphens w:val="0"/>
              <w:spacing w:line="240" w:lineRule="auto"/>
              <w:rPr>
                <w:rFonts w:eastAsia="SimSun"/>
                <w:lang w:eastAsia="en-GB"/>
              </w:rPr>
            </w:pPr>
          </w:p>
        </w:tc>
      </w:tr>
      <w:tr w:rsidR="005F6C8E" w:rsidRPr="0064650F" w:rsidTr="00056605">
        <w:trPr>
          <w:jc w:val="center"/>
        </w:trPr>
        <w:tc>
          <w:tcPr>
            <w:tcW w:w="7512" w:type="dxa"/>
            <w:tcBorders>
              <w:bottom w:val="nil"/>
            </w:tcBorders>
            <w:shd w:val="clear" w:color="auto" w:fill="auto"/>
            <w:tcMar>
              <w:left w:w="142" w:type="dxa"/>
              <w:right w:w="142" w:type="dxa"/>
            </w:tcMar>
          </w:tcPr>
          <w:p w:rsidR="005F6C8E" w:rsidRPr="0064650F" w:rsidRDefault="005F6C8E" w:rsidP="005F6C8E">
            <w:pPr>
              <w:spacing w:after="120"/>
              <w:jc w:val="both"/>
              <w:rPr>
                <w:rFonts w:eastAsia="SimSun"/>
                <w:i/>
                <w:lang w:eastAsia="en-GB"/>
              </w:rPr>
            </w:pPr>
            <w:r w:rsidRPr="00BB1398">
              <w:rPr>
                <w:rFonts w:eastAsia="SimSun"/>
                <w:b/>
                <w:lang w:eastAsia="en-GB"/>
              </w:rPr>
              <w:t>Questions for discussion</w:t>
            </w:r>
            <w:r w:rsidRPr="00BB1398">
              <w:rPr>
                <w:rFonts w:eastAsia="SimSun"/>
                <w:lang w:eastAsia="en-GB"/>
              </w:rPr>
              <w:t>:</w:t>
            </w:r>
            <w:r w:rsidRPr="0064650F">
              <w:rPr>
                <w:rFonts w:eastAsia="SimSun"/>
                <w:i/>
                <w:lang w:eastAsia="en-GB"/>
              </w:rPr>
              <w:t xml:space="preserve"> what are the pressing challenges to greening the economy in your country? What positive effects on, e.g., employment, human well-being, prosperity and natural capital are evident after introducing green economy policies? Have trade-offs been taken into account in policymaking — e.g., in terms of the impact on employment, social equity and private investment?</w:t>
            </w:r>
          </w:p>
        </w:tc>
      </w:tr>
      <w:tr w:rsidR="005F6C8E" w:rsidRPr="0064650F" w:rsidTr="00056605">
        <w:trPr>
          <w:trHeight w:hRule="exact" w:val="20"/>
          <w:jc w:val="center"/>
        </w:trPr>
        <w:tc>
          <w:tcPr>
            <w:tcW w:w="7512" w:type="dxa"/>
            <w:tcBorders>
              <w:bottom w:val="single" w:sz="4" w:space="0" w:color="auto"/>
            </w:tcBorders>
            <w:shd w:val="clear" w:color="auto" w:fill="auto"/>
          </w:tcPr>
          <w:p w:rsidR="005F6C8E" w:rsidRPr="0064650F" w:rsidRDefault="005F6C8E" w:rsidP="005F6C8E">
            <w:pPr>
              <w:suppressAutoHyphens w:val="0"/>
              <w:spacing w:line="240" w:lineRule="auto"/>
              <w:rPr>
                <w:rFonts w:eastAsia="SimSun"/>
                <w:lang w:eastAsia="en-GB"/>
              </w:rPr>
            </w:pPr>
          </w:p>
        </w:tc>
      </w:tr>
    </w:tbl>
    <w:p w:rsidR="005F6C8E" w:rsidRPr="0064650F" w:rsidRDefault="003E7C8C" w:rsidP="00BB1398">
      <w:pPr>
        <w:pStyle w:val="SingleTxtG"/>
        <w:spacing w:before="240"/>
        <w:rPr>
          <w:rFonts w:eastAsia="SimSun"/>
          <w:lang w:eastAsia="en-GB"/>
        </w:rPr>
      </w:pPr>
      <w:r w:rsidRPr="0064650F">
        <w:rPr>
          <w:rFonts w:eastAsia="SimSun"/>
          <w:lang w:eastAsia="en-GB"/>
        </w:rPr>
        <w:t>8</w:t>
      </w:r>
      <w:r w:rsidR="005F6C8E" w:rsidRPr="0064650F">
        <w:rPr>
          <w:rFonts w:eastAsia="SimSun"/>
          <w:lang w:eastAsia="en-GB"/>
        </w:rPr>
        <w:t>.</w:t>
      </w:r>
      <w:r w:rsidR="005F6C8E" w:rsidRPr="0064650F">
        <w:rPr>
          <w:rFonts w:eastAsia="SimSun"/>
          <w:lang w:eastAsia="en-GB"/>
        </w:rPr>
        <w:tab/>
        <w:t>The transition to a green economy is generally considered as a promising avenue, among others, towards achieving sustainable development</w:t>
      </w:r>
      <w:r w:rsidR="00497206">
        <w:rPr>
          <w:rFonts w:eastAsia="SimSun"/>
          <w:lang w:eastAsia="en-GB"/>
        </w:rPr>
        <w:t>;</w:t>
      </w:r>
      <w:r w:rsidR="005F6C8E" w:rsidRPr="0064650F">
        <w:rPr>
          <w:rFonts w:eastAsia="SimSun"/>
          <w:lang w:eastAsia="en-GB"/>
        </w:rPr>
        <w:t xml:space="preserve"> </w:t>
      </w:r>
      <w:r w:rsidR="00497206">
        <w:rPr>
          <w:rFonts w:eastAsia="SimSun"/>
          <w:lang w:eastAsia="en-GB"/>
        </w:rPr>
        <w:t xml:space="preserve">nonetheless, </w:t>
      </w:r>
      <w:r w:rsidR="005F6C8E" w:rsidRPr="0064650F">
        <w:rPr>
          <w:rFonts w:eastAsia="SimSun"/>
          <w:lang w:eastAsia="en-GB"/>
        </w:rPr>
        <w:t xml:space="preserve">there are some groups that need </w:t>
      </w:r>
      <w:r w:rsidR="00FA2CB7">
        <w:rPr>
          <w:rFonts w:eastAsia="SimSun"/>
          <w:lang w:eastAsia="en-GB"/>
        </w:rPr>
        <w:t xml:space="preserve">to be </w:t>
      </w:r>
      <w:r w:rsidR="005F6C8E" w:rsidRPr="0064650F">
        <w:rPr>
          <w:rFonts w:eastAsia="SimSun"/>
          <w:lang w:eastAsia="en-GB"/>
        </w:rPr>
        <w:t xml:space="preserve">further </w:t>
      </w:r>
      <w:r w:rsidR="00FA2CB7">
        <w:rPr>
          <w:rFonts w:eastAsia="SimSun"/>
          <w:lang w:eastAsia="en-GB"/>
        </w:rPr>
        <w:t xml:space="preserve">convinced </w:t>
      </w:r>
      <w:r w:rsidR="005F6C8E" w:rsidRPr="0064650F">
        <w:rPr>
          <w:rFonts w:eastAsia="SimSun"/>
          <w:lang w:eastAsia="en-GB"/>
        </w:rPr>
        <w:t>of its merits. One reason for this could be that</w:t>
      </w:r>
      <w:r w:rsidR="00FA2CB7">
        <w:rPr>
          <w:rFonts w:eastAsia="SimSun"/>
          <w:lang w:eastAsia="en-GB"/>
        </w:rPr>
        <w:t>,</w:t>
      </w:r>
      <w:r w:rsidR="005F6C8E" w:rsidRPr="0064650F">
        <w:rPr>
          <w:rFonts w:eastAsia="SimSun"/>
          <w:lang w:eastAsia="en-GB"/>
        </w:rPr>
        <w:t xml:space="preserve"> in spite of the many benefits resulting from any transformative event, there are short</w:t>
      </w:r>
      <w:r w:rsidR="00FA2CB7">
        <w:rPr>
          <w:rFonts w:eastAsia="SimSun"/>
          <w:lang w:eastAsia="en-GB"/>
        </w:rPr>
        <w:t>-</w:t>
      </w:r>
      <w:r w:rsidR="005F6C8E" w:rsidRPr="0064650F">
        <w:rPr>
          <w:rFonts w:eastAsia="SimSun"/>
          <w:lang w:eastAsia="en-GB"/>
        </w:rPr>
        <w:t xml:space="preserve"> and medium</w:t>
      </w:r>
      <w:r w:rsidR="00FA2CB7">
        <w:rPr>
          <w:rFonts w:eastAsia="SimSun"/>
          <w:lang w:eastAsia="en-GB"/>
        </w:rPr>
        <w:t>-</w:t>
      </w:r>
      <w:r w:rsidR="005F6C8E" w:rsidRPr="0064650F">
        <w:rPr>
          <w:rFonts w:eastAsia="SimSun"/>
          <w:lang w:eastAsia="en-GB"/>
        </w:rPr>
        <w:t xml:space="preserve">term changes that may negatively impact individuals or groups of individuals. Certain enterprises and industries, in particular those adapted to an unsustainable or “brown” economy, may lose </w:t>
      </w:r>
      <w:r w:rsidR="00FA2CB7">
        <w:rPr>
          <w:rFonts w:eastAsia="SimSun"/>
          <w:lang w:eastAsia="en-GB"/>
        </w:rPr>
        <w:t xml:space="preserve">their </w:t>
      </w:r>
      <w:r w:rsidR="005F6C8E" w:rsidRPr="0064650F">
        <w:rPr>
          <w:rFonts w:eastAsia="SimSun"/>
          <w:lang w:eastAsia="en-GB"/>
        </w:rPr>
        <w:t>market share if they cannot react quickly to the changes</w:t>
      </w:r>
      <w:r w:rsidR="00FA2CB7">
        <w:rPr>
          <w:rFonts w:eastAsia="SimSun"/>
          <w:lang w:eastAsia="en-GB"/>
        </w:rPr>
        <w:t>,</w:t>
      </w:r>
      <w:r w:rsidR="005F6C8E" w:rsidRPr="0064650F">
        <w:rPr>
          <w:rFonts w:eastAsia="SimSun"/>
          <w:lang w:eastAsia="en-GB"/>
        </w:rPr>
        <w:t xml:space="preserve"> and thus lay-offs may occur. Other enterprises may be inclined to modify their business portfolio, which would require different skill sets from their staff. Therefore, owners, managers and in particular employees of these enterprises fear that the green economy transition could result in job and income loss and affect their livelihoods. Others may fear that the consumption of some goods and services could become more expensive and that they would not be able to maintain or achieve the standard of living </w:t>
      </w:r>
      <w:r w:rsidR="00FA2CB7">
        <w:rPr>
          <w:rFonts w:eastAsia="SimSun"/>
          <w:lang w:eastAsia="en-GB"/>
        </w:rPr>
        <w:t>the</w:t>
      </w:r>
      <w:r w:rsidR="00497206">
        <w:rPr>
          <w:rFonts w:eastAsia="SimSun"/>
          <w:lang w:eastAsia="en-GB"/>
        </w:rPr>
        <w:t>y</w:t>
      </w:r>
      <w:r w:rsidR="00FA2CB7">
        <w:rPr>
          <w:rFonts w:eastAsia="SimSun"/>
          <w:lang w:eastAsia="en-GB"/>
        </w:rPr>
        <w:t xml:space="preserve"> could </w:t>
      </w:r>
      <w:r w:rsidR="005F6C8E" w:rsidRPr="0064650F">
        <w:rPr>
          <w:rFonts w:eastAsia="SimSun"/>
          <w:lang w:eastAsia="en-GB"/>
        </w:rPr>
        <w:t>aspire to under conventional economic conditions.</w:t>
      </w:r>
    </w:p>
    <w:p w:rsidR="005F6C8E" w:rsidRPr="0064650F" w:rsidRDefault="003E7C8C" w:rsidP="00882755">
      <w:pPr>
        <w:pStyle w:val="SingleTxtG"/>
        <w:rPr>
          <w:rFonts w:eastAsia="SimSun"/>
          <w:lang w:eastAsia="en-GB"/>
        </w:rPr>
      </w:pPr>
      <w:r w:rsidRPr="0064650F">
        <w:rPr>
          <w:rFonts w:eastAsia="SimSun"/>
          <w:lang w:eastAsia="en-GB"/>
        </w:rPr>
        <w:t>9</w:t>
      </w:r>
      <w:r w:rsidR="005F6C8E" w:rsidRPr="0064650F">
        <w:rPr>
          <w:rFonts w:eastAsia="SimSun"/>
          <w:lang w:eastAsia="en-GB"/>
        </w:rPr>
        <w:t>.</w:t>
      </w:r>
      <w:r w:rsidR="005F6C8E" w:rsidRPr="0064650F">
        <w:rPr>
          <w:rFonts w:eastAsia="SimSun"/>
          <w:lang w:eastAsia="en-GB"/>
        </w:rPr>
        <w:tab/>
        <w:t xml:space="preserve">The transition to a green economy therefore requires the implementation of adequate policies addressing those who may be negatively affected by this transition. With the understanding of the magnitude of the transformation </w:t>
      </w:r>
      <w:r w:rsidR="00E27CAD">
        <w:rPr>
          <w:rFonts w:eastAsia="SimSun"/>
          <w:lang w:eastAsia="en-GB"/>
        </w:rPr>
        <w:t>(</w:t>
      </w:r>
      <w:r w:rsidR="005F6C8E" w:rsidRPr="0064650F">
        <w:rPr>
          <w:rFonts w:eastAsia="SimSun"/>
          <w:lang w:eastAsia="en-GB"/>
        </w:rPr>
        <w:t>e.g.</w:t>
      </w:r>
      <w:r w:rsidR="00E27CAD">
        <w:rPr>
          <w:rFonts w:eastAsia="SimSun"/>
          <w:lang w:eastAsia="en-GB"/>
        </w:rPr>
        <w:t>,</w:t>
      </w:r>
      <w:r w:rsidR="005F6C8E" w:rsidRPr="0064650F">
        <w:rPr>
          <w:rFonts w:eastAsia="SimSun"/>
          <w:lang w:eastAsia="en-GB"/>
        </w:rPr>
        <w:t xml:space="preserve"> with the help of macroeconomic models</w:t>
      </w:r>
      <w:r w:rsidR="00E27CAD">
        <w:rPr>
          <w:rFonts w:eastAsia="SimSun"/>
          <w:lang w:eastAsia="en-GB"/>
        </w:rPr>
        <w:t xml:space="preserve"> </w:t>
      </w:r>
      <w:r w:rsidR="005F6C8E" w:rsidRPr="0064650F">
        <w:rPr>
          <w:rFonts w:eastAsia="SimSun"/>
          <w:lang w:eastAsia="en-GB"/>
        </w:rPr>
        <w:t>the potential number of job losses in declining sectors and the number of job</w:t>
      </w:r>
      <w:r w:rsidR="00E27CAD">
        <w:rPr>
          <w:rFonts w:eastAsia="SimSun"/>
          <w:lang w:eastAsia="en-GB"/>
        </w:rPr>
        <w:t>s</w:t>
      </w:r>
      <w:r w:rsidR="005F6C8E" w:rsidRPr="0064650F">
        <w:rPr>
          <w:rFonts w:eastAsia="SimSun"/>
          <w:lang w:eastAsia="en-GB"/>
        </w:rPr>
        <w:t xml:space="preserve"> </w:t>
      </w:r>
      <w:r w:rsidR="00E27CAD">
        <w:rPr>
          <w:rFonts w:eastAsia="SimSun"/>
          <w:lang w:eastAsia="en-GB"/>
        </w:rPr>
        <w:t xml:space="preserve">that will be </w:t>
      </w:r>
      <w:r w:rsidR="005F6C8E" w:rsidRPr="0064650F">
        <w:rPr>
          <w:rFonts w:eastAsia="SimSun"/>
          <w:lang w:eastAsia="en-GB"/>
        </w:rPr>
        <w:t>creat</w:t>
      </w:r>
      <w:r w:rsidR="00E27CAD">
        <w:rPr>
          <w:rFonts w:eastAsia="SimSun"/>
          <w:lang w:eastAsia="en-GB"/>
        </w:rPr>
        <w:t>ed</w:t>
      </w:r>
      <w:r w:rsidR="005F6C8E" w:rsidRPr="0064650F">
        <w:rPr>
          <w:rFonts w:eastAsia="SimSun"/>
          <w:lang w:eastAsia="en-GB"/>
        </w:rPr>
        <w:t xml:space="preserve"> in growing sectors can be quantified</w:t>
      </w:r>
      <w:r w:rsidR="00E27CAD">
        <w:rPr>
          <w:rFonts w:eastAsia="SimSun"/>
          <w:lang w:eastAsia="en-GB"/>
        </w:rPr>
        <w:t xml:space="preserve">), </w:t>
      </w:r>
      <w:r w:rsidR="005F6C8E" w:rsidRPr="0064650F">
        <w:rPr>
          <w:rFonts w:eastAsia="SimSun"/>
          <w:lang w:eastAsia="en-GB"/>
        </w:rPr>
        <w:t>and based on empirical data</w:t>
      </w:r>
      <w:r w:rsidR="00E27CAD">
        <w:rPr>
          <w:rFonts w:eastAsia="SimSun"/>
          <w:lang w:eastAsia="en-GB"/>
        </w:rPr>
        <w:t>,</w:t>
      </w:r>
      <w:r w:rsidR="005F6C8E" w:rsidRPr="0064650F">
        <w:rPr>
          <w:rFonts w:eastAsia="SimSun"/>
          <w:lang w:eastAsia="en-GB"/>
        </w:rPr>
        <w:t xml:space="preserve"> effective policies can be designed for economic diversification, building new skill sets and </w:t>
      </w:r>
      <w:r w:rsidR="00E27CAD">
        <w:rPr>
          <w:rFonts w:eastAsia="SimSun"/>
          <w:lang w:eastAsia="en-GB"/>
        </w:rPr>
        <w:t xml:space="preserve">the provision of </w:t>
      </w:r>
      <w:r w:rsidR="005F6C8E" w:rsidRPr="0064650F">
        <w:rPr>
          <w:rFonts w:eastAsia="SimSun"/>
          <w:lang w:eastAsia="en-GB"/>
        </w:rPr>
        <w:t xml:space="preserve">social support to those who would lose their jobs and income. The transition also has to be accompanied by information campaigns on the benefits of the green economy transition to human well-being, especially in the long term, and </w:t>
      </w:r>
      <w:r w:rsidR="00E27CAD">
        <w:rPr>
          <w:rFonts w:eastAsia="SimSun"/>
          <w:lang w:eastAsia="en-GB"/>
        </w:rPr>
        <w:t xml:space="preserve">debunk the </w:t>
      </w:r>
      <w:r w:rsidR="005F6C8E" w:rsidRPr="0064650F">
        <w:rPr>
          <w:rFonts w:eastAsia="SimSun"/>
          <w:lang w:eastAsia="en-GB"/>
        </w:rPr>
        <w:t xml:space="preserve">false assumption </w:t>
      </w:r>
      <w:r w:rsidR="00E27CAD">
        <w:rPr>
          <w:rFonts w:eastAsia="SimSun"/>
          <w:lang w:eastAsia="en-GB"/>
        </w:rPr>
        <w:t xml:space="preserve">that there will be </w:t>
      </w:r>
      <w:r w:rsidR="005F6C8E" w:rsidRPr="0064650F">
        <w:rPr>
          <w:rFonts w:eastAsia="SimSun"/>
          <w:lang w:eastAsia="en-GB"/>
        </w:rPr>
        <w:t>a general price increase.</w:t>
      </w:r>
    </w:p>
    <w:p w:rsidR="005F6C8E" w:rsidRPr="0064650F" w:rsidRDefault="003E7C8C" w:rsidP="00F406DE">
      <w:pPr>
        <w:pStyle w:val="SingleTxtG"/>
        <w:spacing w:line="240" w:lineRule="auto"/>
        <w:rPr>
          <w:rFonts w:eastAsia="SimSun"/>
          <w:lang w:eastAsia="en-GB"/>
        </w:rPr>
      </w:pPr>
      <w:r w:rsidRPr="0064650F">
        <w:rPr>
          <w:rFonts w:eastAsia="SimSun"/>
          <w:lang w:eastAsia="en-GB"/>
        </w:rPr>
        <w:lastRenderedPageBreak/>
        <w:t>10</w:t>
      </w:r>
      <w:r w:rsidR="005F6C8E" w:rsidRPr="0064650F">
        <w:rPr>
          <w:rFonts w:eastAsia="SimSun"/>
          <w:lang w:eastAsia="en-GB"/>
        </w:rPr>
        <w:t>.</w:t>
      </w:r>
      <w:r w:rsidR="005F6C8E" w:rsidRPr="0064650F">
        <w:rPr>
          <w:rFonts w:eastAsia="SimSun"/>
          <w:lang w:eastAsia="en-GB"/>
        </w:rPr>
        <w:tab/>
        <w:t xml:space="preserve">The design of the policy response is not a trivial undertaking. In a world of complex intersectoral and global connections it may be difficult to assess the impact of a policy across various areas and time scales accurately. However, sectoral models allow for the testing of policy scenarios to quantify their potential impact. Citizens, especially from countries relying on a brown economy, may fear the transition. That fear may be particularly acute if comprehensive strategies addressing consequences across economic sectors or on trade and social elements, including compensation mechanisms, are not available or are not broadly communicated.   </w:t>
      </w:r>
    </w:p>
    <w:p w:rsidR="005F6C8E" w:rsidRPr="0064650F" w:rsidRDefault="005F6C8E" w:rsidP="00F406DE">
      <w:pPr>
        <w:pStyle w:val="SingleTxtG"/>
        <w:spacing w:line="240" w:lineRule="auto"/>
        <w:rPr>
          <w:rFonts w:eastAsia="SimSun"/>
          <w:lang w:eastAsia="en-GB"/>
        </w:rPr>
      </w:pPr>
      <w:r w:rsidRPr="0064650F">
        <w:rPr>
          <w:rFonts w:eastAsia="SimSun"/>
          <w:lang w:eastAsia="en-GB"/>
        </w:rPr>
        <w:t>1</w:t>
      </w:r>
      <w:r w:rsidR="003E7C8C" w:rsidRPr="0064650F">
        <w:rPr>
          <w:rFonts w:eastAsia="SimSun"/>
          <w:lang w:eastAsia="en-GB"/>
        </w:rPr>
        <w:t>1</w:t>
      </w:r>
      <w:r w:rsidRPr="0064650F">
        <w:rPr>
          <w:rFonts w:eastAsia="SimSun"/>
          <w:lang w:eastAsia="en-GB"/>
        </w:rPr>
        <w:t>.</w:t>
      </w:r>
      <w:r w:rsidRPr="0064650F">
        <w:rPr>
          <w:rFonts w:eastAsia="SimSun"/>
          <w:lang w:eastAsia="en-GB"/>
        </w:rPr>
        <w:tab/>
        <w:t xml:space="preserve">So far, only a few countries in the region have set up sustainable development or green economy strategies containing policy packages with concrete green economy goals or targets. Even fewer countries have set up intersectoral bodies for oversight and coordination of the possible green economy transition. At the same time, without governmental or institutional collective action and enhanced cooperation and vision, it will be difficult to manage the change. Institutional inertia and the practices of working in silos around economic, social and environmental policy actions need to be overcome for the transition to occur. </w:t>
      </w:r>
    </w:p>
    <w:p w:rsidR="005F6C8E" w:rsidRPr="0064650F" w:rsidRDefault="005F6C8E" w:rsidP="00F406DE">
      <w:pPr>
        <w:pStyle w:val="SingleTxtG"/>
        <w:spacing w:line="240" w:lineRule="auto"/>
        <w:rPr>
          <w:rFonts w:eastAsia="SimSun"/>
          <w:lang w:eastAsia="en-GB"/>
        </w:rPr>
      </w:pPr>
      <w:r w:rsidRPr="0064650F">
        <w:rPr>
          <w:rFonts w:eastAsia="SimSun"/>
          <w:lang w:eastAsia="en-GB"/>
        </w:rPr>
        <w:t>1</w:t>
      </w:r>
      <w:r w:rsidR="003E7C8C" w:rsidRPr="0064650F">
        <w:rPr>
          <w:rFonts w:eastAsia="SimSun"/>
          <w:lang w:eastAsia="en-GB"/>
        </w:rPr>
        <w:t>2</w:t>
      </w:r>
      <w:r w:rsidRPr="0064650F">
        <w:rPr>
          <w:rFonts w:eastAsia="SimSun"/>
          <w:lang w:eastAsia="en-GB"/>
        </w:rPr>
        <w:t>.</w:t>
      </w:r>
      <w:r w:rsidRPr="0064650F">
        <w:rPr>
          <w:rFonts w:eastAsia="SimSun"/>
          <w:lang w:eastAsia="en-GB"/>
        </w:rPr>
        <w:tab/>
        <w:t xml:space="preserve">What may look like </w:t>
      </w:r>
      <w:r w:rsidR="003372AA">
        <w:rPr>
          <w:rFonts w:eastAsia="SimSun"/>
          <w:lang w:eastAsia="en-GB"/>
        </w:rPr>
        <w:t xml:space="preserve">the </w:t>
      </w:r>
      <w:r w:rsidRPr="0064650F">
        <w:rPr>
          <w:rFonts w:eastAsia="SimSun"/>
          <w:lang w:eastAsia="en-GB"/>
        </w:rPr>
        <w:t xml:space="preserve">inaction of Governments with regard to the transition to green economy may be explained by the pressure on Governments to take ad hoc measures to combat economic stagnation and high unemployment in the short term. At the same time, the limited number of proven successes in implementing green economy strategies or policy packages has not stimulated Governments to go beyond the actions suggested in conventional economic growth models, even though this may hamper economic development and growth opportunities in the longer term.  </w:t>
      </w:r>
    </w:p>
    <w:p w:rsidR="005F6C8E" w:rsidRPr="0064650F" w:rsidRDefault="005F6C8E" w:rsidP="00F406DE">
      <w:pPr>
        <w:pStyle w:val="SingleTxtG"/>
        <w:spacing w:line="240" w:lineRule="auto"/>
        <w:rPr>
          <w:rFonts w:eastAsia="SimSun"/>
          <w:lang w:eastAsia="en-GB"/>
        </w:rPr>
      </w:pPr>
      <w:r w:rsidRPr="0064650F">
        <w:rPr>
          <w:rFonts w:eastAsia="SimSun"/>
          <w:lang w:eastAsia="en-GB"/>
        </w:rPr>
        <w:t>1</w:t>
      </w:r>
      <w:r w:rsidR="003E7C8C" w:rsidRPr="0064650F">
        <w:rPr>
          <w:rFonts w:eastAsia="SimSun"/>
          <w:lang w:eastAsia="en-GB"/>
        </w:rPr>
        <w:t>3</w:t>
      </w:r>
      <w:r w:rsidRPr="0064650F">
        <w:rPr>
          <w:rFonts w:eastAsia="SimSun"/>
          <w:lang w:eastAsia="en-GB"/>
        </w:rPr>
        <w:t>.</w:t>
      </w:r>
      <w:r w:rsidRPr="0064650F">
        <w:rPr>
          <w:rFonts w:eastAsia="SimSun"/>
          <w:lang w:eastAsia="en-GB"/>
        </w:rPr>
        <w:tab/>
        <w:t xml:space="preserve">The transition also requires the mobilization of capital to fund it. In times of slow economic development or economic downturn, </w:t>
      </w:r>
      <w:r w:rsidR="003372AA">
        <w:rPr>
          <w:rFonts w:eastAsia="SimSun"/>
          <w:lang w:eastAsia="en-GB"/>
        </w:rPr>
        <w:t>S</w:t>
      </w:r>
      <w:r w:rsidRPr="0064650F">
        <w:rPr>
          <w:rFonts w:eastAsia="SimSun"/>
          <w:lang w:eastAsia="en-GB"/>
        </w:rPr>
        <w:t xml:space="preserve">tate budgets have rather limited capacity to free resources for stimulating the transition, including for leveraging private investment. The private sector is usually waiting for signs of economic recovery or </w:t>
      </w:r>
      <w:r w:rsidR="003372AA">
        <w:rPr>
          <w:rFonts w:eastAsia="SimSun"/>
          <w:lang w:eastAsia="en-GB"/>
        </w:rPr>
        <w:t>G</w:t>
      </w:r>
      <w:r w:rsidRPr="0064650F">
        <w:rPr>
          <w:rFonts w:eastAsia="SimSun"/>
          <w:lang w:eastAsia="en-GB"/>
        </w:rPr>
        <w:t>overnment action before starting to invest.</w:t>
      </w:r>
    </w:p>
    <w:p w:rsidR="005F6C8E" w:rsidRPr="0064650F" w:rsidRDefault="005F6C8E" w:rsidP="00F406DE">
      <w:pPr>
        <w:pStyle w:val="SingleTxtG"/>
        <w:spacing w:line="240" w:lineRule="auto"/>
        <w:rPr>
          <w:rFonts w:eastAsia="SimSun"/>
          <w:lang w:eastAsia="en-GB"/>
        </w:rPr>
      </w:pPr>
      <w:r w:rsidRPr="0064650F">
        <w:rPr>
          <w:rFonts w:eastAsia="SimSun"/>
          <w:lang w:eastAsia="en-GB"/>
        </w:rPr>
        <w:t>1</w:t>
      </w:r>
      <w:r w:rsidR="003E7C8C" w:rsidRPr="0064650F">
        <w:rPr>
          <w:rFonts w:eastAsia="SimSun"/>
          <w:lang w:eastAsia="en-GB"/>
        </w:rPr>
        <w:t>4</w:t>
      </w:r>
      <w:r w:rsidRPr="0064650F">
        <w:rPr>
          <w:rFonts w:eastAsia="SimSun"/>
          <w:lang w:eastAsia="en-GB"/>
        </w:rPr>
        <w:t>.</w:t>
      </w:r>
      <w:r w:rsidRPr="0064650F">
        <w:rPr>
          <w:rFonts w:eastAsia="SimSun"/>
          <w:lang w:eastAsia="en-GB"/>
        </w:rPr>
        <w:tab/>
        <w:t>The private sector is interested in stable and predictable conditions and policy frameworks as a reliable basis for capital investment, especially into new green sectors that would pay back in the longer term. These conditions can be created through the development and implementation of comprehensive and coherent long-term transition strategies and plans by Governments, which are generally lacking at present.</w:t>
      </w:r>
    </w:p>
    <w:p w:rsidR="005F6C8E" w:rsidRPr="0064650F" w:rsidRDefault="005F6C8E" w:rsidP="00F406DE">
      <w:pPr>
        <w:pStyle w:val="SingleTxtG"/>
        <w:spacing w:line="240" w:lineRule="auto"/>
        <w:rPr>
          <w:rFonts w:eastAsia="SimSun"/>
          <w:lang w:eastAsia="en-GB"/>
        </w:rPr>
      </w:pPr>
      <w:r w:rsidRPr="0064650F">
        <w:rPr>
          <w:rFonts w:eastAsia="SimSun"/>
          <w:lang w:eastAsia="en-GB"/>
        </w:rPr>
        <w:t>1</w:t>
      </w:r>
      <w:r w:rsidR="003E7C8C" w:rsidRPr="0064650F">
        <w:rPr>
          <w:rFonts w:eastAsia="SimSun"/>
          <w:lang w:eastAsia="en-GB"/>
        </w:rPr>
        <w:t>5</w:t>
      </w:r>
      <w:r w:rsidRPr="0064650F">
        <w:rPr>
          <w:rFonts w:eastAsia="SimSun"/>
          <w:lang w:eastAsia="en-GB"/>
        </w:rPr>
        <w:t>.</w:t>
      </w:r>
      <w:r w:rsidRPr="0064650F">
        <w:rPr>
          <w:rFonts w:eastAsia="SimSun"/>
          <w:lang w:eastAsia="en-GB"/>
        </w:rPr>
        <w:tab/>
        <w:t>The private sector may be refraining from investment in green sectors due to workforce capacity gaps. The green sectors and the jobs emerging from the</w:t>
      </w:r>
      <w:r w:rsidR="00497206">
        <w:rPr>
          <w:rFonts w:eastAsia="SimSun"/>
          <w:lang w:eastAsia="en-GB"/>
        </w:rPr>
        <w:t>m</w:t>
      </w:r>
      <w:r w:rsidRPr="0064650F">
        <w:rPr>
          <w:rFonts w:eastAsia="SimSun"/>
          <w:lang w:eastAsia="en-GB"/>
        </w:rPr>
        <w:t xml:space="preserve"> require particular skills and knowledge, which may be inexistent or limited in current labour markets. In that context, feasibility studies carried out by private businesses may dissuade them from investing in green sectors.</w:t>
      </w:r>
    </w:p>
    <w:p w:rsidR="005F6C8E" w:rsidRPr="0064650F" w:rsidRDefault="005F6C8E" w:rsidP="00F406DE">
      <w:pPr>
        <w:pStyle w:val="SingleTxtG"/>
        <w:spacing w:line="240" w:lineRule="auto"/>
        <w:rPr>
          <w:rFonts w:eastAsia="SimSun"/>
          <w:lang w:eastAsia="en-GB"/>
        </w:rPr>
      </w:pPr>
      <w:r w:rsidRPr="0064650F">
        <w:rPr>
          <w:rFonts w:eastAsia="SimSun"/>
          <w:lang w:eastAsia="en-GB"/>
        </w:rPr>
        <w:t>1</w:t>
      </w:r>
      <w:r w:rsidR="003E7C8C" w:rsidRPr="0064650F">
        <w:rPr>
          <w:rFonts w:eastAsia="SimSun"/>
          <w:lang w:eastAsia="en-GB"/>
        </w:rPr>
        <w:t>6</w:t>
      </w:r>
      <w:r w:rsidRPr="0064650F">
        <w:rPr>
          <w:rFonts w:eastAsia="SimSun"/>
          <w:lang w:eastAsia="en-GB"/>
        </w:rPr>
        <w:t>.</w:t>
      </w:r>
      <w:r w:rsidRPr="0064650F">
        <w:rPr>
          <w:rFonts w:eastAsia="SimSun"/>
          <w:lang w:eastAsia="en-GB"/>
        </w:rPr>
        <w:tab/>
        <w:t>Despite these common challenges</w:t>
      </w:r>
      <w:r w:rsidR="003372AA">
        <w:rPr>
          <w:rFonts w:eastAsia="SimSun"/>
          <w:lang w:eastAsia="en-GB"/>
        </w:rPr>
        <w:t>,</w:t>
      </w:r>
      <w:r w:rsidRPr="0064650F">
        <w:rPr>
          <w:rFonts w:eastAsia="SimSun"/>
          <w:lang w:eastAsia="en-GB"/>
        </w:rPr>
        <w:t xml:space="preserve"> there are examples showing the positive effects of implementing green economy policies, in particular sectoral ones. Many of these successes were possible due to policy packages that stimulated private investment. Further information on the policy packages and their elements that bring positive effects is provided in the following sections.</w:t>
      </w:r>
    </w:p>
    <w:p w:rsidR="005F6C8E" w:rsidRPr="0064650F" w:rsidRDefault="005F6C8E" w:rsidP="00F406DE">
      <w:pPr>
        <w:pStyle w:val="SingleTxtG"/>
        <w:spacing w:line="240" w:lineRule="auto"/>
        <w:rPr>
          <w:rFonts w:eastAsia="SimSun"/>
        </w:rPr>
      </w:pPr>
      <w:r w:rsidRPr="0064650F">
        <w:rPr>
          <w:rFonts w:eastAsia="SimSun"/>
          <w:lang w:eastAsia="en-GB"/>
        </w:rPr>
        <w:t>1</w:t>
      </w:r>
      <w:r w:rsidR="003E7C8C" w:rsidRPr="0064650F">
        <w:rPr>
          <w:rFonts w:eastAsia="SimSun"/>
          <w:lang w:eastAsia="en-GB"/>
        </w:rPr>
        <w:t>7</w:t>
      </w:r>
      <w:r w:rsidRPr="0064650F">
        <w:rPr>
          <w:rFonts w:eastAsia="SimSun"/>
          <w:lang w:eastAsia="en-GB"/>
        </w:rPr>
        <w:t>.</w:t>
      </w:r>
      <w:r w:rsidRPr="0064650F">
        <w:rPr>
          <w:rFonts w:eastAsia="SimSun"/>
          <w:lang w:eastAsia="en-GB"/>
        </w:rPr>
        <w:tab/>
        <w:t xml:space="preserve">A well-known example of an effective green economy policy package is that of </w:t>
      </w:r>
      <w:r w:rsidR="003372AA">
        <w:rPr>
          <w:rFonts w:eastAsia="SimSun"/>
          <w:lang w:eastAsia="en-GB"/>
        </w:rPr>
        <w:t xml:space="preserve">the </w:t>
      </w:r>
      <w:r w:rsidRPr="0064650F">
        <w:rPr>
          <w:rFonts w:eastAsia="SimSun"/>
          <w:lang w:eastAsia="en-GB"/>
        </w:rPr>
        <w:t>retrofitting of building stock (e.g.</w:t>
      </w:r>
      <w:r w:rsidR="003372AA">
        <w:rPr>
          <w:rFonts w:eastAsia="SimSun"/>
          <w:lang w:eastAsia="en-GB"/>
        </w:rPr>
        <w:t>,</w:t>
      </w:r>
      <w:r w:rsidRPr="0064650F">
        <w:rPr>
          <w:rFonts w:eastAsia="SimSun"/>
          <w:lang w:eastAsia="en-GB"/>
        </w:rPr>
        <w:t xml:space="preserve"> </w:t>
      </w:r>
      <w:r w:rsidR="003372AA">
        <w:rPr>
          <w:rFonts w:eastAsia="SimSun"/>
          <w:lang w:eastAsia="en-GB"/>
        </w:rPr>
        <w:t xml:space="preserve">in </w:t>
      </w:r>
      <w:r w:rsidRPr="0064650F">
        <w:rPr>
          <w:rFonts w:eastAsia="SimSun"/>
          <w:lang w:eastAsia="en-GB"/>
        </w:rPr>
        <w:t xml:space="preserve">many cities especially, but not only, in the </w:t>
      </w:r>
      <w:r w:rsidR="003372AA">
        <w:rPr>
          <w:rFonts w:eastAsia="SimSun"/>
          <w:lang w:eastAsia="en-GB"/>
        </w:rPr>
        <w:t>European Union (EU)</w:t>
      </w:r>
      <w:r w:rsidRPr="0064650F">
        <w:rPr>
          <w:rFonts w:eastAsia="SimSun"/>
          <w:lang w:eastAsia="en-GB"/>
        </w:rPr>
        <w:t>). Adequate policy action has stimulated building owners (</w:t>
      </w:r>
      <w:r w:rsidR="003372AA">
        <w:rPr>
          <w:rFonts w:eastAsia="SimSun"/>
          <w:lang w:eastAsia="en-GB"/>
        </w:rPr>
        <w:t xml:space="preserve">e.g., </w:t>
      </w:r>
      <w:r w:rsidRPr="0064650F">
        <w:rPr>
          <w:rFonts w:eastAsia="SimSun"/>
          <w:lang w:eastAsia="en-GB"/>
        </w:rPr>
        <w:t xml:space="preserve">see figure </w:t>
      </w:r>
      <w:r w:rsidR="002162BE" w:rsidRPr="0064650F">
        <w:rPr>
          <w:rFonts w:eastAsia="SimSun"/>
          <w:lang w:eastAsia="en-GB"/>
        </w:rPr>
        <w:t>1</w:t>
      </w:r>
      <w:r w:rsidRPr="0064650F">
        <w:rPr>
          <w:rFonts w:eastAsia="SimSun"/>
          <w:lang w:eastAsia="en-GB"/>
        </w:rPr>
        <w:t xml:space="preserve">) to invest </w:t>
      </w:r>
      <w:r w:rsidR="003372AA">
        <w:rPr>
          <w:rFonts w:eastAsia="SimSun"/>
          <w:lang w:eastAsia="en-GB"/>
        </w:rPr>
        <w:t xml:space="preserve">on </w:t>
      </w:r>
      <w:r w:rsidRPr="0064650F">
        <w:rPr>
          <w:rFonts w:eastAsia="SimSun"/>
          <w:lang w:eastAsia="en-GB"/>
        </w:rPr>
        <w:t xml:space="preserve">a large scale in improving the energy performance of buildings </w:t>
      </w:r>
      <w:r w:rsidR="003372AA">
        <w:rPr>
          <w:rFonts w:eastAsia="SimSun"/>
          <w:lang w:eastAsia="en-GB"/>
        </w:rPr>
        <w:t>—</w:t>
      </w:r>
      <w:r w:rsidRPr="0064650F">
        <w:rPr>
          <w:rFonts w:eastAsia="SimSun"/>
          <w:lang w:eastAsia="en-GB"/>
        </w:rPr>
        <w:t xml:space="preserve"> of both individual houses and apartment blocks </w:t>
      </w:r>
      <w:r w:rsidR="003372AA">
        <w:rPr>
          <w:rFonts w:eastAsia="SimSun"/>
          <w:lang w:eastAsia="en-GB"/>
        </w:rPr>
        <w:t>—</w:t>
      </w:r>
      <w:r w:rsidRPr="0064650F">
        <w:rPr>
          <w:rFonts w:eastAsia="SimSun"/>
          <w:lang w:eastAsia="en-GB"/>
        </w:rPr>
        <w:t xml:space="preserve"> by improving the insulation of walls, installing better windows or improving heating systems. This policy action </w:t>
      </w:r>
      <w:r w:rsidR="003372AA">
        <w:rPr>
          <w:rFonts w:eastAsia="SimSun"/>
          <w:lang w:eastAsia="en-GB"/>
        </w:rPr>
        <w:t xml:space="preserve">has had </w:t>
      </w:r>
      <w:r w:rsidRPr="0064650F">
        <w:rPr>
          <w:rFonts w:eastAsia="SimSun"/>
          <w:lang w:eastAsia="en-GB"/>
        </w:rPr>
        <w:t>various positive effects, such as job creation in the construction sector (i.e.</w:t>
      </w:r>
      <w:r w:rsidR="003372AA">
        <w:rPr>
          <w:rFonts w:eastAsia="SimSun"/>
          <w:lang w:eastAsia="en-GB"/>
        </w:rPr>
        <w:t>,</w:t>
      </w:r>
      <w:r w:rsidRPr="0064650F">
        <w:rPr>
          <w:rFonts w:eastAsia="SimSun"/>
          <w:lang w:eastAsia="en-GB"/>
        </w:rPr>
        <w:t xml:space="preserve"> construction works, construction </w:t>
      </w:r>
      <w:r w:rsidRPr="0064650F">
        <w:rPr>
          <w:rFonts w:eastAsia="SimSun"/>
        </w:rPr>
        <w:t>material production and distribution). It</w:t>
      </w:r>
      <w:r w:rsidR="0026187B">
        <w:rPr>
          <w:rFonts w:eastAsia="SimSun"/>
        </w:rPr>
        <w:t xml:space="preserve"> has </w:t>
      </w:r>
      <w:r w:rsidRPr="0064650F">
        <w:rPr>
          <w:rFonts w:eastAsia="SimSun"/>
        </w:rPr>
        <w:t xml:space="preserve">also helped </w:t>
      </w:r>
      <w:r w:rsidR="003372AA">
        <w:rPr>
          <w:rFonts w:eastAsia="SimSun"/>
        </w:rPr>
        <w:t xml:space="preserve">to </w:t>
      </w:r>
      <w:r w:rsidRPr="0064650F">
        <w:rPr>
          <w:rFonts w:eastAsia="SimSun"/>
        </w:rPr>
        <w:t>reduc</w:t>
      </w:r>
      <w:r w:rsidR="003372AA">
        <w:rPr>
          <w:rFonts w:eastAsia="SimSun"/>
        </w:rPr>
        <w:t>e</w:t>
      </w:r>
      <w:r w:rsidRPr="0064650F">
        <w:rPr>
          <w:rFonts w:eastAsia="SimSun"/>
        </w:rPr>
        <w:t xml:space="preserve"> energy loss from buildings, which in turn </w:t>
      </w:r>
      <w:r w:rsidR="0026187B">
        <w:rPr>
          <w:rFonts w:eastAsia="SimSun"/>
        </w:rPr>
        <w:t xml:space="preserve">has </w:t>
      </w:r>
      <w:r w:rsidRPr="0064650F">
        <w:rPr>
          <w:rFonts w:eastAsia="SimSun"/>
        </w:rPr>
        <w:t xml:space="preserve">contributed to decreasing heating bills for households. Further, </w:t>
      </w:r>
      <w:r w:rsidR="003372AA">
        <w:rPr>
          <w:rFonts w:eastAsia="SimSun"/>
        </w:rPr>
        <w:lastRenderedPageBreak/>
        <w:t xml:space="preserve">such policies have </w:t>
      </w:r>
      <w:r w:rsidRPr="0064650F">
        <w:rPr>
          <w:rFonts w:eastAsia="SimSun"/>
        </w:rPr>
        <w:t>contributed to curbing emissions of traditional air pollutants</w:t>
      </w:r>
      <w:r w:rsidRPr="0064650F" w:rsidDel="008E1091">
        <w:rPr>
          <w:rFonts w:eastAsia="SimSun"/>
        </w:rPr>
        <w:t xml:space="preserve"> </w:t>
      </w:r>
      <w:r w:rsidRPr="0064650F">
        <w:rPr>
          <w:rFonts w:eastAsia="SimSun"/>
        </w:rPr>
        <w:t>and greenhouse gases from collective or individual heating, which contributes to improving ambient air quality and mitigating climate change. Those who could suffer losses from this policy include energy and heating fuel distributors</w:t>
      </w:r>
      <w:r w:rsidR="003372AA">
        <w:rPr>
          <w:rFonts w:eastAsia="SimSun"/>
        </w:rPr>
        <w:t xml:space="preserve"> —</w:t>
      </w:r>
      <w:r w:rsidRPr="0064650F">
        <w:rPr>
          <w:rFonts w:eastAsia="SimSun"/>
        </w:rPr>
        <w:t xml:space="preserve"> </w:t>
      </w:r>
      <w:r w:rsidR="003372AA">
        <w:rPr>
          <w:rFonts w:eastAsia="SimSun"/>
        </w:rPr>
        <w:t xml:space="preserve">a </w:t>
      </w:r>
      <w:r w:rsidRPr="0064650F">
        <w:rPr>
          <w:rFonts w:eastAsia="SimSun"/>
        </w:rPr>
        <w:t>rather small group.</w:t>
      </w:r>
    </w:p>
    <w:tbl>
      <w:tblPr>
        <w:tblW w:w="0" w:type="auto"/>
        <w:tblInd w:w="426" w:type="dxa"/>
        <w:tblCellMar>
          <w:left w:w="0" w:type="dxa"/>
          <w:right w:w="0" w:type="dxa"/>
        </w:tblCellMar>
        <w:tblLook w:val="04A0" w:firstRow="1" w:lastRow="0" w:firstColumn="1" w:lastColumn="0" w:noHBand="0" w:noVBand="1"/>
      </w:tblPr>
      <w:tblGrid>
        <w:gridCol w:w="9213"/>
      </w:tblGrid>
      <w:tr w:rsidR="005F6C8E" w:rsidRPr="0064650F" w:rsidTr="00CA69FF">
        <w:tc>
          <w:tcPr>
            <w:tcW w:w="9213" w:type="dxa"/>
            <w:shd w:val="clear" w:color="auto" w:fill="auto"/>
          </w:tcPr>
          <w:p w:rsidR="005F6C8E" w:rsidRPr="0064650F" w:rsidRDefault="005F6C8E" w:rsidP="003A0821">
            <w:pPr>
              <w:spacing w:before="120" w:after="120"/>
              <w:ind w:left="709" w:right="709"/>
              <w:rPr>
                <w:rFonts w:eastAsia="SimSun"/>
                <w:lang w:eastAsia="en-GB"/>
              </w:rPr>
            </w:pPr>
            <w:r w:rsidRPr="0064650F">
              <w:rPr>
                <w:rFonts w:eastAsia="SimSun"/>
                <w:lang w:eastAsia="en-GB"/>
              </w:rPr>
              <w:t xml:space="preserve">Figure </w:t>
            </w:r>
            <w:r w:rsidR="002162BE" w:rsidRPr="0064650F">
              <w:rPr>
                <w:rFonts w:eastAsia="SimSun"/>
                <w:lang w:eastAsia="en-GB"/>
              </w:rPr>
              <w:t>1</w:t>
            </w:r>
            <w:r w:rsidR="0086163F">
              <w:rPr>
                <w:rFonts w:eastAsia="SimSun"/>
                <w:lang w:eastAsia="en-GB"/>
              </w:rPr>
              <w:br/>
            </w:r>
            <w:r w:rsidRPr="003A0821">
              <w:rPr>
                <w:rFonts w:eastAsia="SimSun"/>
                <w:b/>
                <w:lang w:eastAsia="en-GB"/>
              </w:rPr>
              <w:t>Loans originated by commercial banks for capital repairs and energy</w:t>
            </w:r>
            <w:r w:rsidR="00EE11A9">
              <w:rPr>
                <w:rFonts w:eastAsia="SimSun"/>
                <w:b/>
                <w:lang w:eastAsia="en-GB"/>
              </w:rPr>
              <w:t>-</w:t>
            </w:r>
            <w:r w:rsidRPr="003A0821">
              <w:rPr>
                <w:rFonts w:eastAsia="SimSun"/>
                <w:b/>
                <w:lang w:eastAsia="en-GB"/>
              </w:rPr>
              <w:t xml:space="preserve">efficient modernization of apartment buildings </w:t>
            </w:r>
            <w:r w:rsidR="003372AA">
              <w:rPr>
                <w:rFonts w:eastAsia="SimSun"/>
                <w:b/>
                <w:lang w:eastAsia="en-GB"/>
              </w:rPr>
              <w:t xml:space="preserve">in Estonia, </w:t>
            </w:r>
            <w:r w:rsidRPr="003A0821">
              <w:rPr>
                <w:rFonts w:eastAsia="SimSun"/>
                <w:b/>
                <w:lang w:eastAsia="en-GB"/>
              </w:rPr>
              <w:t xml:space="preserve">backed by the surety issued </w:t>
            </w:r>
            <w:r w:rsidR="003372AA">
              <w:rPr>
                <w:rFonts w:eastAsia="SimSun"/>
                <w:b/>
                <w:lang w:eastAsia="en-GB"/>
              </w:rPr>
              <w:br/>
            </w:r>
            <w:r w:rsidRPr="003A0821">
              <w:rPr>
                <w:rFonts w:eastAsia="SimSun"/>
                <w:b/>
                <w:lang w:eastAsia="en-GB"/>
              </w:rPr>
              <w:t>by KredEx</w:t>
            </w:r>
            <w:r w:rsidR="00AC1D47" w:rsidRPr="00192892">
              <w:rPr>
                <w:sz w:val="18"/>
                <w:vertAlign w:val="superscript"/>
              </w:rPr>
              <w:footnoteReference w:id="8"/>
            </w:r>
          </w:p>
        </w:tc>
      </w:tr>
      <w:tr w:rsidR="005F6C8E" w:rsidRPr="0064650F" w:rsidTr="00CA69FF">
        <w:tc>
          <w:tcPr>
            <w:tcW w:w="9213" w:type="dxa"/>
            <w:shd w:val="clear" w:color="auto" w:fill="auto"/>
          </w:tcPr>
          <w:p w:rsidR="005F6C8E" w:rsidRPr="0064650F" w:rsidRDefault="005F6C8E" w:rsidP="005F6C8E">
            <w:pPr>
              <w:spacing w:after="120"/>
              <w:ind w:left="708" w:right="1134" w:hanging="708"/>
              <w:jc w:val="both"/>
              <w:rPr>
                <w:rFonts w:eastAsia="SimSun"/>
                <w:sz w:val="2"/>
                <w:szCs w:val="2"/>
                <w:lang w:eastAsia="en-GB"/>
              </w:rPr>
            </w:pPr>
            <w:r w:rsidRPr="0064650F">
              <w:rPr>
                <w:rFonts w:cs="Calibri"/>
                <w:b/>
                <w:noProof/>
                <w:color w:val="17365D"/>
                <w:lang w:eastAsia="en-GB"/>
              </w:rPr>
              <w:drawing>
                <wp:inline distT="0" distB="0" distL="0" distR="0" wp14:anchorId="07913C15" wp14:editId="69BA954B">
                  <wp:extent cx="5502275" cy="2917825"/>
                  <wp:effectExtent l="0" t="0" r="3175"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A36C6">
              <w:rPr>
                <w:rFonts w:eastAsia="SimSun"/>
                <w:i/>
                <w:sz w:val="18"/>
                <w:szCs w:val="18"/>
                <w:lang w:eastAsia="en-GB"/>
              </w:rPr>
              <w:t xml:space="preserve">   </w:t>
            </w:r>
            <w:r w:rsidRPr="003A0821">
              <w:rPr>
                <w:rFonts w:eastAsia="SimSun"/>
                <w:i/>
                <w:sz w:val="18"/>
                <w:szCs w:val="18"/>
                <w:lang w:eastAsia="en-GB"/>
              </w:rPr>
              <w:t>Source</w:t>
            </w:r>
            <w:r w:rsidRPr="003A0821">
              <w:rPr>
                <w:rFonts w:eastAsia="SimSun"/>
                <w:sz w:val="18"/>
                <w:szCs w:val="18"/>
                <w:lang w:eastAsia="en-GB"/>
              </w:rPr>
              <w:t xml:space="preserve">: </w:t>
            </w:r>
            <w:hyperlink r:id="rId11" w:history="1">
              <w:r w:rsidRPr="003A0821">
                <w:rPr>
                  <w:rFonts w:eastAsia="SimSun"/>
                  <w:sz w:val="18"/>
                  <w:szCs w:val="18"/>
                  <w:lang w:eastAsia="en-GB"/>
                </w:rPr>
                <w:t>www.kredex.ee</w:t>
              </w:r>
            </w:hyperlink>
            <w:r w:rsidRPr="003A0821">
              <w:rPr>
                <w:rFonts w:eastAsia="SimSun"/>
                <w:sz w:val="18"/>
                <w:szCs w:val="18"/>
                <w:lang w:eastAsia="en-GB"/>
              </w:rPr>
              <w:t xml:space="preserve"> Estonia</w:t>
            </w:r>
            <w:r w:rsidR="00683335">
              <w:rPr>
                <w:rFonts w:eastAsia="SimSun"/>
                <w:sz w:val="18"/>
                <w:szCs w:val="18"/>
                <w:lang w:eastAsia="en-GB"/>
              </w:rPr>
              <w:t>.</w:t>
            </w:r>
          </w:p>
        </w:tc>
      </w:tr>
    </w:tbl>
    <w:p w:rsidR="005F6C8E" w:rsidRPr="0064650F" w:rsidRDefault="005F6C8E" w:rsidP="002160D3">
      <w:pPr>
        <w:pStyle w:val="SingleTxtG"/>
        <w:spacing w:before="120" w:line="240" w:lineRule="auto"/>
        <w:rPr>
          <w:rFonts w:eastAsia="SimSun"/>
          <w:lang w:eastAsia="en-GB"/>
        </w:rPr>
      </w:pPr>
      <w:r w:rsidRPr="0064650F">
        <w:rPr>
          <w:rFonts w:eastAsia="SimSun"/>
          <w:lang w:eastAsia="en-GB"/>
        </w:rPr>
        <w:t>1</w:t>
      </w:r>
      <w:r w:rsidR="003E7C8C" w:rsidRPr="0064650F">
        <w:rPr>
          <w:rFonts w:eastAsia="SimSun"/>
          <w:lang w:eastAsia="en-GB"/>
        </w:rPr>
        <w:t>8</w:t>
      </w:r>
      <w:r w:rsidRPr="0064650F">
        <w:rPr>
          <w:rFonts w:eastAsia="SimSun"/>
          <w:lang w:eastAsia="en-GB"/>
        </w:rPr>
        <w:t>.</w:t>
      </w:r>
      <w:r w:rsidRPr="0064650F">
        <w:rPr>
          <w:rFonts w:eastAsia="SimSun"/>
          <w:lang w:eastAsia="en-GB"/>
        </w:rPr>
        <w:tab/>
        <w:t xml:space="preserve">Another good example </w:t>
      </w:r>
      <w:r w:rsidR="0026187B">
        <w:rPr>
          <w:rFonts w:eastAsia="SimSun"/>
          <w:lang w:eastAsia="en-GB"/>
        </w:rPr>
        <w:t xml:space="preserve">are </w:t>
      </w:r>
      <w:r w:rsidRPr="0064650F">
        <w:rPr>
          <w:rFonts w:eastAsia="SimSun"/>
          <w:lang w:eastAsia="en-GB"/>
        </w:rPr>
        <w:t>policy package</w:t>
      </w:r>
      <w:r w:rsidR="0026187B">
        <w:rPr>
          <w:rFonts w:eastAsia="SimSun"/>
          <w:lang w:eastAsia="en-GB"/>
        </w:rPr>
        <w:t>s</w:t>
      </w:r>
      <w:r w:rsidRPr="0064650F">
        <w:rPr>
          <w:rFonts w:eastAsia="SimSun"/>
          <w:lang w:eastAsia="en-GB"/>
        </w:rPr>
        <w:t xml:space="preserve"> aimed at promoting organic farming (e.g.</w:t>
      </w:r>
      <w:r w:rsidR="001D03E4">
        <w:rPr>
          <w:rFonts w:eastAsia="SimSun"/>
          <w:lang w:eastAsia="en-GB"/>
        </w:rPr>
        <w:t>,</w:t>
      </w:r>
      <w:r w:rsidRPr="0064650F">
        <w:rPr>
          <w:rFonts w:eastAsia="SimSun"/>
          <w:lang w:eastAsia="en-GB"/>
        </w:rPr>
        <w:t xml:space="preserve"> in the European Union, the Republic of Moldova, </w:t>
      </w:r>
      <w:r w:rsidR="001D03E4">
        <w:rPr>
          <w:rFonts w:eastAsia="SimSun"/>
          <w:lang w:eastAsia="en-GB"/>
        </w:rPr>
        <w:t xml:space="preserve">Switzerland </w:t>
      </w:r>
      <w:r w:rsidRPr="0064650F">
        <w:rPr>
          <w:rFonts w:eastAsia="SimSun"/>
          <w:lang w:eastAsia="en-GB"/>
        </w:rPr>
        <w:t xml:space="preserve">and Ukraine). </w:t>
      </w:r>
      <w:r w:rsidR="0026187B">
        <w:rPr>
          <w:rFonts w:eastAsia="SimSun"/>
          <w:lang w:eastAsia="en-GB"/>
        </w:rPr>
        <w:t xml:space="preserve">Such policies </w:t>
      </w:r>
      <w:r w:rsidRPr="0064650F">
        <w:rPr>
          <w:rFonts w:eastAsia="SimSun"/>
          <w:lang w:eastAsia="en-GB"/>
        </w:rPr>
        <w:t>stimulate farmers to convert to organic farming practices (e.g.</w:t>
      </w:r>
      <w:r w:rsidR="001D03E4">
        <w:rPr>
          <w:rFonts w:eastAsia="SimSun"/>
          <w:lang w:eastAsia="en-GB"/>
        </w:rPr>
        <w:t>,</w:t>
      </w:r>
      <w:r w:rsidRPr="0064650F">
        <w:rPr>
          <w:rFonts w:eastAsia="SimSun"/>
          <w:lang w:eastAsia="en-GB"/>
        </w:rPr>
        <w:t xml:space="preserve"> adopting crop rotation and using organic fertilizers and pest control) and eliminate synthetic inputs (i.e.</w:t>
      </w:r>
      <w:r w:rsidR="001D03E4">
        <w:rPr>
          <w:rFonts w:eastAsia="SimSun"/>
          <w:lang w:eastAsia="en-GB"/>
        </w:rPr>
        <w:t>,</w:t>
      </w:r>
      <w:r w:rsidRPr="0064650F">
        <w:rPr>
          <w:rFonts w:eastAsia="SimSun"/>
          <w:lang w:eastAsia="en-GB"/>
        </w:rPr>
        <w:t xml:space="preserve"> fertilizers and pesticides). In the EU, for example, every year around 500.000 hectares of land are converted to organic agriculture and around 20,000 hectares of land are converted in Ukraine. The positive effects of th</w:t>
      </w:r>
      <w:r w:rsidR="0026187B">
        <w:rPr>
          <w:rFonts w:eastAsia="SimSun"/>
          <w:lang w:eastAsia="en-GB"/>
        </w:rPr>
        <w:t>ese</w:t>
      </w:r>
      <w:r w:rsidRPr="0064650F">
        <w:rPr>
          <w:rFonts w:eastAsia="SimSun"/>
          <w:lang w:eastAsia="en-GB"/>
        </w:rPr>
        <w:t xml:space="preserve"> polic</w:t>
      </w:r>
      <w:r w:rsidR="0026187B">
        <w:rPr>
          <w:rFonts w:eastAsia="SimSun"/>
          <w:lang w:eastAsia="en-GB"/>
        </w:rPr>
        <w:t>ies</w:t>
      </w:r>
      <w:r w:rsidRPr="0064650F">
        <w:rPr>
          <w:rFonts w:eastAsia="SimSun"/>
          <w:lang w:eastAsia="en-GB"/>
        </w:rPr>
        <w:t xml:space="preserve"> range from the development of new agr</w:t>
      </w:r>
      <w:r w:rsidR="001D03E4">
        <w:rPr>
          <w:rFonts w:eastAsia="SimSun"/>
          <w:lang w:eastAsia="en-GB"/>
        </w:rPr>
        <w:t>i</w:t>
      </w:r>
      <w:r w:rsidRPr="0064650F">
        <w:rPr>
          <w:rFonts w:eastAsia="SimSun"/>
          <w:lang w:eastAsia="en-GB"/>
        </w:rPr>
        <w:t>business opportunities, increased export</w:t>
      </w:r>
      <w:r w:rsidR="001D03E4">
        <w:rPr>
          <w:rFonts w:eastAsia="SimSun"/>
          <w:lang w:eastAsia="en-GB"/>
        </w:rPr>
        <w:t xml:space="preserve"> and</w:t>
      </w:r>
      <w:r w:rsidRPr="0064650F">
        <w:rPr>
          <w:rFonts w:eastAsia="SimSun"/>
          <w:lang w:eastAsia="en-GB"/>
        </w:rPr>
        <w:t xml:space="preserve"> higher farmer incomes (due to a higher price premium)</w:t>
      </w:r>
      <w:r w:rsidR="001D03E4">
        <w:rPr>
          <w:rFonts w:eastAsia="SimSun"/>
          <w:lang w:eastAsia="en-GB"/>
        </w:rPr>
        <w:t>,</w:t>
      </w:r>
      <w:r w:rsidRPr="0064650F">
        <w:rPr>
          <w:rFonts w:eastAsia="SimSun"/>
          <w:lang w:eastAsia="en-GB"/>
        </w:rPr>
        <w:t xml:space="preserve"> as well as a revitalization of the countryside and restoration of ecosystem functionality. Those who may be impacted negatively include the producers of synthetic fertilizers and pesticides</w:t>
      </w:r>
      <w:r w:rsidR="001D03E4">
        <w:rPr>
          <w:rFonts w:eastAsia="SimSun"/>
          <w:lang w:eastAsia="en-GB"/>
        </w:rPr>
        <w:t>,</w:t>
      </w:r>
      <w:r w:rsidRPr="0064650F">
        <w:rPr>
          <w:rFonts w:eastAsia="SimSun"/>
          <w:lang w:eastAsia="en-GB"/>
        </w:rPr>
        <w:t xml:space="preserve"> who may require assistance in reorienting their business</w:t>
      </w:r>
      <w:r w:rsidR="001D03E4">
        <w:rPr>
          <w:rFonts w:eastAsia="SimSun"/>
          <w:lang w:eastAsia="en-GB"/>
        </w:rPr>
        <w:t>es</w:t>
      </w:r>
      <w:r w:rsidRPr="0064650F">
        <w:rPr>
          <w:rFonts w:eastAsia="SimSun"/>
          <w:lang w:eastAsia="en-GB"/>
        </w:rPr>
        <w:t>.</w:t>
      </w:r>
    </w:p>
    <w:p w:rsidR="005F6C8E" w:rsidRPr="0064650F" w:rsidRDefault="003E7C8C" w:rsidP="002160D3">
      <w:pPr>
        <w:pStyle w:val="SingleTxtG"/>
        <w:spacing w:line="240" w:lineRule="auto"/>
        <w:rPr>
          <w:rFonts w:eastAsia="SimSun"/>
          <w:lang w:eastAsia="en-GB"/>
        </w:rPr>
      </w:pPr>
      <w:r w:rsidRPr="0064650F">
        <w:rPr>
          <w:rFonts w:eastAsia="SimSun"/>
          <w:lang w:eastAsia="en-GB"/>
        </w:rPr>
        <w:t>19</w:t>
      </w:r>
      <w:r w:rsidR="005F6C8E" w:rsidRPr="0064650F">
        <w:rPr>
          <w:rFonts w:eastAsia="SimSun"/>
          <w:lang w:eastAsia="en-GB"/>
        </w:rPr>
        <w:t>.</w:t>
      </w:r>
      <w:r w:rsidR="005F6C8E" w:rsidRPr="0064650F">
        <w:rPr>
          <w:rFonts w:eastAsia="SimSun"/>
          <w:lang w:eastAsia="en-GB"/>
        </w:rPr>
        <w:tab/>
        <w:t xml:space="preserve">Positive effects are also observed in applying policy packages aimed at the stimulation of the forest sector to supply products such as timber, biomass and non-wood forest products and services </w:t>
      </w:r>
      <w:r w:rsidR="001D03E4">
        <w:rPr>
          <w:rFonts w:eastAsia="SimSun"/>
          <w:lang w:eastAsia="en-GB"/>
        </w:rPr>
        <w:t>—</w:t>
      </w:r>
      <w:r w:rsidR="005F6C8E" w:rsidRPr="0064650F">
        <w:rPr>
          <w:rFonts w:eastAsia="SimSun"/>
          <w:lang w:eastAsia="en-GB"/>
        </w:rPr>
        <w:t xml:space="preserve"> e.g.</w:t>
      </w:r>
      <w:r w:rsidR="001D03E4">
        <w:rPr>
          <w:rFonts w:eastAsia="SimSun"/>
          <w:lang w:eastAsia="en-GB"/>
        </w:rPr>
        <w:t>,</w:t>
      </w:r>
      <w:r w:rsidR="005F6C8E" w:rsidRPr="0064650F">
        <w:rPr>
          <w:rFonts w:eastAsia="SimSun"/>
          <w:lang w:eastAsia="en-GB"/>
        </w:rPr>
        <w:t xml:space="preserve"> the protection of land and housing from natural disasters such as flooding </w:t>
      </w:r>
      <w:r w:rsidR="001D03E4">
        <w:rPr>
          <w:rFonts w:eastAsia="SimSun"/>
          <w:lang w:eastAsia="en-GB"/>
        </w:rPr>
        <w:t>—</w:t>
      </w:r>
      <w:r w:rsidR="005F6C8E" w:rsidRPr="0064650F">
        <w:rPr>
          <w:rFonts w:eastAsia="SimSun"/>
          <w:lang w:eastAsia="en-GB"/>
        </w:rPr>
        <w:t xml:space="preserve"> to economic markets based on the effective combination of economic and environmental objectives of forest management (e.g.</w:t>
      </w:r>
      <w:r w:rsidR="001D03E4">
        <w:rPr>
          <w:rFonts w:eastAsia="SimSun"/>
          <w:lang w:eastAsia="en-GB"/>
        </w:rPr>
        <w:t>,</w:t>
      </w:r>
      <w:r w:rsidR="005F6C8E" w:rsidRPr="0064650F">
        <w:rPr>
          <w:rFonts w:eastAsia="SimSun"/>
          <w:lang w:eastAsia="en-GB"/>
        </w:rPr>
        <w:t xml:space="preserve"> in Poland, Spain and the Alpine countries). The positive effects include wide-ranging job creation in the forest sector for the rural population. At the same time, the introduction of payments for forest services, such as the provision of drinking water purified in a natural and sustainable way </w:t>
      </w:r>
      <w:r w:rsidR="005F6C8E" w:rsidRPr="0064650F">
        <w:rPr>
          <w:rFonts w:eastAsia="SimSun"/>
          <w:lang w:eastAsia="en-GB"/>
        </w:rPr>
        <w:lastRenderedPageBreak/>
        <w:t xml:space="preserve">by forests stands, could be opposed by mineral water producers </w:t>
      </w:r>
      <w:r w:rsidR="0026187B">
        <w:rPr>
          <w:rFonts w:eastAsia="SimSun"/>
          <w:lang w:eastAsia="en-GB"/>
        </w:rPr>
        <w:t xml:space="preserve">that </w:t>
      </w:r>
      <w:r w:rsidR="005F6C8E" w:rsidRPr="0064650F">
        <w:rPr>
          <w:rFonts w:eastAsia="SimSun"/>
          <w:lang w:eastAsia="en-GB"/>
        </w:rPr>
        <w:t xml:space="preserve">are currently benefitting from this service for free. </w:t>
      </w:r>
    </w:p>
    <w:p w:rsidR="005F6C8E" w:rsidRDefault="005F6C8E" w:rsidP="002160D3">
      <w:pPr>
        <w:pStyle w:val="SingleTxtG"/>
        <w:spacing w:line="240" w:lineRule="auto"/>
        <w:rPr>
          <w:rFonts w:eastAsia="SimSun"/>
          <w:lang w:eastAsia="en-GB"/>
        </w:rPr>
      </w:pPr>
      <w:r w:rsidRPr="0064650F">
        <w:rPr>
          <w:rFonts w:eastAsia="SimSun"/>
          <w:lang w:eastAsia="en-GB"/>
        </w:rPr>
        <w:t>2</w:t>
      </w:r>
      <w:r w:rsidR="003E7C8C" w:rsidRPr="0064650F">
        <w:rPr>
          <w:rFonts w:eastAsia="SimSun"/>
          <w:lang w:eastAsia="en-GB"/>
        </w:rPr>
        <w:t>0</w:t>
      </w:r>
      <w:r w:rsidRPr="0064650F">
        <w:rPr>
          <w:rFonts w:eastAsia="SimSun"/>
          <w:lang w:eastAsia="en-GB"/>
        </w:rPr>
        <w:t>.</w:t>
      </w:r>
      <w:r w:rsidRPr="0064650F">
        <w:rPr>
          <w:rFonts w:eastAsia="SimSun"/>
          <w:lang w:eastAsia="en-GB"/>
        </w:rPr>
        <w:tab/>
        <w:t>The implementation of a policy package to promote urban and suburban public transport in combination with walking and cycling also offers positive effects. Such polic</w:t>
      </w:r>
      <w:r w:rsidR="0026187B">
        <w:rPr>
          <w:rFonts w:eastAsia="SimSun"/>
          <w:lang w:eastAsia="en-GB"/>
        </w:rPr>
        <w:t>ies</w:t>
      </w:r>
      <w:r w:rsidRPr="0064650F">
        <w:rPr>
          <w:rFonts w:eastAsia="SimSun"/>
          <w:lang w:eastAsia="en-GB"/>
        </w:rPr>
        <w:t xml:space="preserve"> provide jobs</w:t>
      </w:r>
      <w:r w:rsidR="0026187B">
        <w:rPr>
          <w:rFonts w:eastAsia="SimSun"/>
          <w:lang w:eastAsia="en-GB"/>
        </w:rPr>
        <w:t>,</w:t>
      </w:r>
      <w:r w:rsidRPr="0064650F">
        <w:rPr>
          <w:rFonts w:eastAsia="SimSun"/>
          <w:lang w:eastAsia="en-GB"/>
        </w:rPr>
        <w:t xml:space="preserve"> and the </w:t>
      </w:r>
      <w:r w:rsidR="0026187B">
        <w:rPr>
          <w:rFonts w:eastAsia="SimSun"/>
          <w:lang w:eastAsia="en-GB"/>
        </w:rPr>
        <w:t xml:space="preserve">resultant </w:t>
      </w:r>
      <w:r w:rsidRPr="0064650F">
        <w:rPr>
          <w:rFonts w:eastAsia="SimSun"/>
          <w:lang w:eastAsia="en-GB"/>
        </w:rPr>
        <w:t>decreas</w:t>
      </w:r>
      <w:r w:rsidR="0026187B">
        <w:rPr>
          <w:rFonts w:eastAsia="SimSun"/>
          <w:lang w:eastAsia="en-GB"/>
        </w:rPr>
        <w:t>e in the</w:t>
      </w:r>
      <w:r w:rsidRPr="0064650F">
        <w:rPr>
          <w:rFonts w:eastAsia="SimSun"/>
          <w:lang w:eastAsia="en-GB"/>
        </w:rPr>
        <w:t xml:space="preserve"> use of private vehicles in urban transport helps to improve the ambient air quality and road safety. </w:t>
      </w:r>
      <w:r w:rsidR="0026187B">
        <w:rPr>
          <w:rFonts w:eastAsia="SimSun"/>
          <w:lang w:eastAsia="en-GB"/>
        </w:rPr>
        <w:t xml:space="preserve">They </w:t>
      </w:r>
      <w:r w:rsidRPr="0064650F">
        <w:rPr>
          <w:rFonts w:eastAsia="SimSun"/>
          <w:lang w:eastAsia="en-GB"/>
        </w:rPr>
        <w:t>can also ensure access to mobility for those who do not own or drive a car</w:t>
      </w:r>
      <w:r w:rsidR="00F613B0">
        <w:rPr>
          <w:rFonts w:eastAsia="SimSun"/>
          <w:lang w:eastAsia="en-GB"/>
        </w:rPr>
        <w:t>,</w:t>
      </w:r>
      <w:r w:rsidRPr="0064650F">
        <w:rPr>
          <w:rFonts w:eastAsia="SimSun"/>
          <w:lang w:eastAsia="en-GB"/>
        </w:rPr>
        <w:t xml:space="preserve"> and help limit economic losses associated with traffic congestion and </w:t>
      </w:r>
      <w:r w:rsidR="00F613B0">
        <w:rPr>
          <w:rFonts w:eastAsia="SimSun"/>
          <w:lang w:eastAsia="en-GB"/>
        </w:rPr>
        <w:t xml:space="preserve">the </w:t>
      </w:r>
      <w:r w:rsidRPr="0064650F">
        <w:rPr>
          <w:rFonts w:eastAsia="SimSun"/>
          <w:lang w:eastAsia="en-GB"/>
        </w:rPr>
        <w:t>health cost</w:t>
      </w:r>
      <w:r w:rsidR="00F613B0">
        <w:rPr>
          <w:rFonts w:eastAsia="SimSun"/>
          <w:lang w:eastAsia="en-GB"/>
        </w:rPr>
        <w:t>s</w:t>
      </w:r>
      <w:r w:rsidRPr="0064650F">
        <w:rPr>
          <w:rFonts w:eastAsia="SimSun"/>
          <w:lang w:eastAsia="en-GB"/>
        </w:rPr>
        <w:t xml:space="preserve"> associated with traffic accidents and diseases caused by air pollution from cars. Further, </w:t>
      </w:r>
      <w:r w:rsidR="0026187B">
        <w:rPr>
          <w:rFonts w:eastAsia="SimSun"/>
          <w:lang w:eastAsia="en-GB"/>
        </w:rPr>
        <w:t xml:space="preserve">such policies have </w:t>
      </w:r>
      <w:r w:rsidRPr="0064650F">
        <w:rPr>
          <w:rFonts w:eastAsia="SimSun"/>
          <w:lang w:eastAsia="en-GB"/>
        </w:rPr>
        <w:t xml:space="preserve">a positive impact on people’s health through promoting physical activity. Nevertheless, the implementation of this </w:t>
      </w:r>
      <w:r w:rsidR="0026187B">
        <w:rPr>
          <w:rFonts w:eastAsia="SimSun"/>
          <w:lang w:eastAsia="en-GB"/>
        </w:rPr>
        <w:t xml:space="preserve">type of </w:t>
      </w:r>
      <w:r w:rsidRPr="0064650F">
        <w:rPr>
          <w:rFonts w:eastAsia="SimSun"/>
          <w:lang w:eastAsia="en-GB"/>
        </w:rPr>
        <w:t>policy package is rather challenging. To attract passengers, urban public transport needs to offer a high quality service (</w:t>
      </w:r>
      <w:r w:rsidR="002162BE" w:rsidRPr="0064650F">
        <w:rPr>
          <w:rFonts w:eastAsia="SimSun"/>
          <w:lang w:eastAsia="en-GB"/>
        </w:rPr>
        <w:t>see figure 2</w:t>
      </w:r>
      <w:r w:rsidRPr="0064650F">
        <w:rPr>
          <w:rFonts w:eastAsia="SimSun"/>
          <w:lang w:eastAsia="en-GB"/>
        </w:rPr>
        <w:t>), which in turn requires a reliable and resilient infrastructure and comfortable rolling stock. This cannot be achieved without the necessary capital investment at the city level (many pan-European cities have invested in improving public transport infrastructure and rolling stock). Car manufacturers and their suppliers could incur losses as a result of such a policy package if sales of new cars decline.</w:t>
      </w:r>
      <w:r w:rsidR="006C309E" w:rsidRPr="0064650F">
        <w:rPr>
          <w:rStyle w:val="FootnoteReference"/>
          <w:rFonts w:eastAsia="SimSun"/>
          <w:lang w:eastAsia="en-GB"/>
        </w:rPr>
        <w:footnoteReference w:id="9"/>
      </w:r>
    </w:p>
    <w:p w:rsidR="001772F8" w:rsidRPr="0064650F" w:rsidRDefault="001772F8" w:rsidP="001772F8">
      <w:pPr>
        <w:pStyle w:val="SingleTxtG"/>
        <w:rPr>
          <w:rFonts w:eastAsia="SimSun"/>
          <w:lang w:eastAsia="en-GB"/>
        </w:rPr>
      </w:pPr>
      <w:r w:rsidRPr="0064650F">
        <w:rPr>
          <w:rFonts w:eastAsia="SimSun"/>
          <w:lang w:eastAsia="en-GB"/>
        </w:rPr>
        <w:t>21.</w:t>
      </w:r>
      <w:r w:rsidRPr="0064650F">
        <w:rPr>
          <w:rFonts w:eastAsia="SimSun"/>
          <w:lang w:eastAsia="en-GB"/>
        </w:rPr>
        <w:tab/>
        <w:t xml:space="preserve">A policy package promoting waste recovery and recycling is another good </w:t>
      </w:r>
      <w:r>
        <w:rPr>
          <w:rFonts w:eastAsia="SimSun"/>
          <w:lang w:eastAsia="en-GB"/>
        </w:rPr>
        <w:t xml:space="preserve">means </w:t>
      </w:r>
      <w:r w:rsidRPr="0064650F">
        <w:rPr>
          <w:rFonts w:eastAsia="SimSun"/>
          <w:lang w:eastAsia="en-GB"/>
        </w:rPr>
        <w:t>of achieving positive effects from green economy approaches. The waste recovery and recycling sector can create economic income and jobs</w:t>
      </w:r>
      <w:r>
        <w:rPr>
          <w:rFonts w:eastAsia="SimSun"/>
          <w:lang w:eastAsia="en-GB"/>
        </w:rPr>
        <w:t>.</w:t>
      </w:r>
      <w:r w:rsidRPr="0064650F">
        <w:rPr>
          <w:rFonts w:eastAsia="SimSun"/>
          <w:lang w:eastAsia="en-GB"/>
        </w:rPr>
        <w:t xml:space="preserve"> </w:t>
      </w:r>
      <w:r>
        <w:rPr>
          <w:rFonts w:eastAsia="SimSun"/>
          <w:lang w:eastAsia="en-GB"/>
        </w:rPr>
        <w:t>F</w:t>
      </w:r>
      <w:r w:rsidRPr="0064650F">
        <w:rPr>
          <w:rFonts w:eastAsia="SimSun"/>
          <w:lang w:eastAsia="en-GB"/>
        </w:rPr>
        <w:t>or example</w:t>
      </w:r>
      <w:r>
        <w:rPr>
          <w:rFonts w:eastAsia="SimSun"/>
          <w:lang w:eastAsia="en-GB"/>
        </w:rPr>
        <w:t>,</w:t>
      </w:r>
      <w:r w:rsidRPr="0064650F">
        <w:rPr>
          <w:rFonts w:eastAsia="SimSun"/>
          <w:lang w:eastAsia="en-GB"/>
        </w:rPr>
        <w:t xml:space="preserve"> according to EEA the employment in waste management and recycling of materials grew annually between 2000 and 2008 by 7.14 and 10.57 per cent</w:t>
      </w:r>
      <w:r>
        <w:rPr>
          <w:rFonts w:eastAsia="SimSun"/>
          <w:lang w:eastAsia="en-GB"/>
        </w:rPr>
        <w:t xml:space="preserve">, </w:t>
      </w:r>
      <w:r w:rsidRPr="0064650F">
        <w:rPr>
          <w:rFonts w:eastAsia="SimSun"/>
          <w:lang w:eastAsia="en-GB"/>
        </w:rPr>
        <w:t>respectively</w:t>
      </w:r>
      <w:r>
        <w:rPr>
          <w:rFonts w:eastAsia="SimSun"/>
          <w:lang w:eastAsia="en-GB"/>
        </w:rPr>
        <w:t>, in the EU countries</w:t>
      </w:r>
      <w:r w:rsidRPr="0064650F">
        <w:rPr>
          <w:rFonts w:eastAsia="SimSun"/>
          <w:lang w:eastAsia="en-GB"/>
        </w:rPr>
        <w:t>. The recycling jobs are at higher income levels than the jobs in waste landfilling or incineration. At the same time, the recovered or recycled material could re-enter the production processes</w:t>
      </w:r>
      <w:r>
        <w:rPr>
          <w:rFonts w:eastAsia="SimSun"/>
          <w:lang w:eastAsia="en-GB"/>
        </w:rPr>
        <w:t>,</w:t>
      </w:r>
      <w:r w:rsidRPr="0064650F">
        <w:rPr>
          <w:rFonts w:eastAsia="SimSun"/>
          <w:lang w:eastAsia="en-GB"/>
        </w:rPr>
        <w:t xml:space="preserve"> bringing significant economic and environmental benefits. The mining sector could suffer losses</w:t>
      </w:r>
      <w:r>
        <w:rPr>
          <w:rFonts w:eastAsia="SimSun"/>
          <w:lang w:eastAsia="en-GB"/>
        </w:rPr>
        <w:t>, however,</w:t>
      </w:r>
      <w:r w:rsidRPr="0064650F">
        <w:rPr>
          <w:rFonts w:eastAsia="SimSun"/>
          <w:lang w:eastAsia="en-GB"/>
        </w:rPr>
        <w:t xml:space="preserve"> if income drops with decreasing demand for mined minerals.</w:t>
      </w:r>
      <w:r w:rsidRPr="0064650F">
        <w:rPr>
          <w:rStyle w:val="FootnoteReference"/>
          <w:rFonts w:eastAsia="SimSun"/>
          <w:lang w:eastAsia="en-GB"/>
        </w:rPr>
        <w:footnoteReference w:id="10"/>
      </w:r>
    </w:p>
    <w:p w:rsidR="001772F8" w:rsidRPr="0064650F" w:rsidRDefault="001772F8" w:rsidP="001772F8">
      <w:pPr>
        <w:pStyle w:val="SingleTxtG"/>
        <w:spacing w:line="240" w:lineRule="auto"/>
        <w:rPr>
          <w:rFonts w:eastAsia="SimSun"/>
          <w:lang w:eastAsia="en-GB"/>
        </w:rPr>
      </w:pPr>
      <w:r w:rsidRPr="0064650F">
        <w:rPr>
          <w:rFonts w:eastAsia="SimSun"/>
          <w:lang w:eastAsia="en-GB"/>
        </w:rPr>
        <w:t>22.</w:t>
      </w:r>
      <w:r w:rsidRPr="0064650F">
        <w:rPr>
          <w:rFonts w:eastAsia="SimSun"/>
          <w:lang w:eastAsia="en-GB"/>
        </w:rPr>
        <w:tab/>
      </w:r>
      <w:proofErr w:type="gramStart"/>
      <w:r w:rsidRPr="0064650F">
        <w:rPr>
          <w:rFonts w:eastAsia="SimSun"/>
          <w:lang w:eastAsia="en-GB"/>
        </w:rPr>
        <w:t>As</w:t>
      </w:r>
      <w:proofErr w:type="gramEnd"/>
      <w:r w:rsidRPr="0064650F">
        <w:rPr>
          <w:rFonts w:eastAsia="SimSun"/>
          <w:lang w:eastAsia="en-GB"/>
        </w:rPr>
        <w:t xml:space="preserve"> the examples show, the green economy can be about quick economic, social and environmental </w:t>
      </w:r>
      <w:r>
        <w:rPr>
          <w:rFonts w:eastAsia="SimSun"/>
          <w:lang w:eastAsia="en-GB"/>
        </w:rPr>
        <w:t>“</w:t>
      </w:r>
      <w:r w:rsidRPr="0064650F">
        <w:rPr>
          <w:rFonts w:eastAsia="SimSun"/>
          <w:lang w:eastAsia="en-GB"/>
        </w:rPr>
        <w:t>wins</w:t>
      </w:r>
      <w:r>
        <w:rPr>
          <w:rFonts w:eastAsia="SimSun"/>
          <w:lang w:eastAsia="en-GB"/>
        </w:rPr>
        <w:t>”</w:t>
      </w:r>
      <w:r w:rsidRPr="0064650F">
        <w:rPr>
          <w:rFonts w:eastAsia="SimSun"/>
          <w:lang w:eastAsia="en-GB"/>
        </w:rPr>
        <w:t>, not only in the medium to long</w:t>
      </w:r>
      <w:r>
        <w:rPr>
          <w:rFonts w:eastAsia="SimSun"/>
          <w:lang w:eastAsia="en-GB"/>
        </w:rPr>
        <w:t xml:space="preserve"> </w:t>
      </w:r>
      <w:r w:rsidRPr="0064650F">
        <w:rPr>
          <w:rFonts w:eastAsia="SimSun"/>
          <w:lang w:eastAsia="en-GB"/>
        </w:rPr>
        <w:t xml:space="preserve">term. This is also true for such an important factor as employment, for both urban and rural populations. There is, therefore, evidence that it is worth investing in the green economy transition and fully seizing the opportunities </w:t>
      </w:r>
      <w:r>
        <w:rPr>
          <w:rFonts w:eastAsia="SimSun"/>
          <w:lang w:eastAsia="en-GB"/>
        </w:rPr>
        <w:t xml:space="preserve">and benefits </w:t>
      </w:r>
      <w:r w:rsidRPr="0064650F">
        <w:rPr>
          <w:rFonts w:eastAsia="SimSun"/>
          <w:lang w:eastAsia="en-GB"/>
        </w:rPr>
        <w:t xml:space="preserve">it brings: economies that are highly resource productive and resilient to shocks, </w:t>
      </w:r>
      <w:r>
        <w:rPr>
          <w:rFonts w:eastAsia="SimSun"/>
          <w:lang w:eastAsia="en-GB"/>
        </w:rPr>
        <w:t xml:space="preserve">an </w:t>
      </w:r>
      <w:r w:rsidRPr="0064650F">
        <w:rPr>
          <w:rFonts w:eastAsia="SimSun"/>
          <w:lang w:eastAsia="en-GB"/>
        </w:rPr>
        <w:t xml:space="preserve">improvement </w:t>
      </w:r>
      <w:r>
        <w:rPr>
          <w:rFonts w:eastAsia="SimSun"/>
          <w:lang w:eastAsia="en-GB"/>
        </w:rPr>
        <w:t xml:space="preserve">in </w:t>
      </w:r>
      <w:r w:rsidRPr="0064650F">
        <w:rPr>
          <w:rFonts w:eastAsia="SimSun"/>
          <w:lang w:eastAsia="en-GB"/>
        </w:rPr>
        <w:t xml:space="preserve">the quality of life of the population and </w:t>
      </w:r>
      <w:r>
        <w:rPr>
          <w:rFonts w:eastAsia="SimSun"/>
          <w:lang w:eastAsia="en-GB"/>
        </w:rPr>
        <w:t xml:space="preserve">the </w:t>
      </w:r>
      <w:r w:rsidRPr="0064650F">
        <w:rPr>
          <w:rFonts w:eastAsia="SimSun"/>
          <w:lang w:eastAsia="en-GB"/>
        </w:rPr>
        <w:t xml:space="preserve">identification of new sources for economic development.  </w:t>
      </w:r>
    </w:p>
    <w:tbl>
      <w:tblPr>
        <w:tblW w:w="10207" w:type="dxa"/>
        <w:tblInd w:w="-170" w:type="dxa"/>
        <w:tblLayout w:type="fixed"/>
        <w:tblCellMar>
          <w:left w:w="0" w:type="dxa"/>
          <w:right w:w="0" w:type="dxa"/>
        </w:tblCellMar>
        <w:tblLook w:val="04A0" w:firstRow="1" w:lastRow="0" w:firstColumn="1" w:lastColumn="0" w:noHBand="0" w:noVBand="1"/>
      </w:tblPr>
      <w:tblGrid>
        <w:gridCol w:w="10207"/>
      </w:tblGrid>
      <w:tr w:rsidR="005F6C8E" w:rsidRPr="0064650F" w:rsidTr="00D011EF">
        <w:tc>
          <w:tcPr>
            <w:tcW w:w="10207" w:type="dxa"/>
            <w:shd w:val="clear" w:color="auto" w:fill="auto"/>
          </w:tcPr>
          <w:p w:rsidR="005F6C8E" w:rsidRPr="0064650F" w:rsidRDefault="002162BE" w:rsidP="00D011EF">
            <w:pPr>
              <w:keepNext/>
              <w:keepLines/>
              <w:tabs>
                <w:tab w:val="right" w:pos="851"/>
              </w:tabs>
              <w:spacing w:after="120" w:line="240" w:lineRule="exact"/>
              <w:ind w:left="142" w:right="1134"/>
            </w:pPr>
            <w:bookmarkStart w:id="1" w:name="_Toc404604538"/>
            <w:r w:rsidRPr="0064650F">
              <w:lastRenderedPageBreak/>
              <w:t>Figure 2</w:t>
            </w:r>
            <w:r w:rsidR="00683335">
              <w:br/>
            </w:r>
            <w:r w:rsidR="005F6C8E" w:rsidRPr="00D011EF">
              <w:rPr>
                <w:b/>
              </w:rPr>
              <w:t>Quality of urban public transport versus demand in selected ECE capitals</w:t>
            </w:r>
            <w:bookmarkEnd w:id="1"/>
          </w:p>
        </w:tc>
      </w:tr>
      <w:tr w:rsidR="005F6C8E" w:rsidRPr="0064650F" w:rsidTr="00D011EF">
        <w:tblPrEx>
          <w:tblCellMar>
            <w:left w:w="108" w:type="dxa"/>
            <w:right w:w="108" w:type="dxa"/>
          </w:tblCellMar>
        </w:tblPrEx>
        <w:tc>
          <w:tcPr>
            <w:tcW w:w="10207" w:type="dxa"/>
            <w:shd w:val="clear" w:color="auto" w:fill="auto"/>
          </w:tcPr>
          <w:p w:rsidR="005F6C8E" w:rsidRPr="0064650F" w:rsidRDefault="005F6C8E" w:rsidP="005F6C8E">
            <w:pPr>
              <w:spacing w:line="240" w:lineRule="auto"/>
              <w:jc w:val="center"/>
            </w:pPr>
            <w:r w:rsidRPr="0064650F">
              <w:rPr>
                <w:noProof/>
                <w:lang w:eastAsia="en-GB"/>
              </w:rPr>
              <w:drawing>
                <wp:inline distT="0" distB="0" distL="0" distR="0" wp14:anchorId="35FE49C5" wp14:editId="7760D724">
                  <wp:extent cx="6242050" cy="4038600"/>
                  <wp:effectExtent l="0" t="0" r="25400" b="1905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5F6C8E" w:rsidRPr="0064650F" w:rsidTr="00D011EF">
        <w:tc>
          <w:tcPr>
            <w:tcW w:w="10207" w:type="dxa"/>
            <w:shd w:val="clear" w:color="auto" w:fill="auto"/>
          </w:tcPr>
          <w:p w:rsidR="005F6C8E" w:rsidRPr="00D011EF" w:rsidRDefault="00A0023A" w:rsidP="00D011EF">
            <w:pPr>
              <w:tabs>
                <w:tab w:val="left" w:pos="390"/>
              </w:tabs>
              <w:spacing w:before="120" w:after="240" w:line="240" w:lineRule="auto"/>
              <w:ind w:left="1134" w:hanging="992"/>
              <w:rPr>
                <w:sz w:val="18"/>
                <w:szCs w:val="18"/>
              </w:rPr>
            </w:pPr>
            <w:r>
              <w:rPr>
                <w:i/>
                <w:sz w:val="18"/>
                <w:szCs w:val="18"/>
              </w:rPr>
              <w:tab/>
            </w:r>
            <w:r w:rsidR="005F6C8E" w:rsidRPr="00D011EF">
              <w:rPr>
                <w:i/>
                <w:sz w:val="18"/>
                <w:szCs w:val="18"/>
              </w:rPr>
              <w:t>Source</w:t>
            </w:r>
            <w:r w:rsidR="005F6C8E" w:rsidRPr="00D011EF">
              <w:rPr>
                <w:sz w:val="18"/>
                <w:szCs w:val="18"/>
              </w:rPr>
              <w:t>: ECE</w:t>
            </w:r>
            <w:r w:rsidR="00652F03" w:rsidRPr="00D011EF">
              <w:rPr>
                <w:sz w:val="18"/>
                <w:szCs w:val="18"/>
              </w:rPr>
              <w:t>,</w:t>
            </w:r>
            <w:r w:rsidR="005F6C8E" w:rsidRPr="00D011EF">
              <w:rPr>
                <w:sz w:val="18"/>
                <w:szCs w:val="18"/>
              </w:rPr>
              <w:t xml:space="preserve"> based on data collected in 2011</w:t>
            </w:r>
            <w:r w:rsidR="00683335">
              <w:rPr>
                <w:sz w:val="18"/>
                <w:szCs w:val="18"/>
              </w:rPr>
              <w:t>.</w:t>
            </w:r>
          </w:p>
        </w:tc>
      </w:tr>
    </w:tbl>
    <w:p w:rsidR="005F6C8E" w:rsidRPr="0064650F" w:rsidRDefault="005F6C8E" w:rsidP="00C415F0">
      <w:pPr>
        <w:pStyle w:val="SingleTxtG"/>
        <w:rPr>
          <w:rFonts w:eastAsia="SimSun"/>
          <w:lang w:eastAsia="en-GB"/>
        </w:rPr>
      </w:pPr>
      <w:r w:rsidRPr="0064650F">
        <w:rPr>
          <w:rFonts w:eastAsia="SimSun"/>
          <w:lang w:eastAsia="en-GB"/>
        </w:rPr>
        <w:t>2</w:t>
      </w:r>
      <w:r w:rsidR="003E7C8C" w:rsidRPr="0064650F">
        <w:rPr>
          <w:rFonts w:eastAsia="SimSun"/>
          <w:lang w:eastAsia="en-GB"/>
        </w:rPr>
        <w:t>3</w:t>
      </w:r>
      <w:r w:rsidRPr="0064650F">
        <w:rPr>
          <w:rFonts w:eastAsia="SimSun"/>
          <w:lang w:eastAsia="en-GB"/>
        </w:rPr>
        <w:t>.</w:t>
      </w:r>
      <w:r w:rsidRPr="0064650F">
        <w:rPr>
          <w:rFonts w:eastAsia="SimSun"/>
          <w:lang w:eastAsia="en-GB"/>
        </w:rPr>
        <w:tab/>
        <w:t xml:space="preserve">The green economy is about improving </w:t>
      </w:r>
      <w:r w:rsidR="0055011B">
        <w:rPr>
          <w:rFonts w:eastAsia="SimSun"/>
          <w:lang w:eastAsia="en-GB"/>
        </w:rPr>
        <w:t xml:space="preserve">the </w:t>
      </w:r>
      <w:r w:rsidRPr="0064650F">
        <w:rPr>
          <w:rFonts w:eastAsia="SimSun"/>
          <w:lang w:eastAsia="en-GB"/>
        </w:rPr>
        <w:t>efficiency of production inputs</w:t>
      </w:r>
      <w:r w:rsidR="0055011B">
        <w:rPr>
          <w:rFonts w:eastAsia="SimSun"/>
          <w:lang w:eastAsia="en-GB"/>
        </w:rPr>
        <w:t xml:space="preserve"> —</w:t>
      </w:r>
      <w:r w:rsidRPr="0064650F">
        <w:rPr>
          <w:rFonts w:eastAsia="SimSun"/>
          <w:lang w:eastAsia="en-GB"/>
        </w:rPr>
        <w:t xml:space="preserve"> in particular energy, resource and material efficiency </w:t>
      </w:r>
      <w:r w:rsidR="0055011B">
        <w:rPr>
          <w:rFonts w:eastAsia="SimSun"/>
          <w:lang w:eastAsia="en-GB"/>
        </w:rPr>
        <w:t xml:space="preserve">— </w:t>
      </w:r>
      <w:r w:rsidRPr="0064650F">
        <w:rPr>
          <w:rFonts w:eastAsia="SimSun"/>
          <w:lang w:eastAsia="en-GB"/>
        </w:rPr>
        <w:t xml:space="preserve">across various sectors. With </w:t>
      </w:r>
      <w:r w:rsidR="00CD2B4C">
        <w:rPr>
          <w:rFonts w:eastAsia="SimSun"/>
          <w:lang w:eastAsia="en-GB"/>
        </w:rPr>
        <w:t xml:space="preserve">the </w:t>
      </w:r>
      <w:r w:rsidRPr="0064650F">
        <w:rPr>
          <w:rFonts w:eastAsia="SimSun"/>
          <w:lang w:eastAsia="en-GB"/>
        </w:rPr>
        <w:t>increasing efficiency of production, i.e.</w:t>
      </w:r>
      <w:r w:rsidR="000C46A0">
        <w:rPr>
          <w:rFonts w:eastAsia="SimSun"/>
          <w:lang w:eastAsia="en-GB"/>
        </w:rPr>
        <w:t>,</w:t>
      </w:r>
      <w:r w:rsidRPr="0064650F">
        <w:rPr>
          <w:rFonts w:eastAsia="SimSun"/>
          <w:lang w:eastAsia="en-GB"/>
        </w:rPr>
        <w:t xml:space="preserve"> producing the same outputs with fewer units of inputs, productivity would increase. In the green economy, these productivity gains can be achieved by investing into sectoral solutions and</w:t>
      </w:r>
      <w:r w:rsidR="00CD2B4C">
        <w:rPr>
          <w:rFonts w:eastAsia="SimSun"/>
          <w:lang w:eastAsia="en-GB"/>
        </w:rPr>
        <w:t>,</w:t>
      </w:r>
      <w:r w:rsidRPr="0064650F">
        <w:rPr>
          <w:rFonts w:eastAsia="SimSun"/>
          <w:lang w:eastAsia="en-GB"/>
        </w:rPr>
        <w:t xml:space="preserve"> more importantly, by benefiting from intersectoral synergies.</w:t>
      </w:r>
    </w:p>
    <w:p w:rsidR="005F6C8E" w:rsidRPr="0064650F" w:rsidRDefault="005F6C8E" w:rsidP="00C415F0">
      <w:pPr>
        <w:pStyle w:val="SingleTxtG"/>
        <w:rPr>
          <w:rFonts w:eastAsia="SimSun"/>
          <w:lang w:eastAsia="en-GB"/>
        </w:rPr>
      </w:pPr>
      <w:r w:rsidRPr="0064650F">
        <w:rPr>
          <w:rFonts w:eastAsia="SimSun"/>
          <w:lang w:eastAsia="en-GB"/>
        </w:rPr>
        <w:t>2</w:t>
      </w:r>
      <w:r w:rsidR="003E7C8C" w:rsidRPr="0064650F">
        <w:rPr>
          <w:rFonts w:eastAsia="SimSun"/>
          <w:lang w:eastAsia="en-GB"/>
        </w:rPr>
        <w:t>4</w:t>
      </w:r>
      <w:r w:rsidRPr="0064650F">
        <w:rPr>
          <w:rFonts w:eastAsia="SimSun"/>
          <w:lang w:eastAsia="en-GB"/>
        </w:rPr>
        <w:t>.</w:t>
      </w:r>
      <w:r w:rsidRPr="0064650F">
        <w:rPr>
          <w:rFonts w:eastAsia="SimSun"/>
          <w:lang w:eastAsia="en-GB"/>
        </w:rPr>
        <w:tab/>
        <w:t xml:space="preserve">The green economy is </w:t>
      </w:r>
      <w:r w:rsidR="0055011B">
        <w:rPr>
          <w:rFonts w:eastAsia="SimSun"/>
          <w:lang w:eastAsia="en-GB"/>
        </w:rPr>
        <w:t xml:space="preserve">also </w:t>
      </w:r>
      <w:r w:rsidRPr="0064650F">
        <w:rPr>
          <w:rFonts w:eastAsia="SimSun"/>
          <w:lang w:eastAsia="en-GB"/>
        </w:rPr>
        <w:t>about maintaining the natural asset base for economic development. It incentivizes the search for and use of substitutes to resources and ecosystem services that are increasingly being depleted or degraded. With appropriate investments into research, development and innovation, the green economy would bring diversification of economic activities and economic resilience as a response to the growing uncertainty about the future drivers for development. At the same time, healthy ecosystems contribute to quality</w:t>
      </w:r>
      <w:r w:rsidR="00CD2B4C">
        <w:rPr>
          <w:rFonts w:eastAsia="SimSun"/>
          <w:lang w:eastAsia="en-GB"/>
        </w:rPr>
        <w:t>-</w:t>
      </w:r>
      <w:r w:rsidRPr="0064650F">
        <w:rPr>
          <w:rFonts w:eastAsia="SimSun"/>
          <w:lang w:eastAsia="en-GB"/>
        </w:rPr>
        <w:t>of</w:t>
      </w:r>
      <w:r w:rsidR="00CD2B4C">
        <w:rPr>
          <w:rFonts w:eastAsia="SimSun"/>
          <w:lang w:eastAsia="en-GB"/>
        </w:rPr>
        <w:t>-</w:t>
      </w:r>
      <w:r w:rsidRPr="0064650F">
        <w:rPr>
          <w:rFonts w:eastAsia="SimSun"/>
          <w:lang w:eastAsia="en-GB"/>
        </w:rPr>
        <w:t>life improvements, while reduced environmental stresses decrease human health risks.</w:t>
      </w:r>
    </w:p>
    <w:p w:rsidR="005F6C8E" w:rsidRPr="0064650F" w:rsidRDefault="005F6C8E" w:rsidP="00C415F0">
      <w:pPr>
        <w:pStyle w:val="SingleTxtG"/>
        <w:rPr>
          <w:rFonts w:eastAsia="SimSun"/>
          <w:lang w:eastAsia="en-GB"/>
        </w:rPr>
      </w:pPr>
      <w:r w:rsidRPr="0064650F">
        <w:rPr>
          <w:rFonts w:eastAsia="SimSun"/>
          <w:lang w:eastAsia="en-GB"/>
        </w:rPr>
        <w:t>2</w:t>
      </w:r>
      <w:r w:rsidR="003E7C8C" w:rsidRPr="0064650F">
        <w:rPr>
          <w:rFonts w:eastAsia="SimSun"/>
          <w:lang w:eastAsia="en-GB"/>
        </w:rPr>
        <w:t>5</w:t>
      </w:r>
      <w:r w:rsidRPr="0064650F">
        <w:rPr>
          <w:rFonts w:eastAsia="SimSun"/>
          <w:lang w:eastAsia="en-GB"/>
        </w:rPr>
        <w:t>.</w:t>
      </w:r>
      <w:r w:rsidRPr="0064650F">
        <w:rPr>
          <w:rFonts w:eastAsia="SimSun"/>
          <w:lang w:eastAsia="en-GB"/>
        </w:rPr>
        <w:tab/>
      </w:r>
      <w:r w:rsidR="0055011B">
        <w:rPr>
          <w:rFonts w:eastAsia="SimSun"/>
          <w:lang w:eastAsia="en-GB"/>
        </w:rPr>
        <w:t>Finally, t</w:t>
      </w:r>
      <w:r w:rsidRPr="0064650F">
        <w:rPr>
          <w:rFonts w:eastAsia="SimSun"/>
          <w:lang w:eastAsia="en-GB"/>
        </w:rPr>
        <w:t>he green economy is about benefiting from marketed solutions as a source for further opportunities to economic development or growth and job creation. This can apply to technology and innovation</w:t>
      </w:r>
      <w:r w:rsidR="00CD2B4C">
        <w:rPr>
          <w:rFonts w:eastAsia="SimSun"/>
          <w:lang w:eastAsia="en-GB"/>
        </w:rPr>
        <w:t>,</w:t>
      </w:r>
      <w:r w:rsidRPr="0064650F">
        <w:rPr>
          <w:rFonts w:eastAsia="SimSun"/>
          <w:lang w:eastAsia="en-GB"/>
        </w:rPr>
        <w:t xml:space="preserve"> but also to seizing new opportunities in the area of marketing environmental goods and services, using green financial products and markets, and providing green skills and training.</w:t>
      </w:r>
    </w:p>
    <w:p w:rsidR="005F6C8E" w:rsidRPr="0064650F" w:rsidRDefault="005F6C8E" w:rsidP="00C415F0">
      <w:pPr>
        <w:pStyle w:val="HChG"/>
        <w:rPr>
          <w:rFonts w:eastAsia="SimSun"/>
          <w:lang w:eastAsia="en-GB"/>
        </w:rPr>
      </w:pPr>
      <w:r w:rsidRPr="0064650F">
        <w:rPr>
          <w:rFonts w:eastAsia="SimSun"/>
          <w:lang w:eastAsia="en-GB"/>
        </w:rPr>
        <w:lastRenderedPageBreak/>
        <w:tab/>
        <w:t>II.</w:t>
      </w:r>
      <w:r w:rsidRPr="0064650F">
        <w:rPr>
          <w:rFonts w:eastAsia="SimSun"/>
          <w:lang w:eastAsia="en-GB"/>
        </w:rPr>
        <w:tab/>
        <w:t>Best paths to sustainability</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F6C8E" w:rsidRPr="0064650F" w:rsidTr="00CA69FF">
        <w:trPr>
          <w:trHeight w:hRule="exact" w:val="240"/>
          <w:jc w:val="center"/>
        </w:trPr>
        <w:tc>
          <w:tcPr>
            <w:tcW w:w="7654" w:type="dxa"/>
            <w:tcBorders>
              <w:top w:val="single" w:sz="4" w:space="0" w:color="auto"/>
            </w:tcBorders>
            <w:shd w:val="clear" w:color="auto" w:fill="auto"/>
          </w:tcPr>
          <w:p w:rsidR="005F6C8E" w:rsidRPr="0064650F" w:rsidRDefault="005F6C8E" w:rsidP="005F6C8E">
            <w:pPr>
              <w:suppressAutoHyphens w:val="0"/>
              <w:spacing w:line="240" w:lineRule="auto"/>
              <w:rPr>
                <w:rFonts w:eastAsia="SimSun"/>
                <w:lang w:eastAsia="en-GB"/>
              </w:rPr>
            </w:pPr>
          </w:p>
        </w:tc>
      </w:tr>
      <w:tr w:rsidR="005F6C8E" w:rsidRPr="0064650F" w:rsidTr="00CA69FF">
        <w:trPr>
          <w:jc w:val="center"/>
        </w:trPr>
        <w:tc>
          <w:tcPr>
            <w:tcW w:w="7654" w:type="dxa"/>
            <w:tcBorders>
              <w:bottom w:val="nil"/>
            </w:tcBorders>
            <w:shd w:val="clear" w:color="auto" w:fill="auto"/>
            <w:tcMar>
              <w:left w:w="142" w:type="dxa"/>
              <w:right w:w="142" w:type="dxa"/>
            </w:tcMar>
          </w:tcPr>
          <w:p w:rsidR="005F6C8E" w:rsidRPr="0064650F" w:rsidRDefault="005F6C8E" w:rsidP="005F6C8E">
            <w:pPr>
              <w:spacing w:after="120"/>
              <w:jc w:val="both"/>
              <w:rPr>
                <w:rFonts w:eastAsia="SimSun"/>
                <w:i/>
                <w:lang w:eastAsia="en-GB"/>
              </w:rPr>
            </w:pPr>
            <w:r w:rsidRPr="00B57A46">
              <w:rPr>
                <w:rFonts w:eastAsia="SimSun"/>
                <w:b/>
                <w:lang w:eastAsia="en-GB"/>
              </w:rPr>
              <w:t>Questions for discussion</w:t>
            </w:r>
            <w:r w:rsidRPr="00B57A46">
              <w:rPr>
                <w:rFonts w:eastAsia="SimSun"/>
                <w:lang w:eastAsia="en-GB"/>
              </w:rPr>
              <w:t>:</w:t>
            </w:r>
            <w:r w:rsidRPr="0064650F">
              <w:rPr>
                <w:rFonts w:eastAsia="SimSun"/>
                <w:i/>
                <w:lang w:eastAsia="en-GB"/>
              </w:rPr>
              <w:t xml:space="preserve"> what approaches have proven most useful to promote a more efficient use of natural resources and to reduce pressures on them (e.g., circular economy, green innovation and initiatives in the fields of energy, building, transport infrastructure, water, fiscal reforms, standards and labelling)? What initiatives are working successfully or are planned to be introduced in your country to address challenges and major obstacles, including to sustainable consumption and production patterns?</w:t>
            </w:r>
          </w:p>
        </w:tc>
      </w:tr>
      <w:tr w:rsidR="005F6C8E" w:rsidRPr="0064650F" w:rsidTr="00CA69FF">
        <w:trPr>
          <w:trHeight w:hRule="exact" w:val="20"/>
          <w:jc w:val="center"/>
        </w:trPr>
        <w:tc>
          <w:tcPr>
            <w:tcW w:w="7654" w:type="dxa"/>
            <w:tcBorders>
              <w:bottom w:val="single" w:sz="4" w:space="0" w:color="auto"/>
            </w:tcBorders>
            <w:shd w:val="clear" w:color="auto" w:fill="auto"/>
          </w:tcPr>
          <w:p w:rsidR="005F6C8E" w:rsidRPr="0064650F" w:rsidRDefault="005F6C8E" w:rsidP="005F6C8E">
            <w:pPr>
              <w:suppressAutoHyphens w:val="0"/>
              <w:spacing w:line="240" w:lineRule="auto"/>
              <w:rPr>
                <w:rFonts w:eastAsia="SimSun"/>
                <w:lang w:eastAsia="en-GB"/>
              </w:rPr>
            </w:pPr>
          </w:p>
        </w:tc>
      </w:tr>
    </w:tbl>
    <w:p w:rsidR="005F6C8E" w:rsidRPr="0064650F" w:rsidRDefault="005F6C8E" w:rsidP="00B57A46">
      <w:pPr>
        <w:pStyle w:val="SingleTxtG"/>
        <w:spacing w:before="240"/>
        <w:rPr>
          <w:rFonts w:eastAsia="SimSun"/>
        </w:rPr>
      </w:pPr>
      <w:r w:rsidRPr="0064650F">
        <w:rPr>
          <w:rFonts w:eastAsia="SimSun"/>
        </w:rPr>
        <w:t>2</w:t>
      </w:r>
      <w:r w:rsidR="003E7C8C" w:rsidRPr="0064650F">
        <w:rPr>
          <w:rFonts w:eastAsia="SimSun"/>
        </w:rPr>
        <w:t>6</w:t>
      </w:r>
      <w:r w:rsidRPr="0064650F">
        <w:rPr>
          <w:rFonts w:eastAsia="SimSun"/>
        </w:rPr>
        <w:t>.</w:t>
      </w:r>
      <w:r w:rsidRPr="0064650F">
        <w:rPr>
          <w:rFonts w:eastAsia="SimSun"/>
        </w:rPr>
        <w:tab/>
        <w:t xml:space="preserve">It is </w:t>
      </w:r>
      <w:r w:rsidR="00966A3B">
        <w:rPr>
          <w:rFonts w:eastAsia="SimSun"/>
        </w:rPr>
        <w:t xml:space="preserve">widely </w:t>
      </w:r>
      <w:r w:rsidRPr="0064650F">
        <w:rPr>
          <w:rFonts w:eastAsia="SimSun"/>
        </w:rPr>
        <w:t>recognized that natural resources are limited and ecosystems and their services are being degraded</w:t>
      </w:r>
      <w:r w:rsidR="00CC7FAC">
        <w:rPr>
          <w:rFonts w:eastAsia="SimSun"/>
        </w:rPr>
        <w:t>,</w:t>
      </w:r>
      <w:r w:rsidRPr="0064650F">
        <w:rPr>
          <w:rFonts w:eastAsia="SimSun"/>
        </w:rPr>
        <w:t xml:space="preserve"> requiring new approaches in order to satisfy the needs of a growing population and foster prosperity in the region in a sustainable manner. </w:t>
      </w:r>
    </w:p>
    <w:p w:rsidR="005F6C8E" w:rsidRPr="0064650F" w:rsidRDefault="005F6C8E" w:rsidP="00C415F0">
      <w:pPr>
        <w:pStyle w:val="SingleTxtG"/>
        <w:rPr>
          <w:rFonts w:eastAsia="SimSun"/>
        </w:rPr>
      </w:pPr>
      <w:r w:rsidRPr="0064650F">
        <w:rPr>
          <w:rFonts w:eastAsia="SimSun"/>
        </w:rPr>
        <w:t>2</w:t>
      </w:r>
      <w:r w:rsidR="003E7C8C" w:rsidRPr="0064650F">
        <w:rPr>
          <w:rFonts w:eastAsia="SimSun"/>
        </w:rPr>
        <w:t>7</w:t>
      </w:r>
      <w:r w:rsidRPr="0064650F">
        <w:rPr>
          <w:rFonts w:eastAsia="SimSun"/>
        </w:rPr>
        <w:t>.</w:t>
      </w:r>
      <w:r w:rsidRPr="0064650F">
        <w:rPr>
          <w:rFonts w:eastAsia="SimSun"/>
        </w:rPr>
        <w:tab/>
        <w:t xml:space="preserve">To date, a number of approaches, programmes and initiatives have been developed in the ECE region and globally, including the </w:t>
      </w:r>
      <w:r w:rsidR="00CC7FAC">
        <w:rPr>
          <w:rFonts w:eastAsia="SimSun"/>
        </w:rPr>
        <w:t xml:space="preserve">UNEP </w:t>
      </w:r>
      <w:r w:rsidRPr="0064650F">
        <w:rPr>
          <w:rFonts w:eastAsia="SimSun"/>
        </w:rPr>
        <w:t>10</w:t>
      </w:r>
      <w:r w:rsidR="00966A3B">
        <w:rPr>
          <w:rFonts w:eastAsia="MS Mincho"/>
          <w:lang w:eastAsia="ja-JP"/>
        </w:rPr>
        <w:t>-y</w:t>
      </w:r>
      <w:r w:rsidRPr="0064650F">
        <w:rPr>
          <w:rFonts w:eastAsia="MS Mincho"/>
          <w:lang w:eastAsia="ja-JP"/>
        </w:rPr>
        <w:t xml:space="preserve">ear </w:t>
      </w:r>
      <w:r w:rsidR="00966A3B">
        <w:rPr>
          <w:rFonts w:eastAsia="MS Mincho"/>
          <w:lang w:eastAsia="ja-JP"/>
        </w:rPr>
        <w:t>f</w:t>
      </w:r>
      <w:r w:rsidRPr="0064650F">
        <w:rPr>
          <w:rFonts w:eastAsia="MS Mincho"/>
          <w:lang w:eastAsia="ja-JP"/>
        </w:rPr>
        <w:t xml:space="preserve">ramework of </w:t>
      </w:r>
      <w:r w:rsidR="00966A3B">
        <w:rPr>
          <w:rFonts w:eastAsia="MS Mincho"/>
          <w:lang w:eastAsia="ja-JP"/>
        </w:rPr>
        <w:t>p</w:t>
      </w:r>
      <w:r w:rsidRPr="0064650F">
        <w:rPr>
          <w:rFonts w:eastAsia="MS Mincho"/>
          <w:lang w:eastAsia="ja-JP"/>
        </w:rPr>
        <w:t xml:space="preserve">rogrammes on </w:t>
      </w:r>
      <w:r w:rsidR="00966A3B">
        <w:rPr>
          <w:rFonts w:eastAsia="MS Mincho"/>
          <w:lang w:eastAsia="ja-JP"/>
        </w:rPr>
        <w:t>s</w:t>
      </w:r>
      <w:r w:rsidRPr="0064650F">
        <w:rPr>
          <w:rFonts w:eastAsia="MS Mincho"/>
          <w:lang w:eastAsia="ja-JP"/>
        </w:rPr>
        <w:t xml:space="preserve">ustainable </w:t>
      </w:r>
      <w:r w:rsidR="00966A3B">
        <w:rPr>
          <w:rFonts w:eastAsia="MS Mincho"/>
          <w:lang w:eastAsia="ja-JP"/>
        </w:rPr>
        <w:t>c</w:t>
      </w:r>
      <w:r w:rsidRPr="0064650F">
        <w:rPr>
          <w:rFonts w:eastAsia="MS Mincho"/>
          <w:lang w:eastAsia="ja-JP"/>
        </w:rPr>
        <w:t xml:space="preserve">onsumption and </w:t>
      </w:r>
      <w:r w:rsidR="00966A3B">
        <w:rPr>
          <w:rFonts w:eastAsia="MS Mincho"/>
          <w:lang w:eastAsia="ja-JP"/>
        </w:rPr>
        <w:t>p</w:t>
      </w:r>
      <w:r w:rsidRPr="0064650F">
        <w:rPr>
          <w:rFonts w:eastAsia="MS Mincho"/>
          <w:lang w:eastAsia="ja-JP"/>
        </w:rPr>
        <w:t>roduction,</w:t>
      </w:r>
      <w:r w:rsidRPr="0064650F">
        <w:rPr>
          <w:rFonts w:eastAsia="SimSun"/>
        </w:rPr>
        <w:t xml:space="preserve"> to promote a more efficient use of natural resources and thus lessen the burden on ecosystems, their services and the natural resource base of economic and social development. The</w:t>
      </w:r>
      <w:r w:rsidR="00CC7FAC">
        <w:rPr>
          <w:rFonts w:eastAsia="SimSun"/>
        </w:rPr>
        <w:t xml:space="preserve">se </w:t>
      </w:r>
      <w:r w:rsidRPr="0064650F">
        <w:rPr>
          <w:rFonts w:eastAsia="SimSun"/>
        </w:rPr>
        <w:t>need to be supported by fiscal, regulatory and information-based instruments</w:t>
      </w:r>
      <w:r w:rsidR="00966A3B">
        <w:rPr>
          <w:rFonts w:eastAsia="SimSun"/>
        </w:rPr>
        <w:t>,</w:t>
      </w:r>
      <w:r w:rsidRPr="0064650F">
        <w:rPr>
          <w:rFonts w:eastAsia="SimSun"/>
        </w:rPr>
        <w:t xml:space="preserve"> as described in the next chapter</w:t>
      </w:r>
      <w:r w:rsidR="00966A3B">
        <w:rPr>
          <w:rFonts w:eastAsia="SimSun"/>
        </w:rPr>
        <w:t>,</w:t>
      </w:r>
      <w:r w:rsidRPr="0064650F">
        <w:rPr>
          <w:rFonts w:eastAsia="SimSun"/>
        </w:rPr>
        <w:t xml:space="preserve"> to stimulate and incentivize the behavioural change needed for more conscious and sustainable consumption and production </w:t>
      </w:r>
      <w:r w:rsidR="007B1B92">
        <w:rPr>
          <w:rFonts w:eastAsia="SimSun"/>
        </w:rPr>
        <w:t xml:space="preserve">(SCP) </w:t>
      </w:r>
      <w:r w:rsidRPr="0064650F">
        <w:rPr>
          <w:rFonts w:eastAsia="SimSun"/>
        </w:rPr>
        <w:t>patterns.</w:t>
      </w:r>
    </w:p>
    <w:p w:rsidR="005F6C8E" w:rsidRPr="0064650F" w:rsidRDefault="003E7C8C" w:rsidP="00C415F0">
      <w:pPr>
        <w:pStyle w:val="SingleTxtG"/>
        <w:rPr>
          <w:rFonts w:eastAsia="SimSun"/>
        </w:rPr>
      </w:pPr>
      <w:r w:rsidRPr="0064650F">
        <w:rPr>
          <w:rFonts w:eastAsia="SimSun"/>
        </w:rPr>
        <w:t>28</w:t>
      </w:r>
      <w:r w:rsidR="005F6C8E" w:rsidRPr="0064650F">
        <w:rPr>
          <w:rFonts w:eastAsia="SimSun"/>
        </w:rPr>
        <w:t>.</w:t>
      </w:r>
      <w:r w:rsidR="005F6C8E" w:rsidRPr="0064650F">
        <w:rPr>
          <w:rFonts w:eastAsia="SimSun"/>
        </w:rPr>
        <w:tab/>
        <w:t>Relative decoupling of economic development from environmental degradation is occurring in the region (i.e.</w:t>
      </w:r>
      <w:r w:rsidR="00966A3B">
        <w:rPr>
          <w:rFonts w:eastAsia="SimSun"/>
        </w:rPr>
        <w:t>,</w:t>
      </w:r>
      <w:r w:rsidR="005F6C8E" w:rsidRPr="0064650F">
        <w:rPr>
          <w:rFonts w:eastAsia="SimSun"/>
        </w:rPr>
        <w:t xml:space="preserve"> resource impacts have declined relative to </w:t>
      </w:r>
      <w:r w:rsidR="00966A3B">
        <w:rPr>
          <w:rFonts w:eastAsia="SimSun"/>
        </w:rPr>
        <w:t>gross domestic product (</w:t>
      </w:r>
      <w:r w:rsidR="005F6C8E" w:rsidRPr="0064650F">
        <w:rPr>
          <w:rFonts w:eastAsia="SimSun"/>
        </w:rPr>
        <w:t>GDP)</w:t>
      </w:r>
      <w:r w:rsidR="00966A3B">
        <w:rPr>
          <w:rFonts w:eastAsia="SimSun"/>
        </w:rPr>
        <w:t>)</w:t>
      </w:r>
      <w:r w:rsidR="005F6C8E" w:rsidRPr="0064650F">
        <w:rPr>
          <w:rFonts w:eastAsia="SimSun"/>
        </w:rPr>
        <w:t>, mitigating risks for human well-being and the environment. However, strengthened and continuous efforts are still required</w:t>
      </w:r>
      <w:r w:rsidR="005F6C8E" w:rsidRPr="0064650F" w:rsidDel="00115569">
        <w:rPr>
          <w:rFonts w:eastAsia="SimSun"/>
        </w:rPr>
        <w:t xml:space="preserve"> </w:t>
      </w:r>
      <w:r w:rsidR="005F6C8E" w:rsidRPr="0064650F">
        <w:rPr>
          <w:rFonts w:eastAsia="SimSun"/>
        </w:rPr>
        <w:t xml:space="preserve">in order to achieve absolute decoupling, where resource efficiencies increase at least as fast as economic output does and resource impacts decrease in absolute terms. </w:t>
      </w:r>
    </w:p>
    <w:p w:rsidR="005F6C8E" w:rsidRPr="0064650F" w:rsidRDefault="003E7C8C" w:rsidP="00C415F0">
      <w:pPr>
        <w:pStyle w:val="SingleTxtG"/>
        <w:rPr>
          <w:rFonts w:eastAsia="SimSun"/>
          <w:lang w:eastAsia="en-GB"/>
        </w:rPr>
      </w:pPr>
      <w:r w:rsidRPr="0064650F">
        <w:rPr>
          <w:rFonts w:eastAsia="SimSun"/>
          <w:lang w:eastAsia="en-GB"/>
        </w:rPr>
        <w:t>29</w:t>
      </w:r>
      <w:r w:rsidR="005F6C8E" w:rsidRPr="0064650F">
        <w:rPr>
          <w:rFonts w:eastAsia="SimSun"/>
          <w:lang w:eastAsia="en-GB"/>
        </w:rPr>
        <w:t>.</w:t>
      </w:r>
      <w:r w:rsidR="005F6C8E" w:rsidRPr="0064650F">
        <w:rPr>
          <w:rFonts w:eastAsia="SimSun"/>
          <w:lang w:eastAsia="en-GB"/>
        </w:rPr>
        <w:tab/>
        <w:t xml:space="preserve">Applying sustainable natural resource or ecosystem management approaches, reducing </w:t>
      </w:r>
      <w:r w:rsidR="00966A3B">
        <w:rPr>
          <w:rFonts w:eastAsia="SimSun"/>
          <w:lang w:eastAsia="en-GB"/>
        </w:rPr>
        <w:t xml:space="preserve">the </w:t>
      </w:r>
      <w:r w:rsidR="005F6C8E" w:rsidRPr="0064650F">
        <w:rPr>
          <w:rFonts w:eastAsia="SimSun"/>
          <w:lang w:eastAsia="en-GB"/>
        </w:rPr>
        <w:t xml:space="preserve">environmental impacts of the economic sectors, nexus analysis, spatial city planning </w:t>
      </w:r>
      <w:r w:rsidR="00CC7FAC">
        <w:rPr>
          <w:rFonts w:eastAsia="SimSun"/>
          <w:lang w:eastAsia="en-GB"/>
        </w:rPr>
        <w:t xml:space="preserve">and </w:t>
      </w:r>
      <w:r w:rsidR="005F6C8E" w:rsidRPr="0064650F">
        <w:rPr>
          <w:rFonts w:eastAsia="SimSun"/>
          <w:lang w:eastAsia="en-GB"/>
        </w:rPr>
        <w:t>the circular economy approach are ways to curb pressures on finite natural resources. Long</w:t>
      </w:r>
      <w:r w:rsidR="00966A3B">
        <w:rPr>
          <w:rFonts w:eastAsia="SimSun"/>
          <w:lang w:eastAsia="en-GB"/>
        </w:rPr>
        <w:t>-</w:t>
      </w:r>
      <w:r w:rsidR="005F6C8E" w:rsidRPr="0064650F">
        <w:rPr>
          <w:rFonts w:eastAsia="SimSun"/>
          <w:lang w:eastAsia="en-GB"/>
        </w:rPr>
        <w:t xml:space="preserve">term changes </w:t>
      </w:r>
      <w:r w:rsidR="00966A3B">
        <w:rPr>
          <w:rFonts w:eastAsia="SimSun"/>
          <w:lang w:eastAsia="en-GB"/>
        </w:rPr>
        <w:t xml:space="preserve">in </w:t>
      </w:r>
      <w:r w:rsidR="005F6C8E" w:rsidRPr="0064650F">
        <w:rPr>
          <w:rFonts w:eastAsia="SimSun"/>
          <w:lang w:eastAsia="en-GB"/>
        </w:rPr>
        <w:t xml:space="preserve">societal behaviours can be achieved through education for sustainable development (ESD). The application of public spending programmes for science and research, access to good practices and knowledge in reducing environmental pressures and </w:t>
      </w:r>
      <w:r w:rsidR="00C542D8">
        <w:rPr>
          <w:rFonts w:eastAsia="SimSun"/>
          <w:lang w:eastAsia="en-GB"/>
        </w:rPr>
        <w:t xml:space="preserve">the </w:t>
      </w:r>
      <w:r w:rsidR="005F6C8E" w:rsidRPr="0064650F">
        <w:rPr>
          <w:rFonts w:eastAsia="SimSun"/>
          <w:lang w:eastAsia="en-GB"/>
        </w:rPr>
        <w:t xml:space="preserve">availability of monitoring frameworks to assess the successes or failures of policies aimed at achieving sustainability are also important to that end.  </w:t>
      </w:r>
    </w:p>
    <w:p w:rsidR="005F6C8E" w:rsidRPr="0064650F" w:rsidRDefault="005F6C8E" w:rsidP="00C415F0">
      <w:pPr>
        <w:pStyle w:val="SingleTxtG"/>
        <w:rPr>
          <w:rFonts w:eastAsia="SimSun"/>
          <w:lang w:eastAsia="en-GB"/>
        </w:rPr>
      </w:pPr>
      <w:r w:rsidRPr="0064650F">
        <w:rPr>
          <w:rFonts w:eastAsia="SimSun"/>
          <w:lang w:eastAsia="en-GB"/>
        </w:rPr>
        <w:t>3</w:t>
      </w:r>
      <w:r w:rsidR="003E7C8C" w:rsidRPr="0064650F">
        <w:rPr>
          <w:rFonts w:eastAsia="SimSun"/>
          <w:lang w:eastAsia="en-GB"/>
        </w:rPr>
        <w:t>0</w:t>
      </w:r>
      <w:r w:rsidRPr="0064650F">
        <w:rPr>
          <w:rFonts w:eastAsia="SimSun"/>
          <w:lang w:eastAsia="en-GB"/>
        </w:rPr>
        <w:t>.</w:t>
      </w:r>
      <w:r w:rsidRPr="0064650F">
        <w:rPr>
          <w:rFonts w:eastAsia="SimSun"/>
          <w:lang w:eastAsia="en-GB"/>
        </w:rPr>
        <w:tab/>
        <w:t xml:space="preserve">A key element to </w:t>
      </w:r>
      <w:r w:rsidR="00C542D8">
        <w:rPr>
          <w:rFonts w:eastAsia="SimSun"/>
          <w:lang w:eastAsia="en-GB"/>
        </w:rPr>
        <w:t xml:space="preserve">the </w:t>
      </w:r>
      <w:r w:rsidRPr="0064650F">
        <w:rPr>
          <w:rFonts w:eastAsia="SimSun"/>
          <w:lang w:eastAsia="en-GB"/>
        </w:rPr>
        <w:t>effective</w:t>
      </w:r>
      <w:r w:rsidR="00C542D8">
        <w:rPr>
          <w:rFonts w:eastAsia="SimSun"/>
          <w:lang w:eastAsia="en-GB"/>
        </w:rPr>
        <w:t xml:space="preserve"> introduction of</w:t>
      </w:r>
      <w:r w:rsidRPr="0064650F">
        <w:rPr>
          <w:rFonts w:eastAsia="SimSun"/>
          <w:lang w:eastAsia="en-GB"/>
        </w:rPr>
        <w:t xml:space="preserve"> the above approaches and programmes is through a meaningful engagement of civil society and </w:t>
      </w:r>
      <w:r w:rsidR="00C542D8">
        <w:rPr>
          <w:rFonts w:eastAsia="SimSun"/>
          <w:lang w:eastAsia="en-GB"/>
        </w:rPr>
        <w:t xml:space="preserve">the </w:t>
      </w:r>
      <w:r w:rsidRPr="0064650F">
        <w:rPr>
          <w:rFonts w:eastAsia="SimSun"/>
          <w:lang w:eastAsia="en-GB"/>
        </w:rPr>
        <w:t>private sector</w:t>
      </w:r>
      <w:r w:rsidR="00C542D8">
        <w:rPr>
          <w:rFonts w:eastAsia="SimSun"/>
          <w:lang w:eastAsia="en-GB"/>
        </w:rPr>
        <w:t>,</w:t>
      </w:r>
      <w:r w:rsidRPr="0064650F">
        <w:rPr>
          <w:rFonts w:eastAsia="SimSun"/>
          <w:lang w:eastAsia="en-GB"/>
        </w:rPr>
        <w:t xml:space="preserve"> both through enabling </w:t>
      </w:r>
      <w:r w:rsidR="00C542D8">
        <w:rPr>
          <w:rFonts w:eastAsia="SimSun"/>
          <w:lang w:eastAsia="en-GB"/>
        </w:rPr>
        <w:t xml:space="preserve">their </w:t>
      </w:r>
      <w:r w:rsidRPr="0064650F">
        <w:rPr>
          <w:rFonts w:eastAsia="SimSun"/>
          <w:lang w:eastAsia="en-GB"/>
        </w:rPr>
        <w:t xml:space="preserve">access to information and by </w:t>
      </w:r>
      <w:r w:rsidR="00C542D8">
        <w:rPr>
          <w:rFonts w:eastAsia="SimSun"/>
          <w:lang w:eastAsia="en-GB"/>
        </w:rPr>
        <w:t xml:space="preserve">their </w:t>
      </w:r>
      <w:r w:rsidRPr="0064650F">
        <w:rPr>
          <w:rFonts w:eastAsia="SimSun"/>
          <w:lang w:eastAsia="en-GB"/>
        </w:rPr>
        <w:t xml:space="preserve">participation in the decision-making. </w:t>
      </w:r>
    </w:p>
    <w:p w:rsidR="005F6C8E" w:rsidRPr="0064650F" w:rsidRDefault="00D06A8E" w:rsidP="00CB0903">
      <w:pPr>
        <w:pStyle w:val="H23G"/>
        <w:rPr>
          <w:rFonts w:eastAsia="SimSun"/>
          <w:lang w:eastAsia="en-GB"/>
        </w:rPr>
      </w:pPr>
      <w:r>
        <w:rPr>
          <w:rFonts w:eastAsia="SimSun"/>
          <w:lang w:eastAsia="en-GB"/>
        </w:rPr>
        <w:tab/>
      </w:r>
      <w:r>
        <w:rPr>
          <w:rFonts w:eastAsia="SimSun"/>
          <w:lang w:eastAsia="en-GB"/>
        </w:rPr>
        <w:tab/>
      </w:r>
      <w:r w:rsidR="005F6C8E" w:rsidRPr="0064650F">
        <w:rPr>
          <w:rFonts w:eastAsia="SimSun"/>
          <w:lang w:eastAsia="en-GB"/>
        </w:rPr>
        <w:t xml:space="preserve">Sustainable natural resource or ecosystem management </w:t>
      </w:r>
    </w:p>
    <w:p w:rsidR="005F6C8E" w:rsidRPr="0064650F" w:rsidRDefault="005F6C8E" w:rsidP="00C415F0">
      <w:pPr>
        <w:pStyle w:val="SingleTxtG"/>
        <w:rPr>
          <w:rFonts w:eastAsia="SimSun"/>
          <w:lang w:eastAsia="en-GB"/>
        </w:rPr>
      </w:pPr>
      <w:r w:rsidRPr="0064650F">
        <w:rPr>
          <w:rFonts w:eastAsia="SimSun"/>
          <w:lang w:eastAsia="en-GB"/>
        </w:rPr>
        <w:t>3</w:t>
      </w:r>
      <w:r w:rsidR="003E7C8C" w:rsidRPr="0064650F">
        <w:rPr>
          <w:rFonts w:eastAsia="SimSun"/>
          <w:lang w:eastAsia="en-GB"/>
        </w:rPr>
        <w:t>1</w:t>
      </w:r>
      <w:r w:rsidRPr="0064650F">
        <w:rPr>
          <w:rFonts w:eastAsia="SimSun"/>
          <w:lang w:eastAsia="en-GB"/>
        </w:rPr>
        <w:t>.</w:t>
      </w:r>
      <w:r w:rsidRPr="0064650F">
        <w:rPr>
          <w:rFonts w:eastAsia="SimSun"/>
          <w:lang w:eastAsia="en-GB"/>
        </w:rPr>
        <w:tab/>
        <w:t>Sustainable resource or ecosystem management through a set of defined principles help</w:t>
      </w:r>
      <w:r w:rsidR="00C542D8">
        <w:rPr>
          <w:rFonts w:eastAsia="SimSun"/>
          <w:lang w:eastAsia="en-GB"/>
        </w:rPr>
        <w:t>s</w:t>
      </w:r>
      <w:r w:rsidRPr="0064650F">
        <w:rPr>
          <w:rFonts w:eastAsia="SimSun"/>
          <w:lang w:eastAsia="en-GB"/>
        </w:rPr>
        <w:t xml:space="preserve"> to manage resource or ecosystem use so that the most effective combination of environmental, economic and social objectives can be achieved and, at the same time, their functions are secured in </w:t>
      </w:r>
      <w:r w:rsidR="00C542D8">
        <w:rPr>
          <w:rFonts w:eastAsia="SimSun"/>
          <w:lang w:eastAsia="en-GB"/>
        </w:rPr>
        <w:t xml:space="preserve">the </w:t>
      </w:r>
      <w:r w:rsidRPr="0064650F">
        <w:rPr>
          <w:rFonts w:eastAsia="SimSun"/>
          <w:lang w:eastAsia="en-GB"/>
        </w:rPr>
        <w:t>long</w:t>
      </w:r>
      <w:r w:rsidR="00C542D8">
        <w:rPr>
          <w:rFonts w:eastAsia="SimSun"/>
          <w:lang w:eastAsia="en-GB"/>
        </w:rPr>
        <w:t xml:space="preserve"> </w:t>
      </w:r>
      <w:r w:rsidRPr="0064650F">
        <w:rPr>
          <w:rFonts w:eastAsia="SimSun"/>
          <w:lang w:eastAsia="en-GB"/>
        </w:rPr>
        <w:t xml:space="preserve">term. </w:t>
      </w:r>
      <w:r w:rsidR="00C542D8">
        <w:rPr>
          <w:rFonts w:eastAsia="SimSun"/>
          <w:lang w:eastAsia="en-GB"/>
        </w:rPr>
        <w:t xml:space="preserve">The best </w:t>
      </w:r>
      <w:r w:rsidRPr="0064650F">
        <w:rPr>
          <w:rFonts w:eastAsia="SimSun"/>
          <w:lang w:eastAsia="en-GB"/>
        </w:rPr>
        <w:t xml:space="preserve">known and widely applied </w:t>
      </w:r>
      <w:r w:rsidR="00C542D8">
        <w:rPr>
          <w:rFonts w:eastAsia="SimSun"/>
          <w:lang w:eastAsia="en-GB"/>
        </w:rPr>
        <w:t xml:space="preserve">among these approaches </w:t>
      </w:r>
      <w:r w:rsidRPr="0064650F">
        <w:rPr>
          <w:rFonts w:eastAsia="SimSun"/>
          <w:lang w:eastAsia="en-GB"/>
        </w:rPr>
        <w:t xml:space="preserve">are sustainable water management and sustainable forest management. </w:t>
      </w:r>
    </w:p>
    <w:p w:rsidR="005F6C8E" w:rsidRPr="0064650F" w:rsidRDefault="005F6C8E" w:rsidP="00EF74D1">
      <w:pPr>
        <w:pStyle w:val="SingleTxtG"/>
        <w:spacing w:line="240" w:lineRule="auto"/>
        <w:rPr>
          <w:rFonts w:eastAsia="SimSun"/>
          <w:lang w:eastAsia="en-GB"/>
        </w:rPr>
      </w:pPr>
      <w:r w:rsidRPr="0064650F">
        <w:rPr>
          <w:rFonts w:eastAsia="SimSun"/>
          <w:lang w:eastAsia="en-GB"/>
        </w:rPr>
        <w:t>3</w:t>
      </w:r>
      <w:r w:rsidR="003E7C8C" w:rsidRPr="0064650F">
        <w:rPr>
          <w:rFonts w:eastAsia="SimSun"/>
          <w:lang w:eastAsia="en-GB"/>
        </w:rPr>
        <w:t>2</w:t>
      </w:r>
      <w:r w:rsidRPr="0064650F">
        <w:rPr>
          <w:rFonts w:eastAsia="SimSun"/>
          <w:lang w:eastAsia="en-GB"/>
        </w:rPr>
        <w:t>.</w:t>
      </w:r>
      <w:r w:rsidRPr="0064650F">
        <w:rPr>
          <w:rFonts w:eastAsia="SimSun"/>
          <w:lang w:eastAsia="en-GB"/>
        </w:rPr>
        <w:tab/>
        <w:t xml:space="preserve">Sustainable water management helps to match supply and demand for water and to allocate water where it creates more benefits, while making sure that water resources are not depleted or </w:t>
      </w:r>
      <w:r w:rsidR="00C542D8">
        <w:rPr>
          <w:rFonts w:eastAsia="SimSun"/>
          <w:lang w:eastAsia="en-GB"/>
        </w:rPr>
        <w:t xml:space="preserve">their </w:t>
      </w:r>
      <w:r w:rsidRPr="0064650F">
        <w:rPr>
          <w:rFonts w:eastAsia="SimSun"/>
          <w:lang w:eastAsia="en-GB"/>
        </w:rPr>
        <w:t xml:space="preserve">quality degraded. Interlinkages between water and other sectors in </w:t>
      </w:r>
      <w:r w:rsidRPr="0064650F">
        <w:rPr>
          <w:rFonts w:eastAsia="SimSun"/>
          <w:lang w:eastAsia="en-GB"/>
        </w:rPr>
        <w:lastRenderedPageBreak/>
        <w:t>which water is used are established and different water allocations scenarios are examined. A good international practice supported by an international agreement</w:t>
      </w:r>
      <w:r w:rsidR="003F29A0" w:rsidRPr="0064650F">
        <w:rPr>
          <w:rStyle w:val="FootnoteReference"/>
          <w:rFonts w:eastAsia="SimSun"/>
          <w:lang w:eastAsia="en-GB"/>
        </w:rPr>
        <w:footnoteReference w:id="11"/>
      </w:r>
      <w:r w:rsidRPr="0064650F">
        <w:rPr>
          <w:rFonts w:eastAsia="SimSun"/>
          <w:lang w:eastAsia="en-GB"/>
        </w:rPr>
        <w:t xml:space="preserve"> suggests that sustainable water management needs to be implemented at the basin level, whet</w:t>
      </w:r>
      <w:r w:rsidR="003F29A0" w:rsidRPr="0064650F">
        <w:rPr>
          <w:rFonts w:eastAsia="SimSun"/>
          <w:lang w:eastAsia="en-GB"/>
        </w:rPr>
        <w:t>her or not it is transboundary.</w:t>
      </w:r>
    </w:p>
    <w:p w:rsidR="005F6C8E" w:rsidRPr="0064650F" w:rsidRDefault="005F6C8E" w:rsidP="00EF74D1">
      <w:pPr>
        <w:pStyle w:val="SingleTxtG"/>
        <w:spacing w:line="240" w:lineRule="auto"/>
        <w:rPr>
          <w:rFonts w:eastAsia="SimSun"/>
          <w:lang w:eastAsia="en-GB"/>
        </w:rPr>
      </w:pPr>
      <w:r w:rsidRPr="0064650F">
        <w:rPr>
          <w:rFonts w:eastAsia="SimSun"/>
          <w:lang w:eastAsia="en-GB"/>
        </w:rPr>
        <w:t>3</w:t>
      </w:r>
      <w:r w:rsidR="003E7C8C" w:rsidRPr="0064650F">
        <w:rPr>
          <w:rFonts w:eastAsia="SimSun"/>
          <w:lang w:eastAsia="en-GB"/>
        </w:rPr>
        <w:t>3</w:t>
      </w:r>
      <w:r w:rsidRPr="0064650F">
        <w:rPr>
          <w:rFonts w:eastAsia="SimSun"/>
          <w:lang w:eastAsia="en-GB"/>
        </w:rPr>
        <w:t>.</w:t>
      </w:r>
      <w:r w:rsidRPr="0064650F">
        <w:rPr>
          <w:rFonts w:eastAsia="SimSun"/>
          <w:lang w:eastAsia="en-GB"/>
        </w:rPr>
        <w:tab/>
        <w:t xml:space="preserve">Sustainable forest management helps to balance the </w:t>
      </w:r>
      <w:r w:rsidR="00C542D8">
        <w:rPr>
          <w:rFonts w:eastAsia="SimSun"/>
          <w:lang w:eastAsia="en-GB"/>
        </w:rPr>
        <w:t xml:space="preserve">demand for </w:t>
      </w:r>
      <w:r w:rsidRPr="0064650F">
        <w:rPr>
          <w:rFonts w:eastAsia="SimSun"/>
          <w:lang w:eastAsia="en-GB"/>
        </w:rPr>
        <w:t xml:space="preserve">forest products and services and </w:t>
      </w:r>
      <w:r w:rsidR="00C542D8">
        <w:rPr>
          <w:rFonts w:eastAsia="SimSun"/>
          <w:lang w:eastAsia="en-GB"/>
        </w:rPr>
        <w:t xml:space="preserve">the need to </w:t>
      </w:r>
      <w:r w:rsidRPr="0064650F">
        <w:rPr>
          <w:rFonts w:eastAsia="SimSun"/>
          <w:lang w:eastAsia="en-GB"/>
        </w:rPr>
        <w:t>safeguard and enhanc</w:t>
      </w:r>
      <w:r w:rsidR="00C542D8">
        <w:rPr>
          <w:rFonts w:eastAsia="SimSun"/>
          <w:lang w:eastAsia="en-GB"/>
        </w:rPr>
        <w:t>e</w:t>
      </w:r>
      <w:r w:rsidRPr="0064650F">
        <w:rPr>
          <w:rFonts w:eastAsia="SimSun"/>
          <w:lang w:eastAsia="en-GB"/>
        </w:rPr>
        <w:t xml:space="preserve"> forests ecosystems, so that forest</w:t>
      </w:r>
      <w:r w:rsidR="00CC7FAC">
        <w:rPr>
          <w:rFonts w:eastAsia="SimSun"/>
          <w:lang w:eastAsia="en-GB"/>
        </w:rPr>
        <w:t>s</w:t>
      </w:r>
      <w:r w:rsidRPr="0064650F">
        <w:rPr>
          <w:rFonts w:eastAsia="SimSun"/>
          <w:lang w:eastAsia="en-GB"/>
        </w:rPr>
        <w:t xml:space="preserve"> can continuously deliver all </w:t>
      </w:r>
      <w:r w:rsidR="00CC7FAC">
        <w:rPr>
          <w:rFonts w:eastAsia="SimSun"/>
          <w:lang w:eastAsia="en-GB"/>
        </w:rPr>
        <w:t xml:space="preserve">their </w:t>
      </w:r>
      <w:r w:rsidRPr="0064650F">
        <w:rPr>
          <w:rFonts w:eastAsia="SimSun"/>
          <w:lang w:eastAsia="en-GB"/>
        </w:rPr>
        <w:t>functions in the future, while enabling long</w:t>
      </w:r>
      <w:r w:rsidR="00C542D8">
        <w:rPr>
          <w:rFonts w:eastAsia="SimSun"/>
          <w:lang w:eastAsia="en-GB"/>
        </w:rPr>
        <w:t>-</w:t>
      </w:r>
      <w:r w:rsidRPr="0064650F">
        <w:rPr>
          <w:rFonts w:eastAsia="SimSun"/>
          <w:lang w:eastAsia="en-GB"/>
        </w:rPr>
        <w:t xml:space="preserve">term economic viability and </w:t>
      </w:r>
      <w:r w:rsidR="00CC7FAC">
        <w:rPr>
          <w:rFonts w:eastAsia="SimSun"/>
          <w:lang w:eastAsia="en-GB"/>
        </w:rPr>
        <w:t xml:space="preserve">the </w:t>
      </w:r>
      <w:r w:rsidRPr="0064650F">
        <w:rPr>
          <w:rFonts w:eastAsia="SimSun"/>
          <w:lang w:eastAsia="en-GB"/>
        </w:rPr>
        <w:t xml:space="preserve">competitiveness of forestry and forest-based industries (see figure </w:t>
      </w:r>
      <w:r w:rsidR="00C542D8">
        <w:rPr>
          <w:rFonts w:eastAsia="SimSun"/>
          <w:lang w:eastAsia="en-GB"/>
        </w:rPr>
        <w:t>3</w:t>
      </w:r>
      <w:r w:rsidRPr="0064650F">
        <w:rPr>
          <w:rFonts w:eastAsia="SimSun"/>
          <w:lang w:eastAsia="en-GB"/>
        </w:rPr>
        <w:t>).</w:t>
      </w:r>
    </w:p>
    <w:p w:rsidR="005F6C8E" w:rsidRPr="0064650F" w:rsidRDefault="005F6C8E" w:rsidP="00BA3C5D">
      <w:pPr>
        <w:pStyle w:val="SingleTxtG"/>
        <w:spacing w:after="240" w:line="240" w:lineRule="auto"/>
        <w:rPr>
          <w:rFonts w:eastAsia="SimSun"/>
          <w:lang w:eastAsia="en-GB"/>
        </w:rPr>
      </w:pPr>
      <w:r w:rsidRPr="0064650F">
        <w:rPr>
          <w:rFonts w:eastAsia="SimSun"/>
          <w:lang w:eastAsia="en-GB"/>
        </w:rPr>
        <w:t>3</w:t>
      </w:r>
      <w:r w:rsidR="003E7C8C" w:rsidRPr="0064650F">
        <w:rPr>
          <w:rFonts w:eastAsia="SimSun"/>
          <w:lang w:eastAsia="en-GB"/>
        </w:rPr>
        <w:t>4</w:t>
      </w:r>
      <w:r w:rsidRPr="0064650F">
        <w:rPr>
          <w:rFonts w:eastAsia="SimSun"/>
          <w:lang w:eastAsia="en-GB"/>
        </w:rPr>
        <w:t>.</w:t>
      </w:r>
      <w:r w:rsidRPr="0064650F">
        <w:rPr>
          <w:rFonts w:eastAsia="SimSun"/>
          <w:lang w:eastAsia="en-GB"/>
        </w:rPr>
        <w:tab/>
        <w:t>The</w:t>
      </w:r>
      <w:r w:rsidR="00CC7FAC">
        <w:rPr>
          <w:rFonts w:eastAsia="SimSun"/>
          <w:lang w:eastAsia="en-GB"/>
        </w:rPr>
        <w:t>se</w:t>
      </w:r>
      <w:r w:rsidRPr="0064650F">
        <w:rPr>
          <w:rFonts w:eastAsia="SimSun"/>
          <w:lang w:eastAsia="en-GB"/>
        </w:rPr>
        <w:t xml:space="preserve"> management frameworks need to be supported by a variety of instruments enabling their implementation and behavioural change. A good regulatory basis is critical. Also</w:t>
      </w:r>
      <w:r w:rsidR="00C542D8">
        <w:rPr>
          <w:rFonts w:eastAsia="SimSun"/>
          <w:lang w:eastAsia="en-GB"/>
        </w:rPr>
        <w:t>,</w:t>
      </w:r>
      <w:r w:rsidRPr="0064650F">
        <w:rPr>
          <w:rFonts w:eastAsia="SimSun"/>
          <w:lang w:eastAsia="en-GB"/>
        </w:rPr>
        <w:t xml:space="preserve"> application of economic instruments plays an important role, e.g.</w:t>
      </w:r>
      <w:r w:rsidR="00C542D8">
        <w:rPr>
          <w:rFonts w:eastAsia="SimSun"/>
          <w:lang w:eastAsia="en-GB"/>
        </w:rPr>
        <w:t>,</w:t>
      </w:r>
      <w:r w:rsidRPr="0064650F">
        <w:rPr>
          <w:rFonts w:eastAsia="SimSun"/>
          <w:lang w:eastAsia="en-GB"/>
        </w:rPr>
        <w:t xml:space="preserve"> for water by pricing it at appropriate levels differentiated by uses</w:t>
      </w:r>
      <w:r w:rsidR="00C542D8">
        <w:rPr>
          <w:rFonts w:eastAsia="SimSun"/>
          <w:lang w:eastAsia="en-GB"/>
        </w:rPr>
        <w:t>,</w:t>
      </w:r>
      <w:r w:rsidRPr="0064650F">
        <w:rPr>
          <w:rFonts w:eastAsia="SimSun"/>
          <w:lang w:eastAsia="en-GB"/>
        </w:rPr>
        <w:t xml:space="preserve"> or for forests by putting in place payments for ecosystem services schemes.</w:t>
      </w:r>
    </w:p>
    <w:tbl>
      <w:tblPr>
        <w:tblW w:w="0" w:type="auto"/>
        <w:tblInd w:w="567" w:type="dxa"/>
        <w:tblCellMar>
          <w:left w:w="0" w:type="dxa"/>
          <w:right w:w="0" w:type="dxa"/>
        </w:tblCellMar>
        <w:tblLook w:val="04A0" w:firstRow="1" w:lastRow="0" w:firstColumn="1" w:lastColumn="0" w:noHBand="0" w:noVBand="1"/>
      </w:tblPr>
      <w:tblGrid>
        <w:gridCol w:w="9072"/>
      </w:tblGrid>
      <w:tr w:rsidR="005F6C8E" w:rsidRPr="0064650F" w:rsidTr="00CA69FF">
        <w:tc>
          <w:tcPr>
            <w:tcW w:w="7938" w:type="dxa"/>
            <w:shd w:val="clear" w:color="auto" w:fill="auto"/>
          </w:tcPr>
          <w:p w:rsidR="005F6C8E" w:rsidRPr="0064650F" w:rsidRDefault="002162BE" w:rsidP="00050E05">
            <w:pPr>
              <w:keepNext/>
              <w:keepLines/>
              <w:tabs>
                <w:tab w:val="left" w:pos="8364"/>
              </w:tabs>
              <w:spacing w:after="120"/>
              <w:ind w:left="142" w:right="850"/>
              <w:rPr>
                <w:rFonts w:eastAsia="SimSun"/>
                <w:lang w:eastAsia="en-GB"/>
              </w:rPr>
            </w:pPr>
            <w:r w:rsidRPr="0064650F">
              <w:rPr>
                <w:rFonts w:eastAsia="SimSun"/>
                <w:lang w:eastAsia="en-GB"/>
              </w:rPr>
              <w:t xml:space="preserve">Figure </w:t>
            </w:r>
            <w:r w:rsidR="004216F6" w:rsidRPr="0064650F">
              <w:rPr>
                <w:rFonts w:eastAsia="SimSun"/>
                <w:lang w:eastAsia="en-GB"/>
              </w:rPr>
              <w:t>3</w:t>
            </w:r>
            <w:r w:rsidR="00683335">
              <w:rPr>
                <w:rFonts w:eastAsia="SimSun"/>
                <w:lang w:eastAsia="en-GB"/>
              </w:rPr>
              <w:br/>
            </w:r>
            <w:r w:rsidR="005F6C8E" w:rsidRPr="00050E05">
              <w:rPr>
                <w:rFonts w:eastAsia="SimSun"/>
                <w:b/>
                <w:lang w:eastAsia="en-GB"/>
              </w:rPr>
              <w:t xml:space="preserve">Trends in selected forest management characteristics, compared </w:t>
            </w:r>
            <w:r w:rsidR="0002187B">
              <w:rPr>
                <w:rFonts w:eastAsia="SimSun"/>
                <w:b/>
                <w:lang w:eastAsia="en-GB"/>
              </w:rPr>
              <w:t>with</w:t>
            </w:r>
            <w:r w:rsidR="0002187B" w:rsidRPr="00050E05">
              <w:rPr>
                <w:rFonts w:eastAsia="SimSun"/>
                <w:b/>
                <w:lang w:eastAsia="en-GB"/>
              </w:rPr>
              <w:t xml:space="preserve"> </w:t>
            </w:r>
            <w:r w:rsidR="00C542D8">
              <w:rPr>
                <w:rFonts w:eastAsia="SimSun"/>
                <w:b/>
                <w:lang w:eastAsia="en-GB"/>
              </w:rPr>
              <w:t xml:space="preserve">the </w:t>
            </w:r>
            <w:r w:rsidR="005F6C8E" w:rsidRPr="00050E05">
              <w:rPr>
                <w:rFonts w:eastAsia="SimSun"/>
                <w:b/>
                <w:lang w:eastAsia="en-GB"/>
              </w:rPr>
              <w:t>situation in 2000 (</w:t>
            </w:r>
            <w:r w:rsidR="00E94AB0">
              <w:rPr>
                <w:rFonts w:eastAsia="SimSun"/>
                <w:b/>
                <w:lang w:eastAsia="en-GB"/>
              </w:rPr>
              <w:t>%</w:t>
            </w:r>
            <w:r w:rsidR="005F6C8E" w:rsidRPr="00050E05">
              <w:rPr>
                <w:rFonts w:eastAsia="SimSun"/>
                <w:b/>
                <w:lang w:eastAsia="en-GB"/>
              </w:rPr>
              <w:t>)</w:t>
            </w:r>
          </w:p>
        </w:tc>
      </w:tr>
      <w:tr w:rsidR="005F6C8E" w:rsidRPr="0064650F" w:rsidTr="00CA69FF">
        <w:tblPrEx>
          <w:tblCellMar>
            <w:left w:w="108" w:type="dxa"/>
            <w:right w:w="108" w:type="dxa"/>
          </w:tblCellMar>
        </w:tblPrEx>
        <w:tc>
          <w:tcPr>
            <w:tcW w:w="7938" w:type="dxa"/>
            <w:shd w:val="clear" w:color="auto" w:fill="auto"/>
          </w:tcPr>
          <w:p w:rsidR="005F6C8E" w:rsidRPr="0064650F" w:rsidRDefault="005F6C8E" w:rsidP="005F6C8E">
            <w:pPr>
              <w:keepNext/>
              <w:keepLines/>
              <w:spacing w:after="120"/>
              <w:ind w:right="1134"/>
              <w:jc w:val="both"/>
              <w:rPr>
                <w:rFonts w:eastAsia="SimSun"/>
                <w:lang w:eastAsia="en-GB"/>
              </w:rPr>
            </w:pPr>
            <w:r w:rsidRPr="0064650F">
              <w:rPr>
                <w:rFonts w:eastAsia="SimSun"/>
                <w:noProof/>
                <w:lang w:eastAsia="en-GB"/>
              </w:rPr>
              <w:drawing>
                <wp:inline distT="0" distB="0" distL="0" distR="0" wp14:anchorId="592A7258" wp14:editId="4C7173F5">
                  <wp:extent cx="5642991" cy="3587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5496" cy="3589343"/>
                          </a:xfrm>
                          <a:prstGeom prst="rect">
                            <a:avLst/>
                          </a:prstGeom>
                          <a:noFill/>
                        </pic:spPr>
                      </pic:pic>
                    </a:graphicData>
                  </a:graphic>
                </wp:inline>
              </w:drawing>
            </w:r>
          </w:p>
        </w:tc>
      </w:tr>
      <w:tr w:rsidR="005F6C8E" w:rsidRPr="0064650F" w:rsidTr="00CA69FF">
        <w:tc>
          <w:tcPr>
            <w:tcW w:w="7938" w:type="dxa"/>
            <w:shd w:val="clear" w:color="auto" w:fill="auto"/>
          </w:tcPr>
          <w:p w:rsidR="005F6C8E" w:rsidRPr="005C2E8A" w:rsidRDefault="005F6C8E" w:rsidP="00050E05">
            <w:pPr>
              <w:keepNext/>
              <w:keepLines/>
              <w:spacing w:line="220" w:lineRule="exact"/>
              <w:ind w:left="215" w:right="567" w:firstLine="142"/>
              <w:rPr>
                <w:rFonts w:eastAsia="SimSun"/>
                <w:sz w:val="18"/>
                <w:szCs w:val="18"/>
                <w:lang w:eastAsia="en-GB"/>
              </w:rPr>
            </w:pPr>
            <w:r w:rsidRPr="00050E05">
              <w:rPr>
                <w:rFonts w:eastAsia="SimSun"/>
                <w:i/>
                <w:sz w:val="18"/>
                <w:szCs w:val="18"/>
                <w:lang w:eastAsia="en-GB"/>
              </w:rPr>
              <w:t>Source</w:t>
            </w:r>
            <w:r w:rsidRPr="00050E05">
              <w:rPr>
                <w:rFonts w:eastAsia="SimSun"/>
                <w:sz w:val="18"/>
                <w:szCs w:val="18"/>
                <w:lang w:eastAsia="en-GB"/>
              </w:rPr>
              <w:t xml:space="preserve">: </w:t>
            </w:r>
            <w:r w:rsidRPr="00050E05">
              <w:rPr>
                <w:rFonts w:eastAsia="SimSun"/>
                <w:i/>
                <w:sz w:val="18"/>
                <w:szCs w:val="18"/>
                <w:lang w:eastAsia="en-GB"/>
              </w:rPr>
              <w:t xml:space="preserve">Forests in the ECE </w:t>
            </w:r>
            <w:r w:rsidR="002F72C8">
              <w:rPr>
                <w:rFonts w:eastAsia="SimSun"/>
                <w:i/>
                <w:sz w:val="18"/>
                <w:szCs w:val="18"/>
                <w:lang w:eastAsia="en-GB"/>
              </w:rPr>
              <w:t>R</w:t>
            </w:r>
            <w:r w:rsidRPr="00050E05">
              <w:rPr>
                <w:rFonts w:eastAsia="SimSun"/>
                <w:i/>
                <w:sz w:val="18"/>
                <w:szCs w:val="18"/>
                <w:lang w:eastAsia="en-GB"/>
              </w:rPr>
              <w:t xml:space="preserve">egion: </w:t>
            </w:r>
            <w:r w:rsidR="002F72C8">
              <w:rPr>
                <w:rFonts w:eastAsia="SimSun"/>
                <w:i/>
                <w:sz w:val="18"/>
                <w:szCs w:val="18"/>
                <w:lang w:eastAsia="en-GB"/>
              </w:rPr>
              <w:t>T</w:t>
            </w:r>
            <w:r w:rsidRPr="00050E05">
              <w:rPr>
                <w:rFonts w:eastAsia="SimSun"/>
                <w:i/>
                <w:sz w:val="18"/>
                <w:szCs w:val="18"/>
                <w:lang w:eastAsia="en-GB"/>
              </w:rPr>
              <w:t xml:space="preserve">rends and </w:t>
            </w:r>
            <w:r w:rsidR="002F72C8">
              <w:rPr>
                <w:rFonts w:eastAsia="SimSun"/>
                <w:i/>
                <w:sz w:val="18"/>
                <w:szCs w:val="18"/>
                <w:lang w:eastAsia="en-GB"/>
              </w:rPr>
              <w:t>C</w:t>
            </w:r>
            <w:r w:rsidRPr="00050E05">
              <w:rPr>
                <w:rFonts w:eastAsia="SimSun"/>
                <w:i/>
                <w:sz w:val="18"/>
                <w:szCs w:val="18"/>
                <w:lang w:eastAsia="en-GB"/>
              </w:rPr>
              <w:t xml:space="preserve">hallenges in </w:t>
            </w:r>
            <w:r w:rsidR="002F72C8">
              <w:rPr>
                <w:rFonts w:eastAsia="SimSun"/>
                <w:i/>
                <w:sz w:val="18"/>
                <w:szCs w:val="18"/>
                <w:lang w:eastAsia="en-GB"/>
              </w:rPr>
              <w:t>A</w:t>
            </w:r>
            <w:r w:rsidRPr="00050E05">
              <w:rPr>
                <w:rFonts w:eastAsia="SimSun"/>
                <w:i/>
                <w:sz w:val="18"/>
                <w:szCs w:val="18"/>
                <w:lang w:eastAsia="en-GB"/>
              </w:rPr>
              <w:t>chieving the Global Objectives on Forests</w:t>
            </w:r>
            <w:r w:rsidR="002F72C8">
              <w:rPr>
                <w:rFonts w:eastAsia="SimSun"/>
                <w:sz w:val="18"/>
                <w:szCs w:val="18"/>
                <w:lang w:eastAsia="en-GB"/>
              </w:rPr>
              <w:t xml:space="preserve">, United Nations publication, </w:t>
            </w:r>
            <w:r w:rsidR="002F72C8" w:rsidRPr="002F72C8">
              <w:rPr>
                <w:rFonts w:eastAsia="SimSun"/>
                <w:sz w:val="18"/>
                <w:szCs w:val="18"/>
                <w:lang w:eastAsia="en-GB"/>
              </w:rPr>
              <w:t>Sales No. E.15.II.E.6</w:t>
            </w:r>
            <w:r w:rsidR="002F72C8">
              <w:rPr>
                <w:rFonts w:eastAsia="SimSun"/>
                <w:sz w:val="18"/>
                <w:szCs w:val="18"/>
                <w:lang w:eastAsia="en-GB"/>
              </w:rPr>
              <w:t>.</w:t>
            </w:r>
            <w:r w:rsidR="002F72C8" w:rsidRPr="002F72C8">
              <w:rPr>
                <w:rFonts w:eastAsia="SimSun"/>
                <w:sz w:val="18"/>
                <w:szCs w:val="18"/>
                <w:lang w:eastAsia="en-GB"/>
              </w:rPr>
              <w:t xml:space="preserve"> </w:t>
            </w:r>
            <w:r w:rsidR="00C542D8">
              <w:rPr>
                <w:rFonts w:eastAsia="SimSun"/>
                <w:sz w:val="18"/>
                <w:szCs w:val="18"/>
                <w:lang w:eastAsia="en-GB"/>
              </w:rPr>
              <w:t xml:space="preserve">Available from </w:t>
            </w:r>
            <w:r w:rsidR="00C542D8" w:rsidRPr="00C542D8">
              <w:rPr>
                <w:rFonts w:eastAsia="SimSun"/>
                <w:sz w:val="18"/>
                <w:szCs w:val="18"/>
                <w:lang w:eastAsia="en-GB"/>
              </w:rPr>
              <w:t>www.unece.org/forests/forests-in-the-ece-region-2015</w:t>
            </w:r>
            <w:r w:rsidR="00050E05">
              <w:rPr>
                <w:rFonts w:eastAsia="SimSun"/>
                <w:sz w:val="18"/>
                <w:szCs w:val="18"/>
                <w:lang w:eastAsia="en-GB"/>
              </w:rPr>
              <w:t>.</w:t>
            </w:r>
          </w:p>
        </w:tc>
      </w:tr>
    </w:tbl>
    <w:p w:rsidR="005F6C8E" w:rsidRPr="0064650F" w:rsidRDefault="00E85086" w:rsidP="005C2E8A">
      <w:pPr>
        <w:pStyle w:val="H23G"/>
        <w:rPr>
          <w:rFonts w:eastAsia="SimSun"/>
          <w:lang w:eastAsia="en-GB"/>
        </w:rPr>
      </w:pPr>
      <w:r>
        <w:rPr>
          <w:rFonts w:eastAsia="SimSun"/>
          <w:lang w:eastAsia="en-GB"/>
        </w:rPr>
        <w:tab/>
      </w:r>
      <w:r>
        <w:rPr>
          <w:rFonts w:eastAsia="SimSun"/>
          <w:lang w:eastAsia="en-GB"/>
        </w:rPr>
        <w:tab/>
      </w:r>
      <w:r w:rsidR="005F6C8E" w:rsidRPr="0064650F">
        <w:rPr>
          <w:rFonts w:eastAsia="SimSun"/>
          <w:lang w:eastAsia="en-GB"/>
        </w:rPr>
        <w:t xml:space="preserve">Sustainable sectoral approaches </w:t>
      </w:r>
    </w:p>
    <w:p w:rsidR="00F25B7B" w:rsidRDefault="005F6C8E" w:rsidP="005C2E8A">
      <w:pPr>
        <w:pStyle w:val="SingleTxtG"/>
        <w:spacing w:line="240" w:lineRule="auto"/>
        <w:rPr>
          <w:rFonts w:eastAsia="SimSun"/>
          <w:lang w:eastAsia="en-GB"/>
        </w:rPr>
      </w:pPr>
      <w:r w:rsidRPr="0064650F">
        <w:rPr>
          <w:rFonts w:eastAsia="SimSun"/>
          <w:lang w:eastAsia="en-GB"/>
        </w:rPr>
        <w:t>3</w:t>
      </w:r>
      <w:r w:rsidR="003E7C8C" w:rsidRPr="0064650F">
        <w:rPr>
          <w:rFonts w:eastAsia="SimSun"/>
          <w:lang w:eastAsia="en-GB"/>
        </w:rPr>
        <w:t>5</w:t>
      </w:r>
      <w:r w:rsidRPr="0064650F">
        <w:rPr>
          <w:rFonts w:eastAsia="SimSun"/>
          <w:lang w:eastAsia="en-GB"/>
        </w:rPr>
        <w:t>.</w:t>
      </w:r>
      <w:r w:rsidRPr="0064650F">
        <w:rPr>
          <w:rFonts w:eastAsia="SimSun"/>
          <w:lang w:eastAsia="en-GB"/>
        </w:rPr>
        <w:tab/>
        <w:t xml:space="preserve">Environmental sustainability should be at the centre of the development of each economic sector. This means improving </w:t>
      </w:r>
      <w:r w:rsidR="00DC0658">
        <w:rPr>
          <w:rFonts w:eastAsia="SimSun"/>
          <w:lang w:eastAsia="en-GB"/>
        </w:rPr>
        <w:t xml:space="preserve">the </w:t>
      </w:r>
      <w:r w:rsidRPr="0064650F">
        <w:rPr>
          <w:rFonts w:eastAsia="SimSun"/>
          <w:lang w:eastAsia="en-GB"/>
        </w:rPr>
        <w:t xml:space="preserve">quality of life of the population and ensuring economic progress and security while reducing the ecological footprint of that sector. </w:t>
      </w:r>
    </w:p>
    <w:p w:rsidR="005F6C8E" w:rsidRPr="0064650F" w:rsidRDefault="005F6C8E" w:rsidP="005C2E8A">
      <w:pPr>
        <w:pStyle w:val="SingleTxtG"/>
        <w:spacing w:line="240" w:lineRule="auto"/>
        <w:rPr>
          <w:rFonts w:eastAsia="SimSun"/>
          <w:lang w:eastAsia="en-GB"/>
        </w:rPr>
      </w:pPr>
      <w:r w:rsidRPr="0064650F">
        <w:rPr>
          <w:rFonts w:eastAsia="SimSun"/>
          <w:lang w:eastAsia="en-GB"/>
        </w:rPr>
        <w:lastRenderedPageBreak/>
        <w:t>3</w:t>
      </w:r>
      <w:r w:rsidR="003E7C8C" w:rsidRPr="0064650F">
        <w:rPr>
          <w:rFonts w:eastAsia="SimSun"/>
          <w:lang w:eastAsia="en-GB"/>
        </w:rPr>
        <w:t>6</w:t>
      </w:r>
      <w:r w:rsidRPr="0064650F">
        <w:rPr>
          <w:rFonts w:eastAsia="SimSun"/>
          <w:lang w:eastAsia="en-GB"/>
        </w:rPr>
        <w:t>.</w:t>
      </w:r>
      <w:r w:rsidRPr="0064650F">
        <w:rPr>
          <w:rFonts w:eastAsia="SimSun"/>
          <w:lang w:eastAsia="en-GB"/>
        </w:rPr>
        <w:tab/>
        <w:t xml:space="preserve">In the energy sector, </w:t>
      </w:r>
      <w:r w:rsidR="00F25B7B">
        <w:rPr>
          <w:rFonts w:eastAsia="SimSun"/>
          <w:lang w:eastAsia="en-GB"/>
        </w:rPr>
        <w:t xml:space="preserve">the </w:t>
      </w:r>
      <w:r w:rsidRPr="0064650F">
        <w:rPr>
          <w:rFonts w:eastAsia="SimSun"/>
          <w:lang w:eastAsia="en-GB"/>
        </w:rPr>
        <w:t xml:space="preserve">development of energy generation from renewable sources, </w:t>
      </w:r>
      <w:r w:rsidR="00F25B7B">
        <w:rPr>
          <w:rFonts w:eastAsia="SimSun"/>
          <w:lang w:eastAsia="en-GB"/>
        </w:rPr>
        <w:t xml:space="preserve">the </w:t>
      </w:r>
      <w:r w:rsidRPr="0064650F">
        <w:rPr>
          <w:rFonts w:eastAsia="SimSun"/>
          <w:lang w:eastAsia="en-GB"/>
        </w:rPr>
        <w:t xml:space="preserve">growth of distributed generation, </w:t>
      </w:r>
      <w:r w:rsidR="00F25B7B">
        <w:rPr>
          <w:rFonts w:eastAsia="SimSun"/>
          <w:lang w:eastAsia="en-GB"/>
        </w:rPr>
        <w:t xml:space="preserve">the </w:t>
      </w:r>
      <w:r w:rsidRPr="0064650F">
        <w:rPr>
          <w:rFonts w:eastAsia="SimSun"/>
          <w:lang w:eastAsia="en-GB"/>
        </w:rPr>
        <w:t xml:space="preserve">creation of </w:t>
      </w:r>
      <w:r w:rsidR="00DC0658">
        <w:rPr>
          <w:rFonts w:eastAsia="SimSun"/>
          <w:lang w:eastAsia="en-GB"/>
        </w:rPr>
        <w:t xml:space="preserve">a </w:t>
      </w:r>
      <w:r w:rsidRPr="0064650F">
        <w:rPr>
          <w:rFonts w:eastAsia="SimSun"/>
          <w:lang w:eastAsia="en-GB"/>
        </w:rPr>
        <w:t xml:space="preserve">network of small-scale energy systems and </w:t>
      </w:r>
      <w:r w:rsidR="00F25B7B">
        <w:rPr>
          <w:rFonts w:eastAsia="SimSun"/>
          <w:lang w:eastAsia="en-GB"/>
        </w:rPr>
        <w:t xml:space="preserve">the </w:t>
      </w:r>
      <w:r w:rsidRPr="0064650F">
        <w:rPr>
          <w:rFonts w:eastAsia="SimSun"/>
          <w:lang w:eastAsia="en-GB"/>
        </w:rPr>
        <w:t>implementation of off-grid solutions based on renewable sources and energy storage or smart grids</w:t>
      </w:r>
      <w:r w:rsidR="00E85086">
        <w:rPr>
          <w:rFonts w:eastAsia="SimSun"/>
          <w:lang w:eastAsia="en-GB"/>
        </w:rPr>
        <w:t>,</w:t>
      </w:r>
      <w:r w:rsidRPr="0064650F">
        <w:rPr>
          <w:rFonts w:eastAsia="SimSun"/>
          <w:lang w:eastAsia="en-GB"/>
        </w:rPr>
        <w:t xml:space="preserve"> are all indicators of an energy revolution that helps </w:t>
      </w:r>
      <w:r w:rsidR="00DC0658">
        <w:rPr>
          <w:rFonts w:eastAsia="SimSun"/>
          <w:lang w:eastAsia="en-GB"/>
        </w:rPr>
        <w:t xml:space="preserve">to </w:t>
      </w:r>
      <w:r w:rsidRPr="0064650F">
        <w:rPr>
          <w:rFonts w:eastAsia="SimSun"/>
          <w:lang w:eastAsia="en-GB"/>
        </w:rPr>
        <w:t>build a sustainable energy system</w:t>
      </w:r>
      <w:r w:rsidR="002162BE" w:rsidRPr="0064650F">
        <w:rPr>
          <w:rFonts w:eastAsia="SimSun"/>
          <w:lang w:eastAsia="en-GB"/>
        </w:rPr>
        <w:t xml:space="preserve"> (see figure</w:t>
      </w:r>
      <w:r w:rsidR="00F25B7B">
        <w:rPr>
          <w:rFonts w:eastAsia="SimSun"/>
          <w:lang w:eastAsia="en-GB"/>
        </w:rPr>
        <w:t xml:space="preserve"> </w:t>
      </w:r>
      <w:r w:rsidR="00F25B7B" w:rsidRPr="00AB6C87">
        <w:rPr>
          <w:rFonts w:eastAsia="SimSun"/>
          <w:lang w:eastAsia="en-GB"/>
        </w:rPr>
        <w:t>x</w:t>
      </w:r>
      <w:r w:rsidR="002162BE" w:rsidRPr="0064650F">
        <w:rPr>
          <w:rFonts w:eastAsia="SimSun"/>
          <w:lang w:eastAsia="en-GB"/>
        </w:rPr>
        <w:t>)</w:t>
      </w:r>
      <w:r w:rsidR="00056605" w:rsidRPr="0064650F">
        <w:rPr>
          <w:rFonts w:eastAsia="SimSun"/>
          <w:lang w:eastAsia="en-GB"/>
        </w:rPr>
        <w:t>.</w:t>
      </w:r>
      <w:r w:rsidR="00056605" w:rsidRPr="0064650F">
        <w:rPr>
          <w:rStyle w:val="FootnoteReference"/>
          <w:rFonts w:eastAsia="SimSun"/>
          <w:lang w:eastAsia="en-GB"/>
        </w:rPr>
        <w:footnoteReference w:id="12"/>
      </w:r>
      <w:r w:rsidRPr="0064650F">
        <w:rPr>
          <w:rFonts w:eastAsia="SimSun"/>
          <w:lang w:eastAsia="en-GB"/>
        </w:rPr>
        <w:t xml:space="preserve"> The move to energy generation from renewable sources helps decrease the use of mineral resources and so the pressure</w:t>
      </w:r>
      <w:r w:rsidR="00F25B7B">
        <w:rPr>
          <w:rFonts w:eastAsia="SimSun"/>
          <w:lang w:eastAsia="en-GB"/>
        </w:rPr>
        <w:t>s</w:t>
      </w:r>
      <w:r w:rsidRPr="0064650F">
        <w:rPr>
          <w:rFonts w:eastAsia="SimSun"/>
          <w:lang w:eastAsia="en-GB"/>
        </w:rPr>
        <w:t xml:space="preserve"> on them. All the actions aimed at increasing energy efficiency from source to use </w:t>
      </w:r>
      <w:r w:rsidR="00F25B7B">
        <w:rPr>
          <w:rFonts w:eastAsia="SimSun"/>
          <w:lang w:eastAsia="en-GB"/>
        </w:rPr>
        <w:t>—</w:t>
      </w:r>
      <w:r w:rsidRPr="0064650F">
        <w:rPr>
          <w:rFonts w:eastAsia="SimSun"/>
          <w:lang w:eastAsia="en-GB"/>
        </w:rPr>
        <w:t xml:space="preserve"> during production, transmission</w:t>
      </w:r>
      <w:r w:rsidR="00F25B7B">
        <w:rPr>
          <w:rFonts w:eastAsia="SimSun"/>
          <w:lang w:eastAsia="en-GB"/>
        </w:rPr>
        <w:t xml:space="preserve"> and</w:t>
      </w:r>
      <w:r w:rsidRPr="0064650F">
        <w:rPr>
          <w:rFonts w:eastAsia="SimSun"/>
          <w:lang w:eastAsia="en-GB"/>
        </w:rPr>
        <w:t xml:space="preserve"> distribution </w:t>
      </w:r>
      <w:r w:rsidR="00F25B7B">
        <w:rPr>
          <w:rFonts w:eastAsia="SimSun"/>
          <w:lang w:eastAsia="en-GB"/>
        </w:rPr>
        <w:t xml:space="preserve">— </w:t>
      </w:r>
      <w:r w:rsidRPr="0064650F">
        <w:rPr>
          <w:rFonts w:eastAsia="SimSun"/>
          <w:lang w:eastAsia="en-GB"/>
        </w:rPr>
        <w:t xml:space="preserve">allow saving resources that otherwise would need to be used for compensating the energy loss. </w:t>
      </w:r>
    </w:p>
    <w:p w:rsidR="005F6C8E" w:rsidRPr="0064650F" w:rsidRDefault="005F6C8E" w:rsidP="00C415F0">
      <w:pPr>
        <w:pStyle w:val="SingleTxtG"/>
        <w:rPr>
          <w:rFonts w:eastAsia="SimSun"/>
          <w:lang w:eastAsia="en-GB"/>
        </w:rPr>
      </w:pPr>
      <w:r w:rsidRPr="0064650F">
        <w:rPr>
          <w:rFonts w:eastAsia="SimSun"/>
          <w:lang w:eastAsia="en-GB"/>
        </w:rPr>
        <w:t>3</w:t>
      </w:r>
      <w:r w:rsidR="003E7C8C" w:rsidRPr="0064650F">
        <w:rPr>
          <w:rFonts w:eastAsia="SimSun"/>
          <w:lang w:eastAsia="en-GB"/>
        </w:rPr>
        <w:t>7</w:t>
      </w:r>
      <w:r w:rsidRPr="0064650F">
        <w:rPr>
          <w:rFonts w:eastAsia="SimSun"/>
          <w:lang w:eastAsia="en-GB"/>
        </w:rPr>
        <w:t>.</w:t>
      </w:r>
      <w:r w:rsidRPr="0064650F">
        <w:rPr>
          <w:rFonts w:eastAsia="SimSun"/>
          <w:lang w:eastAsia="en-GB"/>
        </w:rPr>
        <w:tab/>
        <w:t>In the agricultural sector, replacing intensive and unsustainable farming practices with traditional</w:t>
      </w:r>
      <w:r w:rsidR="00F25B7B">
        <w:rPr>
          <w:rFonts w:eastAsia="SimSun"/>
          <w:lang w:eastAsia="en-GB"/>
        </w:rPr>
        <w:t>,</w:t>
      </w:r>
      <w:r w:rsidRPr="0064650F">
        <w:rPr>
          <w:rFonts w:eastAsia="SimSun"/>
          <w:lang w:eastAsia="en-GB"/>
        </w:rPr>
        <w:t xml:space="preserve"> extensive and sustainable farming techniques can reduce chemical, water and energy consumption, avoid surface </w:t>
      </w:r>
      <w:r w:rsidR="00F25B7B">
        <w:rPr>
          <w:rFonts w:eastAsia="SimSun"/>
          <w:lang w:eastAsia="en-GB"/>
        </w:rPr>
        <w:t xml:space="preserve">water </w:t>
      </w:r>
      <w:r w:rsidRPr="0064650F">
        <w:rPr>
          <w:rFonts w:eastAsia="SimSun"/>
          <w:lang w:eastAsia="en-GB"/>
        </w:rPr>
        <w:t>and groundwater pollution</w:t>
      </w:r>
      <w:r w:rsidR="00F25B7B">
        <w:rPr>
          <w:rFonts w:eastAsia="SimSun"/>
          <w:lang w:eastAsia="en-GB"/>
        </w:rPr>
        <w:t>,</w:t>
      </w:r>
      <w:r w:rsidRPr="0064650F">
        <w:rPr>
          <w:rFonts w:eastAsia="SimSun"/>
          <w:lang w:eastAsia="en-GB"/>
        </w:rPr>
        <w:t xml:space="preserve"> as well as preserve important soil nutrients. There is evidence that low</w:t>
      </w:r>
      <w:r w:rsidR="00F25B7B">
        <w:rPr>
          <w:rFonts w:eastAsia="SimSun"/>
          <w:lang w:eastAsia="en-GB"/>
        </w:rPr>
        <w:t>-</w:t>
      </w:r>
      <w:r w:rsidRPr="0064650F">
        <w:rPr>
          <w:rFonts w:eastAsia="SimSun"/>
          <w:lang w:eastAsia="en-GB"/>
        </w:rPr>
        <w:t xml:space="preserve"> or no</w:t>
      </w:r>
      <w:r w:rsidR="00F25B7B">
        <w:rPr>
          <w:rFonts w:eastAsia="SimSun"/>
          <w:lang w:eastAsia="en-GB"/>
        </w:rPr>
        <w:t>-</w:t>
      </w:r>
      <w:r w:rsidRPr="0064650F">
        <w:rPr>
          <w:rFonts w:eastAsia="SimSun"/>
          <w:lang w:eastAsia="en-GB"/>
        </w:rPr>
        <w:t>cost changes in farming techniques can reduce pressures on ecosystems with the added benefit of conservation of high value farmland and agricultural biodiversity for future generations.</w:t>
      </w:r>
    </w:p>
    <w:p w:rsidR="005F6C8E" w:rsidRPr="0064650F" w:rsidRDefault="003E7C8C" w:rsidP="00C415F0">
      <w:pPr>
        <w:pStyle w:val="SingleTxtG"/>
        <w:rPr>
          <w:rFonts w:eastAsia="SimSun"/>
          <w:lang w:eastAsia="en-GB"/>
        </w:rPr>
      </w:pPr>
      <w:r w:rsidRPr="0064650F">
        <w:rPr>
          <w:rFonts w:eastAsia="SimSun"/>
          <w:lang w:eastAsia="en-GB"/>
        </w:rPr>
        <w:t>38</w:t>
      </w:r>
      <w:r w:rsidR="005F6C8E" w:rsidRPr="0064650F">
        <w:rPr>
          <w:rFonts w:eastAsia="SimSun"/>
          <w:lang w:eastAsia="en-GB"/>
        </w:rPr>
        <w:t>.</w:t>
      </w:r>
      <w:r w:rsidR="005F6C8E" w:rsidRPr="0064650F">
        <w:rPr>
          <w:rFonts w:eastAsia="SimSun"/>
          <w:lang w:eastAsia="en-GB"/>
        </w:rPr>
        <w:tab/>
        <w:t xml:space="preserve">In the construction and manufacturing sectors, through </w:t>
      </w:r>
      <w:r w:rsidR="00D65CAD">
        <w:rPr>
          <w:rFonts w:eastAsia="SimSun"/>
          <w:lang w:eastAsia="en-GB"/>
        </w:rPr>
        <w:t xml:space="preserve">the </w:t>
      </w:r>
      <w:r w:rsidR="005F6C8E" w:rsidRPr="0064650F">
        <w:rPr>
          <w:rFonts w:eastAsia="SimSun"/>
          <w:lang w:eastAsia="en-GB"/>
        </w:rPr>
        <w:t xml:space="preserve">application of environmentally sustainable approaches, the manufacturing or construction processes and the manufactured goods and constructed buildings are becoming greener. Both material and energy productivity </w:t>
      </w:r>
      <w:r w:rsidR="00D65CAD">
        <w:rPr>
          <w:rFonts w:eastAsia="SimSun"/>
          <w:lang w:eastAsia="en-GB"/>
        </w:rPr>
        <w:t>have</w:t>
      </w:r>
      <w:r w:rsidR="00F25B7B">
        <w:rPr>
          <w:rFonts w:eastAsia="SimSun"/>
          <w:lang w:eastAsia="en-GB"/>
        </w:rPr>
        <w:t xml:space="preserve"> </w:t>
      </w:r>
      <w:r w:rsidR="005F6C8E" w:rsidRPr="0064650F">
        <w:rPr>
          <w:rFonts w:eastAsia="SimSun"/>
          <w:lang w:eastAsia="en-GB"/>
        </w:rPr>
        <w:t xml:space="preserve">improved over </w:t>
      </w:r>
      <w:r w:rsidR="00F25B7B">
        <w:rPr>
          <w:rFonts w:eastAsia="SimSun"/>
          <w:lang w:eastAsia="en-GB"/>
        </w:rPr>
        <w:t xml:space="preserve">recent </w:t>
      </w:r>
      <w:r w:rsidR="005F6C8E" w:rsidRPr="0064650F">
        <w:rPr>
          <w:rFonts w:eastAsia="SimSun"/>
          <w:lang w:eastAsia="en-GB"/>
        </w:rPr>
        <w:t>years for goods like houses, car</w:t>
      </w:r>
      <w:r w:rsidR="00F25B7B">
        <w:rPr>
          <w:rFonts w:eastAsia="SimSun"/>
          <w:lang w:eastAsia="en-GB"/>
        </w:rPr>
        <w:t>s</w:t>
      </w:r>
      <w:r w:rsidR="005F6C8E" w:rsidRPr="0064650F">
        <w:rPr>
          <w:rFonts w:eastAsia="SimSun"/>
          <w:lang w:eastAsia="en-GB"/>
        </w:rPr>
        <w:t xml:space="preserve"> and various appliances</w:t>
      </w:r>
      <w:r w:rsidR="00F25B7B">
        <w:rPr>
          <w:rFonts w:eastAsia="SimSun"/>
          <w:lang w:eastAsia="en-GB"/>
        </w:rPr>
        <w:t>,</w:t>
      </w:r>
      <w:r w:rsidR="005F6C8E" w:rsidRPr="0064650F">
        <w:rPr>
          <w:rFonts w:eastAsia="SimSun"/>
          <w:lang w:eastAsia="en-GB"/>
        </w:rPr>
        <w:t xml:space="preserve"> which </w:t>
      </w:r>
      <w:r w:rsidR="00F25B7B">
        <w:rPr>
          <w:rFonts w:eastAsia="SimSun"/>
          <w:lang w:eastAsia="en-GB"/>
        </w:rPr>
        <w:t xml:space="preserve">has </w:t>
      </w:r>
      <w:r w:rsidR="005F6C8E" w:rsidRPr="0064650F">
        <w:rPr>
          <w:rFonts w:eastAsia="SimSun"/>
          <w:lang w:eastAsia="en-GB"/>
        </w:rPr>
        <w:t>helped to reduce pressures on the environment.</w:t>
      </w:r>
    </w:p>
    <w:p w:rsidR="005F6C8E" w:rsidRPr="0064650F" w:rsidRDefault="003E7C8C" w:rsidP="00C415F0">
      <w:pPr>
        <w:pStyle w:val="SingleTxtG"/>
        <w:rPr>
          <w:rFonts w:eastAsia="SimSun"/>
          <w:lang w:eastAsia="en-GB"/>
        </w:rPr>
      </w:pPr>
      <w:r w:rsidRPr="0064650F">
        <w:rPr>
          <w:rFonts w:eastAsia="SimSun"/>
          <w:lang w:eastAsia="en-GB"/>
        </w:rPr>
        <w:t>39</w:t>
      </w:r>
      <w:r w:rsidR="005F6C8E" w:rsidRPr="0064650F">
        <w:rPr>
          <w:rFonts w:eastAsia="SimSun"/>
          <w:lang w:eastAsia="en-GB"/>
        </w:rPr>
        <w:t>.</w:t>
      </w:r>
      <w:r w:rsidR="005F6C8E" w:rsidRPr="0064650F">
        <w:rPr>
          <w:rFonts w:eastAsia="SimSun"/>
          <w:lang w:eastAsia="en-GB"/>
        </w:rPr>
        <w:tab/>
        <w:t xml:space="preserve">In the transport sector, the promotion of intermodal transport solutions </w:t>
      </w:r>
      <w:r w:rsidR="00F25B7B">
        <w:rPr>
          <w:rFonts w:eastAsia="SimSun"/>
          <w:lang w:eastAsia="en-GB"/>
        </w:rPr>
        <w:t>—</w:t>
      </w:r>
      <w:r w:rsidR="005F6C8E" w:rsidRPr="0064650F">
        <w:rPr>
          <w:rFonts w:eastAsia="SimSun"/>
          <w:lang w:eastAsia="en-GB"/>
        </w:rPr>
        <w:t xml:space="preserve"> enabling transfer</w:t>
      </w:r>
      <w:r w:rsidR="00F25B7B">
        <w:rPr>
          <w:rFonts w:eastAsia="SimSun"/>
          <w:lang w:eastAsia="en-GB"/>
        </w:rPr>
        <w:t>s</w:t>
      </w:r>
      <w:r w:rsidR="005F6C8E" w:rsidRPr="0064650F">
        <w:rPr>
          <w:rFonts w:eastAsia="SimSun"/>
          <w:lang w:eastAsia="en-GB"/>
        </w:rPr>
        <w:t xml:space="preserve"> between locations by optimally combining various modes of transport that are the most energy efficient and least polluting for </w:t>
      </w:r>
      <w:r w:rsidR="00D75D65">
        <w:rPr>
          <w:rFonts w:eastAsia="SimSun"/>
          <w:lang w:eastAsia="en-GB"/>
        </w:rPr>
        <w:t xml:space="preserve">the </w:t>
      </w:r>
      <w:r w:rsidR="005F6C8E" w:rsidRPr="0064650F">
        <w:rPr>
          <w:rFonts w:eastAsia="SimSun"/>
          <w:lang w:eastAsia="en-GB"/>
        </w:rPr>
        <w:t>various legs of th</w:t>
      </w:r>
      <w:r w:rsidR="00D75D65">
        <w:rPr>
          <w:rFonts w:eastAsia="SimSun"/>
          <w:lang w:eastAsia="en-GB"/>
        </w:rPr>
        <w:t>ose</w:t>
      </w:r>
      <w:r w:rsidR="005F6C8E" w:rsidRPr="0064650F">
        <w:rPr>
          <w:rFonts w:eastAsia="SimSun"/>
          <w:lang w:eastAsia="en-GB"/>
        </w:rPr>
        <w:t xml:space="preserve"> transfer</w:t>
      </w:r>
      <w:r w:rsidR="00D75D65">
        <w:rPr>
          <w:rFonts w:eastAsia="SimSun"/>
          <w:lang w:eastAsia="en-GB"/>
        </w:rPr>
        <w:t>s</w:t>
      </w:r>
      <w:r w:rsidR="005F6C8E" w:rsidRPr="0064650F">
        <w:rPr>
          <w:rFonts w:eastAsia="SimSun"/>
          <w:lang w:eastAsia="en-GB"/>
        </w:rPr>
        <w:t xml:space="preserve"> </w:t>
      </w:r>
      <w:r w:rsidR="00F25B7B">
        <w:rPr>
          <w:rFonts w:eastAsia="SimSun"/>
          <w:lang w:eastAsia="en-GB"/>
        </w:rPr>
        <w:t>—</w:t>
      </w:r>
      <w:r w:rsidR="005F6C8E" w:rsidRPr="0064650F">
        <w:rPr>
          <w:rFonts w:eastAsia="SimSun"/>
          <w:lang w:eastAsia="en-GB"/>
        </w:rPr>
        <w:t xml:space="preserve"> can help cut energy use</w:t>
      </w:r>
      <w:r w:rsidR="00F25B7B">
        <w:rPr>
          <w:rFonts w:eastAsia="SimSun"/>
          <w:lang w:eastAsia="en-GB"/>
        </w:rPr>
        <w:t>,</w:t>
      </w:r>
      <w:r w:rsidR="005F6C8E" w:rsidRPr="0064650F">
        <w:rPr>
          <w:rFonts w:eastAsia="SimSun"/>
          <w:lang w:eastAsia="en-GB"/>
        </w:rPr>
        <w:t xml:space="preserve"> and so </w:t>
      </w:r>
      <w:r w:rsidR="00F25B7B">
        <w:rPr>
          <w:rFonts w:eastAsia="SimSun"/>
          <w:lang w:eastAsia="en-GB"/>
        </w:rPr>
        <w:t xml:space="preserve">polluting </w:t>
      </w:r>
      <w:r w:rsidR="005F6C8E" w:rsidRPr="0064650F">
        <w:rPr>
          <w:rFonts w:eastAsia="SimSun"/>
          <w:lang w:eastAsia="en-GB"/>
        </w:rPr>
        <w:t xml:space="preserve">emissions, and ultimately decrease </w:t>
      </w:r>
      <w:r w:rsidR="00F25B7B">
        <w:rPr>
          <w:rFonts w:eastAsia="SimSun"/>
          <w:lang w:eastAsia="en-GB"/>
        </w:rPr>
        <w:t xml:space="preserve">the </w:t>
      </w:r>
      <w:r w:rsidR="005F6C8E" w:rsidRPr="0064650F">
        <w:rPr>
          <w:rFonts w:eastAsia="SimSun"/>
          <w:lang w:eastAsia="en-GB"/>
        </w:rPr>
        <w:t>pressure on resources and ecosystems while improving human well-being in the form of health benefits.</w:t>
      </w:r>
    </w:p>
    <w:p w:rsidR="005F6C8E" w:rsidRPr="0064650F" w:rsidRDefault="005F6C8E" w:rsidP="003E248A">
      <w:pPr>
        <w:pStyle w:val="SingleTxtG"/>
        <w:rPr>
          <w:rFonts w:eastAsia="SimSun"/>
          <w:color w:val="000000"/>
          <w:lang w:eastAsia="zh-CN"/>
        </w:rPr>
      </w:pPr>
      <w:r w:rsidRPr="0064650F">
        <w:rPr>
          <w:rFonts w:eastAsia="SimSun"/>
          <w:color w:val="000000"/>
          <w:lang w:eastAsia="zh-CN"/>
        </w:rPr>
        <w:t>4</w:t>
      </w:r>
      <w:r w:rsidR="003E7C8C" w:rsidRPr="0064650F">
        <w:rPr>
          <w:rFonts w:eastAsia="SimSun"/>
          <w:color w:val="000000"/>
          <w:lang w:eastAsia="zh-CN"/>
        </w:rPr>
        <w:t>0</w:t>
      </w:r>
      <w:r w:rsidRPr="0064650F">
        <w:rPr>
          <w:rFonts w:eastAsia="SimSun"/>
          <w:color w:val="000000"/>
          <w:lang w:eastAsia="zh-CN"/>
        </w:rPr>
        <w:t>.</w:t>
      </w:r>
      <w:r w:rsidRPr="0064650F">
        <w:rPr>
          <w:rFonts w:eastAsia="SimSun"/>
          <w:color w:val="000000"/>
          <w:lang w:eastAsia="zh-CN"/>
        </w:rPr>
        <w:tab/>
        <w:t>The results achieved through sustainable sectoral approaches could be further enhanced. For the energy sector, a better integration of national markets with common rules of operation would create an opportunity for a more</w:t>
      </w:r>
      <w:r w:rsidR="00D65CAD">
        <w:rPr>
          <w:rFonts w:eastAsia="SimSun"/>
          <w:color w:val="000000"/>
          <w:lang w:eastAsia="zh-CN"/>
        </w:rPr>
        <w:t xml:space="preserve"> </w:t>
      </w:r>
      <w:r w:rsidRPr="0064650F">
        <w:rPr>
          <w:rFonts w:eastAsia="SimSun"/>
          <w:color w:val="000000"/>
          <w:lang w:eastAsia="zh-CN"/>
        </w:rPr>
        <w:t>cost</w:t>
      </w:r>
      <w:r w:rsidR="00D65CAD">
        <w:rPr>
          <w:rFonts w:eastAsia="SimSun"/>
          <w:color w:val="000000"/>
          <w:lang w:eastAsia="zh-CN"/>
        </w:rPr>
        <w:t>-</w:t>
      </w:r>
      <w:r w:rsidRPr="0064650F">
        <w:rPr>
          <w:rFonts w:eastAsia="SimSun"/>
          <w:color w:val="000000"/>
          <w:lang w:eastAsia="zh-CN"/>
        </w:rPr>
        <w:t>effective penetration of lower-carbon technologies and improve the resilience of the energy system. Similar</w:t>
      </w:r>
      <w:r w:rsidR="00D75D65">
        <w:rPr>
          <w:rFonts w:eastAsia="SimSun"/>
          <w:color w:val="000000"/>
          <w:lang w:eastAsia="zh-CN"/>
        </w:rPr>
        <w:t>ly,</w:t>
      </w:r>
      <w:r w:rsidRPr="0064650F">
        <w:rPr>
          <w:rFonts w:eastAsia="SimSun"/>
          <w:color w:val="000000"/>
          <w:lang w:eastAsia="zh-CN"/>
        </w:rPr>
        <w:t xml:space="preserve"> for the transport sector, integration of national transport markets by introducing common rules of operation would incentivize using more efficient modes of transport</w:t>
      </w:r>
      <w:r w:rsidR="00D65CAD">
        <w:rPr>
          <w:rFonts w:eastAsia="SimSun"/>
          <w:color w:val="000000"/>
          <w:lang w:eastAsia="zh-CN"/>
        </w:rPr>
        <w:t xml:space="preserve"> —</w:t>
      </w:r>
      <w:r w:rsidRPr="0064650F">
        <w:rPr>
          <w:rFonts w:eastAsia="SimSun"/>
          <w:color w:val="000000"/>
          <w:lang w:eastAsia="zh-CN"/>
        </w:rPr>
        <w:t xml:space="preserve"> for example</w:t>
      </w:r>
      <w:r w:rsidR="00D65CAD">
        <w:rPr>
          <w:rFonts w:eastAsia="SimSun"/>
          <w:color w:val="000000"/>
          <w:lang w:eastAsia="zh-CN"/>
        </w:rPr>
        <w:t>,</w:t>
      </w:r>
      <w:r w:rsidRPr="0064650F">
        <w:rPr>
          <w:rFonts w:eastAsia="SimSun"/>
          <w:color w:val="000000"/>
          <w:lang w:eastAsia="zh-CN"/>
        </w:rPr>
        <w:t xml:space="preserve"> rail in international transport. </w:t>
      </w:r>
      <w:r w:rsidR="00D75D65">
        <w:rPr>
          <w:rFonts w:eastAsia="SimSun"/>
          <w:color w:val="000000"/>
          <w:lang w:eastAsia="zh-CN"/>
        </w:rPr>
        <w:t xml:space="preserve">This </w:t>
      </w:r>
      <w:r w:rsidRPr="0064650F">
        <w:rPr>
          <w:rFonts w:eastAsia="SimSun"/>
          <w:color w:val="000000"/>
          <w:lang w:eastAsia="zh-CN"/>
        </w:rPr>
        <w:t>would enable investment in the infrastructure required. In general, clear and common rules of operation, also at national level, could attract private investments into both the energy and transport sectors.</w:t>
      </w:r>
    </w:p>
    <w:p w:rsidR="005F6C8E" w:rsidRPr="0064650F" w:rsidRDefault="005F6C8E" w:rsidP="003E248A">
      <w:pPr>
        <w:pStyle w:val="SingleTxtG"/>
        <w:rPr>
          <w:rFonts w:eastAsia="SimSun"/>
          <w:lang w:eastAsia="en-GB"/>
        </w:rPr>
      </w:pPr>
      <w:r w:rsidRPr="0064650F">
        <w:rPr>
          <w:rFonts w:eastAsia="SimSun"/>
          <w:color w:val="000000"/>
          <w:lang w:eastAsia="zh-CN"/>
        </w:rPr>
        <w:t>4</w:t>
      </w:r>
      <w:r w:rsidR="003E7C8C" w:rsidRPr="0064650F">
        <w:rPr>
          <w:rFonts w:eastAsia="SimSun"/>
          <w:color w:val="000000"/>
          <w:lang w:eastAsia="zh-CN"/>
        </w:rPr>
        <w:t>1</w:t>
      </w:r>
      <w:r w:rsidRPr="0064650F">
        <w:rPr>
          <w:rFonts w:eastAsia="SimSun"/>
          <w:color w:val="000000"/>
          <w:lang w:eastAsia="zh-CN"/>
        </w:rPr>
        <w:t>.</w:t>
      </w:r>
      <w:r w:rsidRPr="0064650F">
        <w:rPr>
          <w:rFonts w:eastAsia="SimSun"/>
          <w:color w:val="000000"/>
          <w:lang w:eastAsia="zh-CN"/>
        </w:rPr>
        <w:tab/>
      </w:r>
      <w:r w:rsidRPr="0064650F">
        <w:rPr>
          <w:rFonts w:eastAsia="SimSun"/>
          <w:lang w:eastAsia="en-GB"/>
        </w:rPr>
        <w:t>In the construction and manufacturing sectors,</w:t>
      </w:r>
      <w:r w:rsidRPr="0064650F">
        <w:rPr>
          <w:rFonts w:eastAsia="SimSun"/>
          <w:color w:val="000000"/>
          <w:lang w:eastAsia="zh-CN"/>
        </w:rPr>
        <w:t xml:space="preserve"> </w:t>
      </w:r>
      <w:r w:rsidRPr="0064650F">
        <w:rPr>
          <w:rFonts w:eastAsia="SimSun"/>
          <w:lang w:eastAsia="en-GB"/>
        </w:rPr>
        <w:t>further effort is needed to green them</w:t>
      </w:r>
      <w:r w:rsidR="00D75D65">
        <w:rPr>
          <w:rFonts w:eastAsia="SimSun"/>
          <w:lang w:eastAsia="en-GB"/>
        </w:rPr>
        <w:t>,</w:t>
      </w:r>
      <w:r w:rsidRPr="0064650F">
        <w:rPr>
          <w:rFonts w:eastAsia="SimSun"/>
          <w:lang w:eastAsia="en-GB"/>
        </w:rPr>
        <w:t xml:space="preserve"> as the efficiency gains have been offset by the increased demand. There is a need to green the global supply chains for the sectors and find and apply innovative solutions </w:t>
      </w:r>
      <w:r w:rsidR="00D75D65">
        <w:rPr>
          <w:rFonts w:eastAsia="SimSun"/>
          <w:lang w:eastAsia="en-GB"/>
        </w:rPr>
        <w:t xml:space="preserve">that will </w:t>
      </w:r>
      <w:r w:rsidRPr="0064650F">
        <w:rPr>
          <w:rFonts w:eastAsia="SimSun"/>
          <w:lang w:eastAsia="en-GB"/>
        </w:rPr>
        <w:t>help achieve absolute decoupling.</w:t>
      </w:r>
    </w:p>
    <w:p w:rsidR="005F6C8E" w:rsidRPr="0064650F" w:rsidRDefault="00D06A8E" w:rsidP="00742EDA">
      <w:pPr>
        <w:pStyle w:val="H23G"/>
        <w:rPr>
          <w:rFonts w:eastAsia="SimSun"/>
          <w:lang w:eastAsia="en-GB"/>
        </w:rPr>
      </w:pPr>
      <w:r>
        <w:rPr>
          <w:rFonts w:eastAsia="SimSun"/>
          <w:lang w:eastAsia="en-GB"/>
        </w:rPr>
        <w:tab/>
      </w:r>
      <w:r>
        <w:rPr>
          <w:rFonts w:eastAsia="SimSun"/>
          <w:lang w:eastAsia="en-GB"/>
        </w:rPr>
        <w:tab/>
      </w:r>
      <w:r w:rsidR="005F6C8E" w:rsidRPr="0064650F">
        <w:rPr>
          <w:rFonts w:eastAsia="SimSun"/>
          <w:lang w:eastAsia="en-GB"/>
        </w:rPr>
        <w:t>Nexus approach</w:t>
      </w:r>
    </w:p>
    <w:p w:rsidR="005F6C8E" w:rsidRPr="0064650F" w:rsidRDefault="005F6C8E" w:rsidP="00CC4DE6">
      <w:pPr>
        <w:pStyle w:val="SingleTxtG"/>
        <w:spacing w:line="240" w:lineRule="auto"/>
        <w:rPr>
          <w:rFonts w:eastAsia="SimSun"/>
          <w:lang w:eastAsia="en-GB"/>
        </w:rPr>
      </w:pPr>
      <w:r w:rsidRPr="0064650F">
        <w:rPr>
          <w:rFonts w:eastAsia="SimSun"/>
          <w:lang w:eastAsia="en-GB"/>
        </w:rPr>
        <w:t>4</w:t>
      </w:r>
      <w:r w:rsidR="003E7C8C" w:rsidRPr="0064650F">
        <w:rPr>
          <w:rFonts w:eastAsia="SimSun"/>
          <w:lang w:eastAsia="en-GB"/>
        </w:rPr>
        <w:t>2</w:t>
      </w:r>
      <w:r w:rsidRPr="0064650F">
        <w:rPr>
          <w:rFonts w:eastAsia="SimSun"/>
          <w:lang w:eastAsia="en-GB"/>
        </w:rPr>
        <w:t>.</w:t>
      </w:r>
      <w:r w:rsidRPr="0064650F">
        <w:rPr>
          <w:rFonts w:eastAsia="SimSun"/>
          <w:lang w:eastAsia="en-GB"/>
        </w:rPr>
        <w:tab/>
        <w:t xml:space="preserve">At the heart of a nexus approach is the integration across sectors and scales in management and governance in order to achieve synergies and minimize trade-offs. This approach emphasizes the interrelatedness </w:t>
      </w:r>
      <w:r w:rsidR="00D75D65">
        <w:rPr>
          <w:rFonts w:eastAsia="SimSun"/>
          <w:lang w:eastAsia="en-GB"/>
        </w:rPr>
        <w:t xml:space="preserve">of </w:t>
      </w:r>
      <w:r w:rsidRPr="0064650F">
        <w:rPr>
          <w:rFonts w:eastAsia="SimSun"/>
          <w:lang w:eastAsia="en-GB"/>
        </w:rPr>
        <w:t xml:space="preserve">and interdependencies </w:t>
      </w:r>
      <w:r w:rsidR="00D75D65">
        <w:rPr>
          <w:rFonts w:eastAsia="SimSun"/>
          <w:lang w:eastAsia="en-GB"/>
        </w:rPr>
        <w:t xml:space="preserve">between </w:t>
      </w:r>
      <w:r w:rsidRPr="0064650F">
        <w:rPr>
          <w:rFonts w:eastAsia="SimSun"/>
          <w:lang w:eastAsia="en-GB"/>
        </w:rPr>
        <w:t>resources like water, energy, land (for agricultural production in particular) and ecosystem services</w:t>
      </w:r>
      <w:r w:rsidR="00D75D65">
        <w:rPr>
          <w:rFonts w:eastAsia="SimSun"/>
          <w:lang w:eastAsia="en-GB"/>
        </w:rPr>
        <w:t>,</w:t>
      </w:r>
      <w:r w:rsidRPr="0064650F">
        <w:rPr>
          <w:rFonts w:eastAsia="SimSun"/>
          <w:lang w:eastAsia="en-GB"/>
        </w:rPr>
        <w:t xml:space="preserve"> as well as fluxes across spatial scales and between compartments. Instead of just managing individual components in isolation, the functioning, productivity and management of a </w:t>
      </w:r>
      <w:r w:rsidRPr="0064650F">
        <w:rPr>
          <w:rFonts w:eastAsia="SimSun"/>
          <w:lang w:eastAsia="en-GB"/>
        </w:rPr>
        <w:lastRenderedPageBreak/>
        <w:t>complex interrelated sectoral system and framework is assessed in order to identify best solutions reconciling the needs</w:t>
      </w:r>
      <w:r w:rsidR="00D75D65">
        <w:rPr>
          <w:rFonts w:eastAsia="SimSun"/>
          <w:lang w:eastAsia="en-GB"/>
        </w:rPr>
        <w:t xml:space="preserve"> of the </w:t>
      </w:r>
      <w:r w:rsidR="00D75D65" w:rsidRPr="0064650F">
        <w:rPr>
          <w:rFonts w:eastAsia="SimSun"/>
          <w:lang w:eastAsia="en-GB"/>
        </w:rPr>
        <w:t>different sectors</w:t>
      </w:r>
      <w:r w:rsidRPr="0064650F">
        <w:rPr>
          <w:rFonts w:eastAsia="SimSun"/>
          <w:lang w:eastAsia="en-GB"/>
        </w:rPr>
        <w:t xml:space="preserve">. </w:t>
      </w:r>
    </w:p>
    <w:p w:rsidR="005F6C8E" w:rsidRPr="0064650F" w:rsidRDefault="005F6C8E" w:rsidP="00CC4DE6">
      <w:pPr>
        <w:pStyle w:val="SingleTxtG"/>
        <w:spacing w:line="240" w:lineRule="auto"/>
        <w:rPr>
          <w:rFonts w:eastAsia="SimSun"/>
          <w:lang w:eastAsia="en-GB"/>
        </w:rPr>
      </w:pPr>
      <w:r w:rsidRPr="0064650F">
        <w:rPr>
          <w:rFonts w:eastAsia="SimSun"/>
          <w:lang w:eastAsia="en-GB"/>
        </w:rPr>
        <w:t>4</w:t>
      </w:r>
      <w:r w:rsidR="003E7C8C" w:rsidRPr="0064650F">
        <w:rPr>
          <w:rFonts w:eastAsia="SimSun"/>
          <w:lang w:eastAsia="en-GB"/>
        </w:rPr>
        <w:t>3</w:t>
      </w:r>
      <w:r w:rsidRPr="0064650F">
        <w:rPr>
          <w:rFonts w:eastAsia="SimSun"/>
          <w:lang w:eastAsia="en-GB"/>
        </w:rPr>
        <w:t>.</w:t>
      </w:r>
      <w:r w:rsidRPr="0064650F">
        <w:rPr>
          <w:rFonts w:eastAsia="SimSun"/>
          <w:lang w:eastAsia="en-GB"/>
        </w:rPr>
        <w:tab/>
        <w:t xml:space="preserve">The nexus approach </w:t>
      </w:r>
      <w:r w:rsidR="00D75D65">
        <w:rPr>
          <w:rFonts w:eastAsia="SimSun"/>
          <w:lang w:eastAsia="en-GB"/>
        </w:rPr>
        <w:t xml:space="preserve">thus </w:t>
      </w:r>
      <w:r w:rsidRPr="0064650F">
        <w:rPr>
          <w:rFonts w:eastAsia="SimSun"/>
          <w:lang w:eastAsia="en-GB"/>
        </w:rPr>
        <w:t xml:space="preserve">goes beyond </w:t>
      </w:r>
      <w:r w:rsidR="00D75D65">
        <w:rPr>
          <w:rFonts w:eastAsia="SimSun"/>
          <w:lang w:eastAsia="en-GB"/>
        </w:rPr>
        <w:t xml:space="preserve">the </w:t>
      </w:r>
      <w:r w:rsidRPr="0064650F">
        <w:rPr>
          <w:rFonts w:eastAsia="SimSun"/>
          <w:lang w:eastAsia="en-GB"/>
        </w:rPr>
        <w:t>management of one system or framework and examines linkages that are not apparent for that system or framework</w:t>
      </w:r>
      <w:r w:rsidR="00D75D65">
        <w:rPr>
          <w:rFonts w:eastAsia="SimSun"/>
          <w:lang w:eastAsia="en-GB"/>
        </w:rPr>
        <w:t xml:space="preserve"> —</w:t>
      </w:r>
      <w:r w:rsidRPr="0064650F">
        <w:rPr>
          <w:rFonts w:eastAsia="SimSun"/>
          <w:lang w:eastAsia="en-GB"/>
        </w:rPr>
        <w:t xml:space="preserve"> e.g.</w:t>
      </w:r>
      <w:r w:rsidR="00D75D65">
        <w:rPr>
          <w:rFonts w:eastAsia="SimSun"/>
          <w:lang w:eastAsia="en-GB"/>
        </w:rPr>
        <w:t>,</w:t>
      </w:r>
      <w:r w:rsidRPr="0064650F">
        <w:rPr>
          <w:rFonts w:eastAsia="SimSun"/>
          <w:lang w:eastAsia="en-GB"/>
        </w:rPr>
        <w:t xml:space="preserve"> the impacts of an energy or other sectoral policy on the status or use of water resources, which would not be covered by the sustainable water management approach only.  </w:t>
      </w:r>
    </w:p>
    <w:p w:rsidR="005F6C8E" w:rsidRPr="0064650F" w:rsidRDefault="005F6C8E" w:rsidP="00CC4DE6">
      <w:pPr>
        <w:pStyle w:val="SingleTxtG"/>
        <w:spacing w:after="240" w:line="240" w:lineRule="auto"/>
        <w:rPr>
          <w:rFonts w:eastAsia="SimSun"/>
          <w:lang w:eastAsia="en-GB"/>
        </w:rPr>
      </w:pPr>
      <w:r w:rsidRPr="0064650F">
        <w:rPr>
          <w:rFonts w:eastAsia="SimSun"/>
          <w:lang w:eastAsia="en-GB"/>
        </w:rPr>
        <w:t>4</w:t>
      </w:r>
      <w:r w:rsidR="003E7C8C" w:rsidRPr="0064650F">
        <w:rPr>
          <w:rFonts w:eastAsia="SimSun"/>
          <w:lang w:eastAsia="en-GB"/>
        </w:rPr>
        <w:t>4</w:t>
      </w:r>
      <w:r w:rsidRPr="0064650F">
        <w:rPr>
          <w:rFonts w:eastAsia="SimSun"/>
          <w:lang w:eastAsia="en-GB"/>
        </w:rPr>
        <w:t>.</w:t>
      </w:r>
      <w:r w:rsidRPr="0064650F">
        <w:rPr>
          <w:rFonts w:eastAsia="SimSun"/>
          <w:lang w:eastAsia="en-GB"/>
        </w:rPr>
        <w:tab/>
        <w:t>An example of a nexus is that of water-food</w:t>
      </w:r>
      <w:r w:rsidR="005402A4">
        <w:rPr>
          <w:rFonts w:eastAsia="SimSun"/>
          <w:lang w:eastAsia="en-GB"/>
        </w:rPr>
        <w:t>-energy-ecosystems</w:t>
      </w:r>
      <w:r w:rsidRPr="0064650F">
        <w:rPr>
          <w:rFonts w:eastAsia="SimSun"/>
          <w:lang w:eastAsia="en-GB"/>
        </w:rPr>
        <w:t xml:space="preserve"> (</w:t>
      </w:r>
      <w:r w:rsidR="002162BE" w:rsidRPr="0064650F">
        <w:rPr>
          <w:rFonts w:eastAsia="SimSun"/>
          <w:lang w:eastAsia="en-GB"/>
        </w:rPr>
        <w:t>see figure 5</w:t>
      </w:r>
      <w:r w:rsidRPr="0064650F">
        <w:rPr>
          <w:rFonts w:eastAsia="SimSun"/>
          <w:lang w:eastAsia="en-GB"/>
        </w:rPr>
        <w:t>). Such a nexus can be particularly problematic and prone to frictions, or even conflict, in transboundary basins</w:t>
      </w:r>
      <w:r w:rsidR="005402A4">
        <w:rPr>
          <w:rFonts w:eastAsia="SimSun"/>
          <w:lang w:eastAsia="en-GB"/>
        </w:rPr>
        <w:t>,</w:t>
      </w:r>
      <w:r w:rsidRPr="0064650F">
        <w:rPr>
          <w:rFonts w:eastAsia="SimSun"/>
          <w:lang w:eastAsia="en-GB"/>
        </w:rPr>
        <w:t xml:space="preserve"> and therefore merits an assessment looking at </w:t>
      </w:r>
      <w:r w:rsidR="005402A4">
        <w:rPr>
          <w:rFonts w:eastAsia="SimSun"/>
          <w:lang w:eastAsia="en-GB"/>
        </w:rPr>
        <w:t xml:space="preserve">the </w:t>
      </w:r>
      <w:r w:rsidRPr="0064650F">
        <w:rPr>
          <w:rFonts w:eastAsia="SimSun"/>
          <w:lang w:eastAsia="en-GB"/>
        </w:rPr>
        <w:t>dependencies of the riparian countries on the basin</w:t>
      </w:r>
      <w:r w:rsidR="005402A4">
        <w:rPr>
          <w:rFonts w:eastAsia="SimSun"/>
          <w:lang w:eastAsia="en-GB"/>
        </w:rPr>
        <w:t>,</w:t>
      </w:r>
      <w:r w:rsidRPr="0064650F">
        <w:rPr>
          <w:rFonts w:eastAsia="SimSun"/>
          <w:lang w:eastAsia="en-GB"/>
        </w:rPr>
        <w:t xml:space="preserve"> but also developments like national policies and regional commitments</w:t>
      </w:r>
      <w:r w:rsidR="00A135CF">
        <w:rPr>
          <w:rFonts w:eastAsia="SimSun"/>
          <w:lang w:eastAsia="en-GB"/>
        </w:rPr>
        <w:t>,</w:t>
      </w:r>
      <w:r w:rsidRPr="0064650F">
        <w:rPr>
          <w:rFonts w:eastAsia="SimSun"/>
          <w:lang w:eastAsia="en-GB"/>
        </w:rPr>
        <w:t xml:space="preserve"> to understand the most pressing challenges for that basin across the water, energy and food sectors</w:t>
      </w:r>
      <w:r w:rsidR="00D65CAD">
        <w:rPr>
          <w:rFonts w:eastAsia="SimSun"/>
          <w:lang w:eastAsia="en-GB"/>
        </w:rPr>
        <w:t>, as well as for the basin ecosystems</w:t>
      </w:r>
      <w:r w:rsidRPr="0064650F">
        <w:rPr>
          <w:rFonts w:eastAsia="SimSun"/>
          <w:lang w:eastAsia="en-GB"/>
        </w:rPr>
        <w:t xml:space="preserve">. These pressing challenges can be then </w:t>
      </w:r>
      <w:proofErr w:type="gramStart"/>
      <w:r w:rsidRPr="0064650F">
        <w:rPr>
          <w:rFonts w:eastAsia="SimSun"/>
          <w:lang w:eastAsia="en-GB"/>
        </w:rPr>
        <w:t>prioritized,</w:t>
      </w:r>
      <w:proofErr w:type="gramEnd"/>
      <w:r w:rsidRPr="0064650F">
        <w:rPr>
          <w:rFonts w:eastAsia="SimSun"/>
          <w:lang w:eastAsia="en-GB"/>
        </w:rPr>
        <w:t xml:space="preserve"> ideally engaging the administrations and other organi</w:t>
      </w:r>
      <w:r w:rsidR="00A135CF">
        <w:rPr>
          <w:rFonts w:eastAsia="SimSun"/>
          <w:lang w:eastAsia="en-GB"/>
        </w:rPr>
        <w:t>z</w:t>
      </w:r>
      <w:r w:rsidRPr="0064650F">
        <w:rPr>
          <w:rFonts w:eastAsia="SimSun"/>
          <w:lang w:eastAsia="en-GB"/>
        </w:rPr>
        <w:t xml:space="preserve">ations concerned, and a menu of possible actions to address the challenges can be proposed to inform various actors. A step-by-step methodology for carrying out a participatory assessment of the water-food-energy-ecosystems nexus in transboundary basins has been developed under the ECE </w:t>
      </w:r>
      <w:r w:rsidR="00A135CF">
        <w:rPr>
          <w:rFonts w:eastAsia="SimSun"/>
          <w:lang w:eastAsia="en-GB"/>
        </w:rPr>
        <w:t>Convention on the Protection and Use of Transboundary Watercourses and International Lakes</w:t>
      </w:r>
      <w:r w:rsidRPr="0064650F">
        <w:rPr>
          <w:rFonts w:eastAsia="SimSun"/>
          <w:lang w:eastAsia="en-GB"/>
        </w:rPr>
        <w:t xml:space="preserve"> and is available for wider application</w:t>
      </w:r>
      <w:r w:rsidR="005145F1" w:rsidRPr="0064650F">
        <w:rPr>
          <w:rFonts w:eastAsia="SimSun"/>
          <w:lang w:eastAsia="en-GB"/>
        </w:rPr>
        <w:t>.</w:t>
      </w:r>
      <w:r w:rsidR="005145F1" w:rsidRPr="0064650F">
        <w:rPr>
          <w:rStyle w:val="FootnoteReference"/>
          <w:rFonts w:eastAsia="SimSun"/>
          <w:lang w:eastAsia="en-GB"/>
        </w:rPr>
        <w:footnoteReference w:id="13"/>
      </w:r>
    </w:p>
    <w:tbl>
      <w:tblPr>
        <w:tblW w:w="8080" w:type="dxa"/>
        <w:tblInd w:w="1134" w:type="dxa"/>
        <w:tblLayout w:type="fixed"/>
        <w:tblCellMar>
          <w:left w:w="0" w:type="dxa"/>
          <w:right w:w="0" w:type="dxa"/>
        </w:tblCellMar>
        <w:tblLook w:val="04A0" w:firstRow="1" w:lastRow="0" w:firstColumn="1" w:lastColumn="0" w:noHBand="0" w:noVBand="1"/>
      </w:tblPr>
      <w:tblGrid>
        <w:gridCol w:w="8080"/>
      </w:tblGrid>
      <w:tr w:rsidR="005F6C8E" w:rsidRPr="0064650F" w:rsidTr="00CC4DE6">
        <w:trPr>
          <w:trHeight w:val="138"/>
        </w:trPr>
        <w:tc>
          <w:tcPr>
            <w:tcW w:w="8080" w:type="dxa"/>
            <w:shd w:val="clear" w:color="auto" w:fill="auto"/>
          </w:tcPr>
          <w:p w:rsidR="005F6C8E" w:rsidRPr="0064650F" w:rsidRDefault="002162BE" w:rsidP="00CC4DE6">
            <w:pPr>
              <w:ind w:right="1134"/>
              <w:rPr>
                <w:rFonts w:eastAsia="SimSun"/>
                <w:lang w:eastAsia="en-GB"/>
              </w:rPr>
            </w:pPr>
            <w:r w:rsidRPr="0064650F">
              <w:rPr>
                <w:rFonts w:eastAsia="SimSun"/>
                <w:lang w:eastAsia="en-GB"/>
              </w:rPr>
              <w:t xml:space="preserve">Figure </w:t>
            </w:r>
            <w:r w:rsidR="00C84D21" w:rsidRPr="0064650F">
              <w:rPr>
                <w:rFonts w:eastAsia="SimSun"/>
                <w:lang w:eastAsia="en-GB"/>
              </w:rPr>
              <w:t>4</w:t>
            </w:r>
            <w:r w:rsidR="00D06A8E">
              <w:rPr>
                <w:rFonts w:eastAsia="SimSun"/>
                <w:lang w:eastAsia="en-GB"/>
              </w:rPr>
              <w:br/>
            </w:r>
            <w:r w:rsidR="005F6C8E" w:rsidRPr="00FA6F27">
              <w:rPr>
                <w:rFonts w:eastAsia="SimSun"/>
                <w:b/>
                <w:lang w:eastAsia="en-GB"/>
              </w:rPr>
              <w:t>Nexus components</w:t>
            </w:r>
          </w:p>
        </w:tc>
      </w:tr>
      <w:tr w:rsidR="005F6C8E" w:rsidRPr="0064650F" w:rsidTr="00CC4DE6">
        <w:trPr>
          <w:trHeight w:val="6095"/>
        </w:trPr>
        <w:tc>
          <w:tcPr>
            <w:tcW w:w="8080" w:type="dxa"/>
            <w:shd w:val="clear" w:color="auto" w:fill="auto"/>
          </w:tcPr>
          <w:p w:rsidR="005F6C8E" w:rsidRPr="0064650F" w:rsidRDefault="005F6C8E" w:rsidP="005F6C8E">
            <w:pPr>
              <w:spacing w:after="120"/>
              <w:ind w:right="1134"/>
              <w:jc w:val="both"/>
              <w:rPr>
                <w:rFonts w:eastAsia="SimSun"/>
                <w:lang w:eastAsia="en-GB"/>
              </w:rPr>
            </w:pPr>
            <w:r w:rsidRPr="0064650F">
              <w:rPr>
                <w:rFonts w:eastAsia="SimSun"/>
                <w:noProof/>
                <w:lang w:eastAsia="en-GB"/>
              </w:rPr>
              <w:drawing>
                <wp:inline distT="0" distB="0" distL="0" distR="0" wp14:anchorId="377A5D9D" wp14:editId="6C66212E">
                  <wp:extent cx="5060950" cy="3916096"/>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5249" cy="3919422"/>
                          </a:xfrm>
                          <a:prstGeom prst="rect">
                            <a:avLst/>
                          </a:prstGeom>
                          <a:noFill/>
                          <a:ln>
                            <a:noFill/>
                          </a:ln>
                        </pic:spPr>
                      </pic:pic>
                    </a:graphicData>
                  </a:graphic>
                </wp:inline>
              </w:drawing>
            </w:r>
          </w:p>
        </w:tc>
      </w:tr>
      <w:tr w:rsidR="005F6C8E" w:rsidRPr="0064650F" w:rsidTr="00CC4DE6">
        <w:trPr>
          <w:trHeight w:val="345"/>
        </w:trPr>
        <w:tc>
          <w:tcPr>
            <w:tcW w:w="8080" w:type="dxa"/>
            <w:shd w:val="clear" w:color="auto" w:fill="auto"/>
          </w:tcPr>
          <w:p w:rsidR="005F6C8E" w:rsidRPr="00FA6F27" w:rsidRDefault="00D06A8E" w:rsidP="005F6C8E">
            <w:pPr>
              <w:spacing w:after="120"/>
              <w:ind w:right="1134"/>
              <w:jc w:val="both"/>
              <w:rPr>
                <w:rFonts w:eastAsia="SimSun"/>
                <w:sz w:val="18"/>
                <w:szCs w:val="18"/>
                <w:lang w:eastAsia="en-GB"/>
              </w:rPr>
            </w:pPr>
            <w:r>
              <w:rPr>
                <w:rFonts w:eastAsia="SimSun"/>
                <w:lang w:eastAsia="en-GB"/>
              </w:rPr>
              <w:t xml:space="preserve">   </w:t>
            </w:r>
            <w:r w:rsidR="005F6C8E" w:rsidRPr="00FA6F27">
              <w:rPr>
                <w:rFonts w:eastAsia="SimSun"/>
                <w:i/>
                <w:sz w:val="18"/>
                <w:szCs w:val="18"/>
                <w:lang w:eastAsia="en-GB"/>
              </w:rPr>
              <w:t>Source</w:t>
            </w:r>
            <w:r w:rsidR="005F6C8E" w:rsidRPr="00FA6F27">
              <w:rPr>
                <w:rFonts w:eastAsia="SimSun"/>
                <w:sz w:val="18"/>
                <w:szCs w:val="18"/>
                <w:lang w:eastAsia="en-GB"/>
              </w:rPr>
              <w:t>: ECE</w:t>
            </w:r>
            <w:r>
              <w:rPr>
                <w:rFonts w:eastAsia="SimSun"/>
                <w:sz w:val="18"/>
                <w:szCs w:val="18"/>
                <w:lang w:eastAsia="en-GB"/>
              </w:rPr>
              <w:t>.</w:t>
            </w:r>
          </w:p>
        </w:tc>
      </w:tr>
    </w:tbl>
    <w:p w:rsidR="005F6C8E" w:rsidRPr="0064650F" w:rsidRDefault="005F6C8E" w:rsidP="00BA3954">
      <w:pPr>
        <w:pStyle w:val="SingleTxtG"/>
        <w:spacing w:before="240"/>
        <w:rPr>
          <w:rFonts w:eastAsia="SimSun"/>
          <w:lang w:eastAsia="en-GB"/>
        </w:rPr>
      </w:pPr>
      <w:r w:rsidRPr="0064650F">
        <w:rPr>
          <w:rFonts w:eastAsia="SimSun"/>
          <w:lang w:eastAsia="en-GB"/>
        </w:rPr>
        <w:lastRenderedPageBreak/>
        <w:t>4</w:t>
      </w:r>
      <w:r w:rsidR="003E7C8C" w:rsidRPr="0064650F">
        <w:rPr>
          <w:rFonts w:eastAsia="SimSun"/>
          <w:lang w:eastAsia="en-GB"/>
        </w:rPr>
        <w:t>5</w:t>
      </w:r>
      <w:r w:rsidRPr="0064650F">
        <w:rPr>
          <w:rFonts w:eastAsia="SimSun"/>
          <w:lang w:eastAsia="en-GB"/>
        </w:rPr>
        <w:t>.</w:t>
      </w:r>
      <w:r w:rsidRPr="0064650F">
        <w:rPr>
          <w:rFonts w:eastAsia="SimSun"/>
          <w:lang w:eastAsia="en-GB"/>
        </w:rPr>
        <w:tab/>
        <w:t xml:space="preserve">The nexus analysis is </w:t>
      </w:r>
      <w:r w:rsidR="00D65CAD">
        <w:rPr>
          <w:rFonts w:eastAsia="SimSun"/>
          <w:lang w:eastAsia="en-GB"/>
        </w:rPr>
        <w:t xml:space="preserve">also </w:t>
      </w:r>
      <w:r w:rsidRPr="0064650F">
        <w:rPr>
          <w:rFonts w:eastAsia="SimSun"/>
          <w:lang w:eastAsia="en-GB"/>
        </w:rPr>
        <w:t xml:space="preserve">a challenging undertaking, because there are </w:t>
      </w:r>
      <w:r w:rsidR="00D65CAD">
        <w:rPr>
          <w:rFonts w:eastAsia="SimSun"/>
          <w:lang w:eastAsia="en-GB"/>
        </w:rPr>
        <w:t xml:space="preserve">frequently </w:t>
      </w:r>
      <w:r w:rsidRPr="0064650F">
        <w:rPr>
          <w:rFonts w:eastAsia="SimSun"/>
          <w:lang w:eastAsia="en-GB"/>
        </w:rPr>
        <w:t>gaps in data and information necessary for the analysis</w:t>
      </w:r>
      <w:r w:rsidR="003E248A">
        <w:rPr>
          <w:rFonts w:eastAsia="SimSun"/>
          <w:lang w:eastAsia="en-GB"/>
        </w:rPr>
        <w:t>,</w:t>
      </w:r>
      <w:r w:rsidRPr="0064650F">
        <w:rPr>
          <w:rFonts w:eastAsia="SimSun"/>
          <w:lang w:eastAsia="en-GB"/>
        </w:rPr>
        <w:t xml:space="preserve"> or the access to such data and analysis is limited. </w:t>
      </w:r>
      <w:r w:rsidR="00D65CAD">
        <w:rPr>
          <w:rFonts w:eastAsia="SimSun"/>
          <w:lang w:eastAsia="en-GB"/>
        </w:rPr>
        <w:t xml:space="preserve">A </w:t>
      </w:r>
      <w:r w:rsidRPr="0064650F">
        <w:rPr>
          <w:rFonts w:eastAsia="SimSun"/>
          <w:lang w:eastAsia="en-GB"/>
        </w:rPr>
        <w:t xml:space="preserve">successful nexus analysis </w:t>
      </w:r>
      <w:r w:rsidR="003E248A">
        <w:rPr>
          <w:rFonts w:eastAsia="SimSun"/>
          <w:lang w:eastAsia="en-GB"/>
        </w:rPr>
        <w:t xml:space="preserve">— </w:t>
      </w:r>
      <w:r w:rsidRPr="0064650F">
        <w:rPr>
          <w:rFonts w:eastAsia="SimSun"/>
          <w:lang w:eastAsia="en-GB"/>
        </w:rPr>
        <w:t xml:space="preserve">but also the management response </w:t>
      </w:r>
      <w:r w:rsidR="003E248A">
        <w:rPr>
          <w:rFonts w:eastAsia="SimSun"/>
          <w:lang w:eastAsia="en-GB"/>
        </w:rPr>
        <w:t xml:space="preserve">— </w:t>
      </w:r>
      <w:r w:rsidRPr="0064650F">
        <w:rPr>
          <w:rFonts w:eastAsia="SimSun"/>
          <w:lang w:eastAsia="en-GB"/>
        </w:rPr>
        <w:t>benefit</w:t>
      </w:r>
      <w:r w:rsidR="00D65CAD">
        <w:rPr>
          <w:rFonts w:eastAsia="SimSun"/>
          <w:lang w:eastAsia="en-GB"/>
        </w:rPr>
        <w:t>s</w:t>
      </w:r>
      <w:r w:rsidRPr="0064650F">
        <w:rPr>
          <w:rFonts w:eastAsia="SimSun"/>
          <w:lang w:eastAsia="en-GB"/>
        </w:rPr>
        <w:t xml:space="preserve"> from good cross-sectoral dialogue and communication, also to promote </w:t>
      </w:r>
      <w:r w:rsidR="00D65CAD">
        <w:rPr>
          <w:rFonts w:eastAsia="SimSun"/>
          <w:lang w:eastAsia="en-GB"/>
        </w:rPr>
        <w:t xml:space="preserve">an </w:t>
      </w:r>
      <w:r w:rsidRPr="0064650F">
        <w:rPr>
          <w:rFonts w:eastAsia="SimSun"/>
          <w:lang w:eastAsia="en-GB"/>
        </w:rPr>
        <w:t xml:space="preserve">understanding of </w:t>
      </w:r>
      <w:r w:rsidR="003E248A">
        <w:rPr>
          <w:rFonts w:eastAsia="SimSun"/>
          <w:lang w:eastAsia="en-GB"/>
        </w:rPr>
        <w:t xml:space="preserve">the </w:t>
      </w:r>
      <w:r w:rsidRPr="0064650F">
        <w:rPr>
          <w:rFonts w:eastAsia="SimSun"/>
          <w:lang w:eastAsia="en-GB"/>
        </w:rPr>
        <w:t xml:space="preserve">needs and risks related to other sectors. Frameworks for cooperation such as agreements and arrangements with a multisectoral scope facilitate putting into practice an intersectoral (or a nexus) approach. Such practical applications can also </w:t>
      </w:r>
      <w:r w:rsidR="003E248A">
        <w:rPr>
          <w:rFonts w:eastAsia="SimSun"/>
          <w:lang w:eastAsia="en-GB"/>
        </w:rPr>
        <w:t xml:space="preserve">be </w:t>
      </w:r>
      <w:r w:rsidRPr="0064650F">
        <w:rPr>
          <w:rFonts w:eastAsia="SimSun"/>
          <w:lang w:eastAsia="en-GB"/>
        </w:rPr>
        <w:t xml:space="preserve">strengthened through regulations requiring </w:t>
      </w:r>
      <w:r w:rsidR="003E248A">
        <w:rPr>
          <w:rFonts w:eastAsia="SimSun"/>
          <w:lang w:eastAsia="en-GB"/>
        </w:rPr>
        <w:t xml:space="preserve">the </w:t>
      </w:r>
      <w:r w:rsidRPr="0064650F">
        <w:rPr>
          <w:rFonts w:eastAsia="SimSun"/>
          <w:lang w:eastAsia="en-GB"/>
        </w:rPr>
        <w:t xml:space="preserve">assessment of </w:t>
      </w:r>
      <w:r w:rsidR="003E248A">
        <w:rPr>
          <w:rFonts w:eastAsia="SimSun"/>
          <w:lang w:eastAsia="en-GB"/>
        </w:rPr>
        <w:t xml:space="preserve">the </w:t>
      </w:r>
      <w:r w:rsidRPr="0064650F">
        <w:rPr>
          <w:rFonts w:eastAsia="SimSun"/>
          <w:lang w:eastAsia="en-GB"/>
        </w:rPr>
        <w:t xml:space="preserve">impact </w:t>
      </w:r>
      <w:r w:rsidR="003E248A">
        <w:rPr>
          <w:rFonts w:eastAsia="SimSun"/>
          <w:lang w:eastAsia="en-GB"/>
        </w:rPr>
        <w:t xml:space="preserve">of </w:t>
      </w:r>
      <w:r w:rsidRPr="0064650F">
        <w:rPr>
          <w:rFonts w:eastAsia="SimSun"/>
          <w:lang w:eastAsia="en-GB"/>
        </w:rPr>
        <w:t>plans and policies</w:t>
      </w:r>
      <w:r w:rsidR="00D65CAD">
        <w:rPr>
          <w:rFonts w:eastAsia="SimSun"/>
          <w:lang w:eastAsia="en-GB"/>
        </w:rPr>
        <w:t>,</w:t>
      </w:r>
      <w:r w:rsidRPr="0064650F">
        <w:rPr>
          <w:rFonts w:eastAsia="SimSun"/>
          <w:lang w:eastAsia="en-GB"/>
        </w:rPr>
        <w:t xml:space="preserve"> such as</w:t>
      </w:r>
      <w:r w:rsidR="00D65CAD">
        <w:rPr>
          <w:rFonts w:eastAsia="SimSun"/>
          <w:lang w:eastAsia="en-GB"/>
        </w:rPr>
        <w:t xml:space="preserve"> </w:t>
      </w:r>
      <w:r w:rsidRPr="0064650F">
        <w:rPr>
          <w:rFonts w:eastAsia="SimSun"/>
          <w:lang w:eastAsia="en-GB"/>
        </w:rPr>
        <w:t>strategic environmental assessment</w:t>
      </w:r>
      <w:r w:rsidR="003E248A">
        <w:rPr>
          <w:rFonts w:eastAsia="SimSun"/>
          <w:lang w:eastAsia="en-GB"/>
        </w:rPr>
        <w:t>s</w:t>
      </w:r>
      <w:r w:rsidRPr="0064650F">
        <w:rPr>
          <w:rFonts w:eastAsia="SimSun"/>
          <w:lang w:eastAsia="en-GB"/>
        </w:rPr>
        <w:t>.</w:t>
      </w:r>
    </w:p>
    <w:p w:rsidR="005F6C8E" w:rsidRPr="0064650F" w:rsidRDefault="001E4122" w:rsidP="00841760">
      <w:pPr>
        <w:pStyle w:val="H23G"/>
        <w:rPr>
          <w:rFonts w:eastAsia="SimSun"/>
          <w:lang w:eastAsia="en-GB"/>
        </w:rPr>
      </w:pPr>
      <w:r>
        <w:rPr>
          <w:rFonts w:eastAsia="SimSun"/>
          <w:lang w:eastAsia="en-GB"/>
        </w:rPr>
        <w:tab/>
      </w:r>
      <w:r>
        <w:rPr>
          <w:rFonts w:eastAsia="SimSun"/>
          <w:lang w:eastAsia="en-GB"/>
        </w:rPr>
        <w:tab/>
      </w:r>
      <w:r w:rsidR="005F6C8E" w:rsidRPr="0064650F">
        <w:rPr>
          <w:rFonts w:eastAsia="SimSun"/>
          <w:lang w:eastAsia="en-GB"/>
        </w:rPr>
        <w:t>Spatial/city planning</w:t>
      </w:r>
    </w:p>
    <w:p w:rsidR="005F6C8E" w:rsidRPr="0064650F" w:rsidRDefault="005F6C8E" w:rsidP="00C415F0">
      <w:pPr>
        <w:pStyle w:val="SingleTxtG"/>
        <w:rPr>
          <w:rFonts w:eastAsia="SimSun"/>
          <w:lang w:eastAsia="en-GB"/>
        </w:rPr>
      </w:pPr>
      <w:r w:rsidRPr="0064650F">
        <w:rPr>
          <w:rFonts w:eastAsia="SimSun"/>
          <w:lang w:eastAsia="en-GB"/>
        </w:rPr>
        <w:t>4</w:t>
      </w:r>
      <w:r w:rsidR="003E7C8C" w:rsidRPr="0064650F">
        <w:rPr>
          <w:rFonts w:eastAsia="SimSun"/>
          <w:lang w:eastAsia="en-GB"/>
        </w:rPr>
        <w:t>6</w:t>
      </w:r>
      <w:r w:rsidRPr="0064650F">
        <w:rPr>
          <w:rFonts w:eastAsia="SimSun"/>
          <w:lang w:eastAsia="en-GB"/>
        </w:rPr>
        <w:t>.</w:t>
      </w:r>
      <w:r w:rsidRPr="0064650F">
        <w:rPr>
          <w:rFonts w:eastAsia="SimSun"/>
          <w:lang w:eastAsia="en-GB"/>
        </w:rPr>
        <w:tab/>
        <w:t>The pressure on resources could be curbed if urban infrastructures, on which production and consumption system</w:t>
      </w:r>
      <w:r w:rsidR="003E248A">
        <w:rPr>
          <w:rFonts w:eastAsia="SimSun"/>
          <w:lang w:eastAsia="en-GB"/>
        </w:rPr>
        <w:t>s</w:t>
      </w:r>
      <w:r w:rsidRPr="0064650F">
        <w:rPr>
          <w:rFonts w:eastAsia="SimSun"/>
          <w:lang w:eastAsia="en-GB"/>
        </w:rPr>
        <w:t xml:space="preserve"> are dependent, are configured appropriately to deploy, us</w:t>
      </w:r>
      <w:r w:rsidR="00D65CAD">
        <w:rPr>
          <w:rFonts w:eastAsia="SimSun"/>
          <w:lang w:eastAsia="en-GB"/>
        </w:rPr>
        <w:t>e</w:t>
      </w:r>
      <w:r w:rsidRPr="0064650F">
        <w:rPr>
          <w:rFonts w:eastAsia="SimSun"/>
          <w:lang w:eastAsia="en-GB"/>
        </w:rPr>
        <w:t xml:space="preserve"> and reus</w:t>
      </w:r>
      <w:r w:rsidR="00D65CAD">
        <w:rPr>
          <w:rFonts w:eastAsia="SimSun"/>
          <w:lang w:eastAsia="en-GB"/>
        </w:rPr>
        <w:t>e</w:t>
      </w:r>
      <w:r w:rsidRPr="0064650F">
        <w:rPr>
          <w:rFonts w:eastAsia="SimSun"/>
          <w:lang w:eastAsia="en-GB"/>
        </w:rPr>
        <w:t xml:space="preserve"> resources in an efficient way. Today, however, the urban infrastructure in many cities </w:t>
      </w:r>
      <w:r w:rsidR="003E248A">
        <w:rPr>
          <w:rFonts w:eastAsia="SimSun"/>
          <w:lang w:eastAsia="en-GB"/>
        </w:rPr>
        <w:t xml:space="preserve">is </w:t>
      </w:r>
      <w:r w:rsidRPr="0064650F">
        <w:rPr>
          <w:rFonts w:eastAsia="SimSun"/>
          <w:lang w:eastAsia="en-GB"/>
        </w:rPr>
        <w:t xml:space="preserve">inadequate (developing cities) or inappropriately configured (developed cites) from a sustainable resource use perspective. This has often </w:t>
      </w:r>
      <w:r w:rsidR="003E248A">
        <w:rPr>
          <w:rFonts w:eastAsia="SimSun"/>
          <w:lang w:eastAsia="en-GB"/>
        </w:rPr>
        <w:t xml:space="preserve">been </w:t>
      </w:r>
      <w:r w:rsidRPr="0064650F">
        <w:rPr>
          <w:rFonts w:eastAsia="SimSun"/>
          <w:lang w:eastAsia="en-GB"/>
        </w:rPr>
        <w:t>caused by rapid urban development in many</w:t>
      </w:r>
      <w:r w:rsidR="003E248A">
        <w:rPr>
          <w:rFonts w:eastAsia="SimSun"/>
          <w:lang w:eastAsia="en-GB"/>
        </w:rPr>
        <w:t>,</w:t>
      </w:r>
      <w:r w:rsidRPr="0064650F">
        <w:rPr>
          <w:rFonts w:eastAsia="SimSun"/>
          <w:lang w:eastAsia="en-GB"/>
        </w:rPr>
        <w:t xml:space="preserve"> especially developing</w:t>
      </w:r>
      <w:r w:rsidR="003E248A">
        <w:rPr>
          <w:rFonts w:eastAsia="SimSun"/>
          <w:lang w:eastAsia="en-GB"/>
        </w:rPr>
        <w:t>,</w:t>
      </w:r>
      <w:r w:rsidRPr="0064650F">
        <w:rPr>
          <w:rFonts w:eastAsia="SimSun"/>
          <w:lang w:eastAsia="en-GB"/>
        </w:rPr>
        <w:t xml:space="preserve"> countries and </w:t>
      </w:r>
      <w:r w:rsidR="003E248A">
        <w:rPr>
          <w:rFonts w:eastAsia="SimSun"/>
          <w:lang w:eastAsia="en-GB"/>
        </w:rPr>
        <w:t xml:space="preserve">the </w:t>
      </w:r>
      <w:r w:rsidR="00BD10C9">
        <w:rPr>
          <w:rFonts w:eastAsia="SimSun"/>
          <w:lang w:eastAsia="en-GB"/>
        </w:rPr>
        <w:t xml:space="preserve">resultant </w:t>
      </w:r>
      <w:r w:rsidRPr="0064650F">
        <w:rPr>
          <w:rFonts w:eastAsia="SimSun"/>
          <w:lang w:eastAsia="en-GB"/>
        </w:rPr>
        <w:t>urban sprawl</w:t>
      </w:r>
      <w:r w:rsidR="00D65CAD">
        <w:rPr>
          <w:rFonts w:eastAsia="SimSun"/>
          <w:lang w:eastAsia="en-GB"/>
        </w:rPr>
        <w:t>,</w:t>
      </w:r>
      <w:r w:rsidRPr="0064650F">
        <w:rPr>
          <w:rFonts w:eastAsia="SimSun"/>
          <w:lang w:eastAsia="en-GB"/>
        </w:rPr>
        <w:t xml:space="preserve"> </w:t>
      </w:r>
      <w:r w:rsidR="00BD10C9">
        <w:rPr>
          <w:rFonts w:eastAsia="SimSun"/>
          <w:lang w:eastAsia="en-GB"/>
        </w:rPr>
        <w:t xml:space="preserve">with </w:t>
      </w:r>
      <w:r w:rsidR="003E248A">
        <w:rPr>
          <w:rFonts w:eastAsia="SimSun"/>
          <w:lang w:eastAsia="en-GB"/>
        </w:rPr>
        <w:t xml:space="preserve">the </w:t>
      </w:r>
      <w:r w:rsidRPr="0064650F">
        <w:rPr>
          <w:rFonts w:eastAsia="SimSun"/>
          <w:lang w:eastAsia="en-GB"/>
        </w:rPr>
        <w:t>unplanned extension of the cities and their infrastructure.</w:t>
      </w:r>
    </w:p>
    <w:p w:rsidR="005F6C8E" w:rsidRPr="0064650F" w:rsidRDefault="005F6C8E" w:rsidP="00C415F0">
      <w:pPr>
        <w:pStyle w:val="SingleTxtG"/>
        <w:rPr>
          <w:rFonts w:eastAsia="SimSun"/>
          <w:lang w:eastAsia="en-GB"/>
        </w:rPr>
      </w:pPr>
      <w:r w:rsidRPr="0064650F">
        <w:rPr>
          <w:rFonts w:eastAsia="SimSun"/>
          <w:lang w:eastAsia="en-GB"/>
        </w:rPr>
        <w:t>4</w:t>
      </w:r>
      <w:r w:rsidR="003E7C8C" w:rsidRPr="0064650F">
        <w:rPr>
          <w:rFonts w:eastAsia="SimSun"/>
          <w:lang w:eastAsia="en-GB"/>
        </w:rPr>
        <w:t>7</w:t>
      </w:r>
      <w:r w:rsidRPr="0064650F">
        <w:rPr>
          <w:rFonts w:eastAsia="SimSun"/>
          <w:lang w:eastAsia="en-GB"/>
        </w:rPr>
        <w:t>.</w:t>
      </w:r>
      <w:r w:rsidRPr="0064650F">
        <w:rPr>
          <w:rFonts w:eastAsia="SimSun"/>
          <w:lang w:eastAsia="en-GB"/>
        </w:rPr>
        <w:tab/>
        <w:t xml:space="preserve">Today, compact and structured urban growth based on integrated and strategic planning should be at the heart of city development. Such planning should promote, among others, compact city development, mixed use of land, as well as an increase in green and public spaces. </w:t>
      </w:r>
    </w:p>
    <w:p w:rsidR="005F6C8E" w:rsidRPr="0064650F" w:rsidRDefault="003E7C8C" w:rsidP="00C415F0">
      <w:pPr>
        <w:pStyle w:val="SingleTxtG"/>
        <w:rPr>
          <w:rFonts w:eastAsia="SimSun"/>
          <w:lang w:eastAsia="en-GB"/>
        </w:rPr>
      </w:pPr>
      <w:r w:rsidRPr="0064650F">
        <w:rPr>
          <w:rFonts w:eastAsia="SimSun"/>
          <w:lang w:eastAsia="en-GB"/>
        </w:rPr>
        <w:t>48</w:t>
      </w:r>
      <w:r w:rsidR="005F6C8E" w:rsidRPr="0064650F">
        <w:rPr>
          <w:rFonts w:eastAsia="SimSun"/>
          <w:lang w:eastAsia="en-GB"/>
        </w:rPr>
        <w:t>.</w:t>
      </w:r>
      <w:r w:rsidR="005F6C8E" w:rsidRPr="0064650F">
        <w:rPr>
          <w:rFonts w:eastAsia="SimSun"/>
          <w:lang w:eastAsia="en-GB"/>
        </w:rPr>
        <w:tab/>
        <w:t xml:space="preserve">A good regulatory system and governance adapted to the local context are critical in pursuing effective city planning in support of </w:t>
      </w:r>
      <w:r w:rsidR="00BD10C9">
        <w:rPr>
          <w:rFonts w:eastAsia="SimSun"/>
          <w:lang w:eastAsia="en-GB"/>
        </w:rPr>
        <w:t xml:space="preserve">the </w:t>
      </w:r>
      <w:r w:rsidR="005F6C8E" w:rsidRPr="0064650F">
        <w:rPr>
          <w:rFonts w:eastAsia="SimSun"/>
          <w:lang w:eastAsia="en-GB"/>
        </w:rPr>
        <w:t xml:space="preserve">efficient use of resources. Cooperation and partnerships between municipalities and national </w:t>
      </w:r>
      <w:r w:rsidR="00BD10C9">
        <w:rPr>
          <w:rFonts w:eastAsia="SimSun"/>
          <w:lang w:eastAsia="en-GB"/>
        </w:rPr>
        <w:t>G</w:t>
      </w:r>
      <w:r w:rsidR="005F6C8E" w:rsidRPr="0064650F">
        <w:rPr>
          <w:rFonts w:eastAsia="SimSun"/>
          <w:lang w:eastAsia="en-GB"/>
        </w:rPr>
        <w:t>overnments in urban planning and management should be strengthened. Also</w:t>
      </w:r>
      <w:r w:rsidR="00BD10C9">
        <w:rPr>
          <w:rFonts w:eastAsia="SimSun"/>
          <w:lang w:eastAsia="en-GB"/>
        </w:rPr>
        <w:t>,</w:t>
      </w:r>
      <w:r w:rsidR="005F6C8E" w:rsidRPr="0064650F">
        <w:rPr>
          <w:rFonts w:eastAsia="SimSun"/>
          <w:lang w:eastAsia="en-GB"/>
        </w:rPr>
        <w:t xml:space="preserve"> urban planners and local decision makers need to be equipped with adequate knowledge for effective city planning. Again, regulations requiring assessments of impacts from plans and policies</w:t>
      </w:r>
      <w:r w:rsidR="00BD10C9">
        <w:rPr>
          <w:rFonts w:eastAsia="SimSun"/>
          <w:lang w:eastAsia="en-GB"/>
        </w:rPr>
        <w:t>,</w:t>
      </w:r>
      <w:r w:rsidR="005F6C8E" w:rsidRPr="0064650F">
        <w:rPr>
          <w:rFonts w:eastAsia="SimSun"/>
          <w:lang w:eastAsia="en-GB"/>
        </w:rPr>
        <w:t xml:space="preserve"> such as strategic environmental assessment, can be very useful in this context.    </w:t>
      </w:r>
    </w:p>
    <w:p w:rsidR="005F6C8E" w:rsidRPr="0064650F" w:rsidRDefault="001E4122" w:rsidP="00C3338D">
      <w:pPr>
        <w:pStyle w:val="H23G"/>
      </w:pPr>
      <w:r>
        <w:rPr>
          <w:rFonts w:eastAsia="SimSun"/>
          <w:lang w:eastAsia="en-GB"/>
        </w:rPr>
        <w:tab/>
      </w:r>
      <w:r>
        <w:rPr>
          <w:rFonts w:eastAsia="SimSun"/>
          <w:lang w:eastAsia="en-GB"/>
        </w:rPr>
        <w:tab/>
      </w:r>
      <w:r w:rsidR="005F6C8E" w:rsidRPr="0064650F">
        <w:rPr>
          <w:rFonts w:eastAsia="SimSun"/>
          <w:lang w:eastAsia="en-GB"/>
        </w:rPr>
        <w:t xml:space="preserve">Circular </w:t>
      </w:r>
      <w:r>
        <w:rPr>
          <w:rFonts w:eastAsia="SimSun"/>
          <w:lang w:eastAsia="en-GB"/>
        </w:rPr>
        <w:t>e</w:t>
      </w:r>
      <w:r w:rsidR="005F6C8E" w:rsidRPr="0064650F">
        <w:rPr>
          <w:rFonts w:eastAsia="SimSun"/>
          <w:lang w:eastAsia="en-GB"/>
        </w:rPr>
        <w:t>conomy</w:t>
      </w:r>
      <w:r w:rsidR="005F6C8E" w:rsidRPr="00C3338D">
        <w:rPr>
          <w:rFonts w:ascii="Times New Roman Bold" w:hAnsi="Times New Roman Bold"/>
        </w:rPr>
        <w:t xml:space="preserve"> </w:t>
      </w:r>
    </w:p>
    <w:p w:rsidR="005F6C8E" w:rsidRPr="0064650F" w:rsidRDefault="003E7C8C" w:rsidP="00C415F0">
      <w:pPr>
        <w:pStyle w:val="SingleTxtG"/>
        <w:rPr>
          <w:rFonts w:eastAsia="SimSun"/>
          <w:lang w:eastAsia="en-GB"/>
        </w:rPr>
      </w:pPr>
      <w:r w:rsidRPr="0064650F">
        <w:rPr>
          <w:rFonts w:eastAsia="SimSun"/>
          <w:lang w:eastAsia="en-GB"/>
        </w:rPr>
        <w:t>49</w:t>
      </w:r>
      <w:r w:rsidR="005F6C8E" w:rsidRPr="0064650F">
        <w:rPr>
          <w:rFonts w:eastAsia="SimSun"/>
          <w:lang w:eastAsia="en-GB"/>
        </w:rPr>
        <w:t>.</w:t>
      </w:r>
      <w:r w:rsidR="005F6C8E" w:rsidRPr="0064650F">
        <w:rPr>
          <w:rFonts w:eastAsia="SimSun"/>
          <w:lang w:eastAsia="en-GB"/>
        </w:rPr>
        <w:tab/>
        <w:t xml:space="preserve">At the centre of the circular economy approach, which addresses all stages of </w:t>
      </w:r>
      <w:r w:rsidR="008C3959">
        <w:rPr>
          <w:rFonts w:eastAsia="SimSun"/>
          <w:lang w:eastAsia="en-GB"/>
        </w:rPr>
        <w:t xml:space="preserve">the </w:t>
      </w:r>
      <w:r w:rsidR="005F6C8E" w:rsidRPr="0064650F">
        <w:rPr>
          <w:rFonts w:eastAsia="SimSun"/>
          <w:lang w:eastAsia="en-GB"/>
        </w:rPr>
        <w:t>flow of materials, is the improvement of product design in such a way that the materials used for products can be reused again with minimal energy needed for reprocessing. Waste is also reduced with this approach</w:t>
      </w:r>
      <w:r w:rsidR="008C3959">
        <w:rPr>
          <w:rFonts w:eastAsia="SimSun"/>
          <w:lang w:eastAsia="en-GB"/>
        </w:rPr>
        <w:t>,</w:t>
      </w:r>
      <w:r w:rsidR="005F6C8E" w:rsidRPr="0064650F">
        <w:rPr>
          <w:rFonts w:eastAsia="SimSun"/>
          <w:lang w:eastAsia="en-GB"/>
        </w:rPr>
        <w:t xml:space="preserve"> </w:t>
      </w:r>
      <w:r w:rsidR="008C3959">
        <w:rPr>
          <w:rFonts w:eastAsia="SimSun"/>
          <w:lang w:eastAsia="en-GB"/>
        </w:rPr>
        <w:t xml:space="preserve">which </w:t>
      </w:r>
      <w:r w:rsidR="005F6C8E" w:rsidRPr="0064650F">
        <w:rPr>
          <w:rFonts w:eastAsia="SimSun"/>
          <w:lang w:eastAsia="en-GB"/>
        </w:rPr>
        <w:t>promotes reusing, repairing, refurbishing and recycling</w:t>
      </w:r>
      <w:r w:rsidR="008C3959">
        <w:rPr>
          <w:rFonts w:eastAsia="SimSun"/>
          <w:lang w:eastAsia="en-GB"/>
        </w:rPr>
        <w:t xml:space="preserve"> </w:t>
      </w:r>
      <w:r w:rsidR="005F6C8E" w:rsidRPr="0064650F">
        <w:rPr>
          <w:rFonts w:eastAsia="SimSun"/>
          <w:lang w:eastAsia="en-GB"/>
        </w:rPr>
        <w:t>existing materials and products.</w:t>
      </w:r>
    </w:p>
    <w:p w:rsidR="005F6C8E" w:rsidRPr="0064650F" w:rsidRDefault="005F6C8E" w:rsidP="00C415F0">
      <w:pPr>
        <w:pStyle w:val="SingleTxtG"/>
        <w:rPr>
          <w:rFonts w:eastAsia="SimSun"/>
          <w:lang w:eastAsia="en-GB"/>
        </w:rPr>
      </w:pPr>
      <w:r w:rsidRPr="0064650F">
        <w:rPr>
          <w:rFonts w:eastAsia="SimSun"/>
          <w:lang w:eastAsia="en-GB"/>
        </w:rPr>
        <w:t>5</w:t>
      </w:r>
      <w:r w:rsidR="003E7C8C" w:rsidRPr="0064650F">
        <w:rPr>
          <w:rFonts w:eastAsia="SimSun"/>
          <w:lang w:eastAsia="en-GB"/>
        </w:rPr>
        <w:t>0</w:t>
      </w:r>
      <w:r w:rsidRPr="0064650F">
        <w:rPr>
          <w:rFonts w:eastAsia="SimSun"/>
          <w:lang w:eastAsia="en-GB"/>
        </w:rPr>
        <w:t>.</w:t>
      </w:r>
      <w:r w:rsidRPr="0064650F">
        <w:rPr>
          <w:rFonts w:eastAsia="SimSun"/>
          <w:lang w:eastAsia="en-GB"/>
        </w:rPr>
        <w:tab/>
        <w:t>In the automobile industry, vehicles are designed in such a way that 75</w:t>
      </w:r>
      <w:r w:rsidR="008C3959">
        <w:rPr>
          <w:rFonts w:eastAsia="SimSun"/>
          <w:lang w:eastAsia="en-GB"/>
        </w:rPr>
        <w:t xml:space="preserve"> per cent</w:t>
      </w:r>
      <w:r w:rsidRPr="0064650F">
        <w:rPr>
          <w:rFonts w:eastAsia="SimSun"/>
          <w:lang w:eastAsia="en-GB"/>
        </w:rPr>
        <w:t xml:space="preserve"> of the materials used in their production can be recycled today. The end-of-life vehicles are shredded and metals and polymers are recovered. In this way not only </w:t>
      </w:r>
      <w:r w:rsidR="008C3959">
        <w:rPr>
          <w:rFonts w:eastAsia="SimSun"/>
          <w:lang w:eastAsia="en-GB"/>
        </w:rPr>
        <w:t xml:space="preserve">are </w:t>
      </w:r>
      <w:r w:rsidRPr="0064650F">
        <w:rPr>
          <w:rFonts w:eastAsia="SimSun"/>
          <w:lang w:eastAsia="en-GB"/>
        </w:rPr>
        <w:t xml:space="preserve">recovered metals used for new products, but energy is </w:t>
      </w:r>
      <w:r w:rsidR="008C3959">
        <w:rPr>
          <w:rFonts w:eastAsia="SimSun"/>
          <w:lang w:eastAsia="en-GB"/>
        </w:rPr>
        <w:t xml:space="preserve">also </w:t>
      </w:r>
      <w:r w:rsidRPr="0064650F">
        <w:rPr>
          <w:rFonts w:eastAsia="SimSun"/>
          <w:lang w:eastAsia="en-GB"/>
        </w:rPr>
        <w:t xml:space="preserve">saved. According to </w:t>
      </w:r>
      <w:r w:rsidR="008C3959">
        <w:rPr>
          <w:rFonts w:eastAsia="SimSun"/>
          <w:lang w:eastAsia="en-GB"/>
        </w:rPr>
        <w:t xml:space="preserve">the </w:t>
      </w:r>
      <w:r w:rsidRPr="0064650F">
        <w:rPr>
          <w:rFonts w:eastAsia="SimSun"/>
          <w:lang w:eastAsia="en-GB"/>
        </w:rPr>
        <w:t xml:space="preserve">Steel Recycling Institute, </w:t>
      </w:r>
      <w:r w:rsidR="008C3959">
        <w:rPr>
          <w:rFonts w:eastAsia="SimSun"/>
          <w:lang w:eastAsia="en-GB"/>
        </w:rPr>
        <w:t xml:space="preserve">the United States </w:t>
      </w:r>
      <w:r w:rsidRPr="0064650F">
        <w:rPr>
          <w:rFonts w:eastAsia="SimSun"/>
          <w:lang w:eastAsia="en-GB"/>
        </w:rPr>
        <w:t xml:space="preserve">steel industry alone, by recycling steel, </w:t>
      </w:r>
      <w:r w:rsidR="008C3959">
        <w:rPr>
          <w:rFonts w:eastAsia="SimSun"/>
          <w:lang w:eastAsia="en-GB"/>
        </w:rPr>
        <w:t xml:space="preserve">annually </w:t>
      </w:r>
      <w:r w:rsidRPr="0064650F">
        <w:rPr>
          <w:rFonts w:eastAsia="SimSun"/>
          <w:lang w:eastAsia="en-GB"/>
        </w:rPr>
        <w:t xml:space="preserve">saves </w:t>
      </w:r>
      <w:r w:rsidR="008C3959">
        <w:rPr>
          <w:rFonts w:eastAsia="SimSun"/>
          <w:lang w:eastAsia="en-GB"/>
        </w:rPr>
        <w:t xml:space="preserve">enough </w:t>
      </w:r>
      <w:r w:rsidRPr="0064650F">
        <w:rPr>
          <w:rFonts w:eastAsia="SimSun"/>
          <w:lang w:eastAsia="en-GB"/>
        </w:rPr>
        <w:t xml:space="preserve">energy to power about 18 million households for a year.   </w:t>
      </w:r>
    </w:p>
    <w:p w:rsidR="005F6C8E" w:rsidRPr="0064650F" w:rsidRDefault="005F6C8E" w:rsidP="00C415F0">
      <w:pPr>
        <w:pStyle w:val="SingleTxtG"/>
        <w:rPr>
          <w:rFonts w:eastAsia="SimSun"/>
          <w:lang w:eastAsia="en-GB"/>
        </w:rPr>
      </w:pPr>
      <w:r w:rsidRPr="0064650F">
        <w:rPr>
          <w:rFonts w:eastAsia="SimSun"/>
          <w:lang w:eastAsia="en-GB"/>
        </w:rPr>
        <w:t>5</w:t>
      </w:r>
      <w:r w:rsidR="003E7C8C" w:rsidRPr="0064650F">
        <w:rPr>
          <w:rFonts w:eastAsia="SimSun"/>
          <w:lang w:eastAsia="en-GB"/>
        </w:rPr>
        <w:t>1</w:t>
      </w:r>
      <w:r w:rsidRPr="0064650F">
        <w:rPr>
          <w:rFonts w:eastAsia="SimSun"/>
          <w:lang w:eastAsia="en-GB"/>
        </w:rPr>
        <w:t>.</w:t>
      </w:r>
      <w:r w:rsidRPr="0064650F">
        <w:rPr>
          <w:rFonts w:eastAsia="SimSun"/>
          <w:lang w:eastAsia="en-GB"/>
        </w:rPr>
        <w:tab/>
        <w:t>The opportunities that a circular economy appr</w:t>
      </w:r>
      <w:r w:rsidR="00617FCF" w:rsidRPr="0064650F">
        <w:rPr>
          <w:rFonts w:eastAsia="SimSun"/>
          <w:lang w:eastAsia="en-GB"/>
        </w:rPr>
        <w:t>o</w:t>
      </w:r>
      <w:r w:rsidRPr="0064650F">
        <w:rPr>
          <w:rFonts w:eastAsia="SimSun"/>
          <w:lang w:eastAsia="en-GB"/>
        </w:rPr>
        <w:t>ach brings are</w:t>
      </w:r>
      <w:r w:rsidR="008C3959">
        <w:rPr>
          <w:rFonts w:eastAsia="SimSun"/>
          <w:lang w:eastAsia="en-GB"/>
        </w:rPr>
        <w:t>,</w:t>
      </w:r>
      <w:r w:rsidRPr="0064650F">
        <w:rPr>
          <w:rFonts w:eastAsia="SimSun"/>
          <w:lang w:eastAsia="en-GB"/>
        </w:rPr>
        <w:t xml:space="preserve"> however</w:t>
      </w:r>
      <w:r w:rsidR="008C3959">
        <w:rPr>
          <w:rFonts w:eastAsia="SimSun"/>
          <w:lang w:eastAsia="en-GB"/>
        </w:rPr>
        <w:t>,</w:t>
      </w:r>
      <w:r w:rsidRPr="0064650F">
        <w:rPr>
          <w:rFonts w:eastAsia="SimSun"/>
          <w:lang w:eastAsia="en-GB"/>
        </w:rPr>
        <w:t xml:space="preserve"> still untapped. In many countries the recovery of minerals from products is rather low</w:t>
      </w:r>
      <w:r w:rsidR="002162BE" w:rsidRPr="0064650F">
        <w:rPr>
          <w:rFonts w:eastAsia="SimSun"/>
          <w:lang w:eastAsia="en-GB"/>
        </w:rPr>
        <w:t xml:space="preserve"> (see figure</w:t>
      </w:r>
      <w:r w:rsidR="008C3959">
        <w:rPr>
          <w:rFonts w:eastAsia="SimSun"/>
          <w:lang w:eastAsia="en-GB"/>
        </w:rPr>
        <w:t xml:space="preserve"> xx</w:t>
      </w:r>
      <w:r w:rsidR="002162BE" w:rsidRPr="0064650F">
        <w:rPr>
          <w:rFonts w:eastAsia="SimSun"/>
          <w:lang w:eastAsia="en-GB"/>
        </w:rPr>
        <w:t>)</w:t>
      </w:r>
      <w:r w:rsidRPr="0064650F">
        <w:rPr>
          <w:rFonts w:eastAsia="SimSun"/>
          <w:lang w:eastAsia="en-GB"/>
        </w:rPr>
        <w:t>.</w:t>
      </w:r>
      <w:r w:rsidR="00704543" w:rsidRPr="0064650F">
        <w:rPr>
          <w:rStyle w:val="FootnoteReference"/>
          <w:rFonts w:eastAsia="SimSun"/>
          <w:lang w:eastAsia="en-GB"/>
        </w:rPr>
        <w:footnoteReference w:id="14"/>
      </w:r>
      <w:r w:rsidRPr="0064650F">
        <w:rPr>
          <w:rFonts w:eastAsia="SimSun"/>
          <w:lang w:eastAsia="en-GB"/>
        </w:rPr>
        <w:t xml:space="preserve"> Recovery of rare metals, </w:t>
      </w:r>
      <w:r w:rsidR="008C3959">
        <w:rPr>
          <w:rFonts w:eastAsia="SimSun"/>
          <w:lang w:eastAsia="en-GB"/>
        </w:rPr>
        <w:t xml:space="preserve">despite their high </w:t>
      </w:r>
      <w:r w:rsidRPr="0064650F">
        <w:rPr>
          <w:rFonts w:eastAsia="SimSun"/>
          <w:lang w:eastAsia="en-GB"/>
        </w:rPr>
        <w:t>economic and environmental value, is very low</w:t>
      </w:r>
      <w:r w:rsidR="006E4FB9" w:rsidRPr="0064650F">
        <w:rPr>
          <w:rFonts w:eastAsia="SimSun"/>
          <w:lang w:eastAsia="en-GB"/>
        </w:rPr>
        <w:t>.</w:t>
      </w:r>
    </w:p>
    <w:p w:rsidR="005F6C8E" w:rsidRPr="0064650F" w:rsidRDefault="005F6C8E" w:rsidP="00C415F0">
      <w:pPr>
        <w:pStyle w:val="SingleTxtG"/>
        <w:rPr>
          <w:rFonts w:eastAsia="SimSun"/>
          <w:lang w:eastAsia="en-GB"/>
        </w:rPr>
      </w:pPr>
      <w:r w:rsidRPr="0064650F">
        <w:rPr>
          <w:rFonts w:eastAsia="SimSun"/>
          <w:lang w:eastAsia="en-GB"/>
        </w:rPr>
        <w:lastRenderedPageBreak/>
        <w:t>5</w:t>
      </w:r>
      <w:r w:rsidR="003E7C8C" w:rsidRPr="0064650F">
        <w:rPr>
          <w:rFonts w:eastAsia="SimSun"/>
          <w:lang w:eastAsia="en-GB"/>
        </w:rPr>
        <w:t>2</w:t>
      </w:r>
      <w:r w:rsidRPr="0064650F">
        <w:rPr>
          <w:rFonts w:eastAsia="SimSun"/>
          <w:lang w:eastAsia="en-GB"/>
        </w:rPr>
        <w:t>.</w:t>
      </w:r>
      <w:r w:rsidRPr="0064650F">
        <w:rPr>
          <w:rFonts w:eastAsia="SimSun"/>
          <w:lang w:eastAsia="en-GB"/>
        </w:rPr>
        <w:tab/>
        <w:t xml:space="preserve">The circular economy approach, in order to </w:t>
      </w:r>
      <w:r w:rsidR="00C56908">
        <w:rPr>
          <w:rFonts w:eastAsia="SimSun"/>
          <w:lang w:eastAsia="en-GB"/>
        </w:rPr>
        <w:t>achieve its objectives</w:t>
      </w:r>
      <w:r w:rsidRPr="0064650F">
        <w:rPr>
          <w:rFonts w:eastAsia="SimSun"/>
          <w:lang w:eastAsia="en-GB"/>
        </w:rPr>
        <w:t xml:space="preserve">, needs to be better supported by various </w:t>
      </w:r>
      <w:r w:rsidR="008C3959">
        <w:rPr>
          <w:rFonts w:eastAsia="SimSun"/>
          <w:lang w:eastAsia="en-GB"/>
        </w:rPr>
        <w:t xml:space="preserve">legal and </w:t>
      </w:r>
      <w:r w:rsidRPr="0064650F">
        <w:rPr>
          <w:rFonts w:eastAsia="SimSun"/>
          <w:lang w:eastAsia="en-GB"/>
        </w:rPr>
        <w:t xml:space="preserve">policy instruments </w:t>
      </w:r>
      <w:r w:rsidR="008C3959">
        <w:rPr>
          <w:rFonts w:eastAsia="SimSun"/>
          <w:lang w:eastAsia="en-GB"/>
        </w:rPr>
        <w:t xml:space="preserve">to </w:t>
      </w:r>
      <w:r w:rsidRPr="0064650F">
        <w:rPr>
          <w:rFonts w:eastAsia="SimSun"/>
          <w:lang w:eastAsia="en-GB"/>
        </w:rPr>
        <w:t xml:space="preserve">incentivize investment in modular product design, material recovery and reprocessing. Among </w:t>
      </w:r>
      <w:r w:rsidR="008C3959">
        <w:rPr>
          <w:rFonts w:eastAsia="SimSun"/>
          <w:lang w:eastAsia="en-GB"/>
        </w:rPr>
        <w:t xml:space="preserve">such instruments </w:t>
      </w:r>
      <w:r w:rsidRPr="0064650F">
        <w:rPr>
          <w:rFonts w:eastAsia="SimSun"/>
          <w:lang w:eastAsia="en-GB"/>
        </w:rPr>
        <w:t xml:space="preserve">are </w:t>
      </w:r>
      <w:r w:rsidR="008C3959">
        <w:rPr>
          <w:rFonts w:eastAsia="SimSun"/>
          <w:lang w:eastAsia="en-GB"/>
        </w:rPr>
        <w:t xml:space="preserve">the </w:t>
      </w:r>
      <w:r w:rsidRPr="0064650F">
        <w:rPr>
          <w:rFonts w:eastAsia="SimSun"/>
          <w:lang w:eastAsia="en-GB"/>
        </w:rPr>
        <w:t xml:space="preserve">setting </w:t>
      </w:r>
      <w:r w:rsidR="008C3959">
        <w:rPr>
          <w:rFonts w:eastAsia="SimSun"/>
          <w:lang w:eastAsia="en-GB"/>
        </w:rPr>
        <w:t xml:space="preserve">of </w:t>
      </w:r>
      <w:r w:rsidRPr="0064650F">
        <w:rPr>
          <w:rFonts w:eastAsia="SimSun"/>
          <w:lang w:eastAsia="en-GB"/>
        </w:rPr>
        <w:t xml:space="preserve">appropriate targets for the reduction of waste streams and </w:t>
      </w:r>
      <w:r w:rsidR="008C3959">
        <w:rPr>
          <w:rFonts w:eastAsia="SimSun"/>
          <w:lang w:eastAsia="en-GB"/>
        </w:rPr>
        <w:t xml:space="preserve">the </w:t>
      </w:r>
      <w:r w:rsidRPr="0064650F">
        <w:rPr>
          <w:rFonts w:eastAsia="SimSun"/>
          <w:lang w:eastAsia="en-GB"/>
        </w:rPr>
        <w:t>amount of waste to be deposited to landfills, appropriate laws regulating recycling business</w:t>
      </w:r>
      <w:r w:rsidR="008C3959">
        <w:rPr>
          <w:rFonts w:eastAsia="SimSun"/>
          <w:lang w:eastAsia="en-GB"/>
        </w:rPr>
        <w:t>es</w:t>
      </w:r>
      <w:r w:rsidRPr="0064650F">
        <w:rPr>
          <w:rFonts w:eastAsia="SimSun"/>
          <w:lang w:eastAsia="en-GB"/>
        </w:rPr>
        <w:t xml:space="preserve">, laws defining extended producer responsibility for waste generation from </w:t>
      </w:r>
      <w:r w:rsidR="008C3959">
        <w:rPr>
          <w:rFonts w:eastAsia="SimSun"/>
          <w:lang w:eastAsia="en-GB"/>
        </w:rPr>
        <w:t xml:space="preserve">their </w:t>
      </w:r>
      <w:r w:rsidRPr="0064650F">
        <w:rPr>
          <w:rFonts w:eastAsia="SimSun"/>
          <w:lang w:eastAsia="en-GB"/>
        </w:rPr>
        <w:t xml:space="preserve">products, and pricing instruments to minimize waste disposal and increase market competitiveness of eco-design products.  </w:t>
      </w:r>
    </w:p>
    <w:p w:rsidR="005F6C8E" w:rsidRPr="0064650F" w:rsidRDefault="001E4122" w:rsidP="005F063D">
      <w:pPr>
        <w:pStyle w:val="H23G"/>
        <w:rPr>
          <w:rFonts w:eastAsia="SimSun"/>
          <w:lang w:eastAsia="en-GB"/>
        </w:rPr>
      </w:pPr>
      <w:r>
        <w:rPr>
          <w:rFonts w:eastAsia="SimSun"/>
          <w:lang w:eastAsia="en-GB"/>
        </w:rPr>
        <w:tab/>
      </w:r>
      <w:r>
        <w:rPr>
          <w:rFonts w:eastAsia="SimSun"/>
          <w:lang w:eastAsia="en-GB"/>
        </w:rPr>
        <w:tab/>
      </w:r>
      <w:r w:rsidR="005F6C8E" w:rsidRPr="0064650F">
        <w:rPr>
          <w:rFonts w:eastAsia="SimSun"/>
          <w:lang w:eastAsia="en-GB"/>
        </w:rPr>
        <w:t>Education</w:t>
      </w:r>
      <w:r w:rsidR="005F6C8E" w:rsidRPr="0064650F">
        <w:t xml:space="preserve"> </w:t>
      </w:r>
      <w:r w:rsidR="005F6C8E" w:rsidRPr="0064650F">
        <w:rPr>
          <w:rFonts w:eastAsia="SimSun"/>
          <w:lang w:eastAsia="en-GB"/>
        </w:rPr>
        <w:t>for sustainable development</w:t>
      </w:r>
    </w:p>
    <w:p w:rsidR="005F6C8E" w:rsidRPr="0064650F" w:rsidRDefault="005F6C8E" w:rsidP="00C415F0">
      <w:pPr>
        <w:pStyle w:val="SingleTxtG"/>
        <w:rPr>
          <w:rFonts w:eastAsia="SimSun"/>
          <w:lang w:eastAsia="en-GB"/>
        </w:rPr>
      </w:pPr>
      <w:r w:rsidRPr="0064650F">
        <w:rPr>
          <w:rFonts w:eastAsia="SimSun"/>
          <w:lang w:eastAsia="en-GB"/>
        </w:rPr>
        <w:t>5</w:t>
      </w:r>
      <w:r w:rsidR="003E7C8C" w:rsidRPr="0064650F">
        <w:rPr>
          <w:rFonts w:eastAsia="SimSun"/>
          <w:lang w:eastAsia="en-GB"/>
        </w:rPr>
        <w:t>3</w:t>
      </w:r>
      <w:r w:rsidRPr="0064650F">
        <w:rPr>
          <w:rFonts w:eastAsia="SimSun"/>
          <w:lang w:eastAsia="en-GB"/>
        </w:rPr>
        <w:t>.</w:t>
      </w:r>
      <w:r w:rsidRPr="0064650F">
        <w:rPr>
          <w:rFonts w:eastAsia="SimSun"/>
          <w:lang w:eastAsia="en-GB"/>
        </w:rPr>
        <w:tab/>
        <w:t xml:space="preserve">Actions aimed at achieving sustainability </w:t>
      </w:r>
      <w:r w:rsidR="0002712E">
        <w:rPr>
          <w:rFonts w:eastAsia="SimSun"/>
          <w:lang w:eastAsia="en-GB"/>
        </w:rPr>
        <w:t xml:space="preserve">need to be </w:t>
      </w:r>
      <w:r w:rsidRPr="0064650F">
        <w:rPr>
          <w:rFonts w:eastAsia="SimSun"/>
          <w:lang w:eastAsia="en-GB"/>
        </w:rPr>
        <w:t xml:space="preserve">targeted </w:t>
      </w:r>
      <w:r w:rsidR="0002712E">
        <w:rPr>
          <w:rFonts w:eastAsia="SimSun"/>
          <w:lang w:eastAsia="en-GB"/>
        </w:rPr>
        <w:t xml:space="preserve">not just towards </w:t>
      </w:r>
      <w:r w:rsidRPr="0064650F">
        <w:rPr>
          <w:rFonts w:eastAsia="SimSun"/>
          <w:lang w:eastAsia="en-GB"/>
        </w:rPr>
        <w:t>the production side</w:t>
      </w:r>
      <w:r w:rsidR="00393AC4">
        <w:rPr>
          <w:rFonts w:eastAsia="SimSun"/>
          <w:lang w:eastAsia="en-GB"/>
        </w:rPr>
        <w:t>,</w:t>
      </w:r>
      <w:r w:rsidRPr="0064650F">
        <w:rPr>
          <w:rFonts w:eastAsia="SimSun"/>
          <w:lang w:eastAsia="en-GB"/>
        </w:rPr>
        <w:t xml:space="preserve"> but also </w:t>
      </w:r>
      <w:r w:rsidR="0002712E">
        <w:rPr>
          <w:rFonts w:eastAsia="SimSun"/>
          <w:lang w:eastAsia="en-GB"/>
        </w:rPr>
        <w:t xml:space="preserve">towards the </w:t>
      </w:r>
      <w:r w:rsidRPr="0064650F">
        <w:rPr>
          <w:rFonts w:eastAsia="SimSun"/>
          <w:lang w:eastAsia="en-GB"/>
        </w:rPr>
        <w:t xml:space="preserve">consumption side. It is therefore critical to educate every individual </w:t>
      </w:r>
      <w:r w:rsidR="0002712E">
        <w:rPr>
          <w:rFonts w:eastAsia="SimSun"/>
          <w:lang w:eastAsia="en-GB"/>
        </w:rPr>
        <w:t xml:space="preserve">so that they can </w:t>
      </w:r>
      <w:r w:rsidRPr="0064650F">
        <w:rPr>
          <w:rFonts w:eastAsia="SimSun"/>
          <w:lang w:eastAsia="en-GB"/>
        </w:rPr>
        <w:t>acquire not only the knowledge and skills related to sustainable development</w:t>
      </w:r>
      <w:r w:rsidR="00393AC4">
        <w:rPr>
          <w:rFonts w:eastAsia="SimSun"/>
          <w:lang w:eastAsia="en-GB"/>
        </w:rPr>
        <w:t>,</w:t>
      </w:r>
      <w:r w:rsidRPr="0064650F">
        <w:rPr>
          <w:rFonts w:eastAsia="SimSun"/>
          <w:lang w:eastAsia="en-GB"/>
        </w:rPr>
        <w:t xml:space="preserve"> but also</w:t>
      </w:r>
      <w:r w:rsidR="00393AC4">
        <w:rPr>
          <w:rFonts w:eastAsia="SimSun"/>
          <w:lang w:eastAsia="en-GB"/>
        </w:rPr>
        <w:t>,</w:t>
      </w:r>
      <w:r w:rsidRPr="0064650F">
        <w:rPr>
          <w:rFonts w:eastAsia="SimSun"/>
          <w:lang w:eastAsia="en-GB"/>
        </w:rPr>
        <w:t xml:space="preserve"> as consumer</w:t>
      </w:r>
      <w:r w:rsidR="00393AC4">
        <w:rPr>
          <w:rFonts w:eastAsia="SimSun"/>
          <w:lang w:eastAsia="en-GB"/>
        </w:rPr>
        <w:t>s</w:t>
      </w:r>
      <w:r w:rsidRPr="0064650F">
        <w:rPr>
          <w:rFonts w:eastAsia="SimSun"/>
          <w:lang w:eastAsia="en-GB"/>
        </w:rPr>
        <w:t xml:space="preserve"> of goods and services, the attitudes and values necessary to shape a sustainable future.</w:t>
      </w:r>
    </w:p>
    <w:p w:rsidR="005F6C8E" w:rsidRPr="0064650F" w:rsidRDefault="005F6C8E" w:rsidP="00C415F0">
      <w:pPr>
        <w:pStyle w:val="SingleTxtG"/>
        <w:rPr>
          <w:rFonts w:eastAsia="SimSun"/>
          <w:lang w:eastAsia="en-GB"/>
        </w:rPr>
      </w:pPr>
      <w:r w:rsidRPr="0064650F">
        <w:rPr>
          <w:rFonts w:eastAsia="SimSun"/>
          <w:lang w:eastAsia="en-GB"/>
        </w:rPr>
        <w:t>5</w:t>
      </w:r>
      <w:r w:rsidR="003E7C8C" w:rsidRPr="0064650F">
        <w:rPr>
          <w:rFonts w:eastAsia="SimSun"/>
          <w:lang w:eastAsia="en-GB"/>
        </w:rPr>
        <w:t>4</w:t>
      </w:r>
      <w:r w:rsidRPr="0064650F">
        <w:rPr>
          <w:rFonts w:eastAsia="SimSun"/>
          <w:lang w:eastAsia="en-GB"/>
        </w:rPr>
        <w:t>.</w:t>
      </w:r>
      <w:r w:rsidRPr="0064650F">
        <w:rPr>
          <w:rFonts w:eastAsia="SimSun"/>
          <w:lang w:eastAsia="en-GB"/>
        </w:rPr>
        <w:tab/>
        <w:t>ESD aims to mainstream sustainable development issues, including sustainable consumption habits, into teaching and learning. It also promotes competencies like critical thinking</w:t>
      </w:r>
      <w:r w:rsidR="0002712E">
        <w:rPr>
          <w:rFonts w:eastAsia="SimSun"/>
          <w:lang w:eastAsia="en-GB"/>
        </w:rPr>
        <w:t>,</w:t>
      </w:r>
      <w:r w:rsidRPr="0064650F">
        <w:rPr>
          <w:rFonts w:eastAsia="SimSun"/>
          <w:lang w:eastAsia="en-GB"/>
        </w:rPr>
        <w:t xml:space="preserve"> imagining future scenarios and taking adequate decisions in a collaborative way.</w:t>
      </w:r>
    </w:p>
    <w:p w:rsidR="005F6C8E" w:rsidRPr="0064650F" w:rsidRDefault="005F6C8E" w:rsidP="00C415F0">
      <w:pPr>
        <w:pStyle w:val="SingleTxtG"/>
        <w:rPr>
          <w:rFonts w:eastAsia="SimSun"/>
          <w:lang w:eastAsia="en-GB"/>
        </w:rPr>
      </w:pPr>
      <w:r w:rsidRPr="0064650F">
        <w:rPr>
          <w:rFonts w:eastAsia="SimSun"/>
          <w:lang w:eastAsia="en-GB"/>
        </w:rPr>
        <w:t>5</w:t>
      </w:r>
      <w:r w:rsidR="003E7C8C" w:rsidRPr="0064650F">
        <w:rPr>
          <w:rFonts w:eastAsia="SimSun"/>
          <w:lang w:eastAsia="en-GB"/>
        </w:rPr>
        <w:t>5</w:t>
      </w:r>
      <w:r w:rsidRPr="0064650F">
        <w:rPr>
          <w:rFonts w:eastAsia="SimSun"/>
          <w:lang w:eastAsia="en-GB"/>
        </w:rPr>
        <w:t>.</w:t>
      </w:r>
      <w:r w:rsidRPr="0064650F">
        <w:rPr>
          <w:rFonts w:eastAsia="SimSun"/>
          <w:lang w:eastAsia="en-GB"/>
        </w:rPr>
        <w:tab/>
        <w:t xml:space="preserve">ESD has been introduced into the teaching curricula in many countries. Yet the success of teaching sustainable development depends on the actual teachers’ ability to integrate </w:t>
      </w:r>
      <w:r w:rsidR="0002712E">
        <w:rPr>
          <w:rFonts w:eastAsia="SimSun"/>
          <w:lang w:eastAsia="en-GB"/>
        </w:rPr>
        <w:t xml:space="preserve">this </w:t>
      </w:r>
      <w:r w:rsidRPr="0064650F">
        <w:rPr>
          <w:rFonts w:eastAsia="SimSun"/>
          <w:lang w:eastAsia="en-GB"/>
        </w:rPr>
        <w:t xml:space="preserve">concept in the subjects they teach. This requires teacher training and the availability of teaching aid materials, which </w:t>
      </w:r>
      <w:r w:rsidR="0002712E">
        <w:rPr>
          <w:rFonts w:eastAsia="SimSun"/>
          <w:lang w:eastAsia="en-GB"/>
        </w:rPr>
        <w:t xml:space="preserve">are </w:t>
      </w:r>
      <w:r w:rsidRPr="0064650F">
        <w:rPr>
          <w:rFonts w:eastAsia="SimSun"/>
          <w:lang w:eastAsia="en-GB"/>
        </w:rPr>
        <w:t>often insufficient or lacking.</w:t>
      </w:r>
    </w:p>
    <w:p w:rsidR="005F6C8E" w:rsidRPr="0064650F" w:rsidRDefault="001E4122" w:rsidP="005F063D">
      <w:pPr>
        <w:pStyle w:val="H23G"/>
        <w:rPr>
          <w:rFonts w:eastAsia="SimSun"/>
          <w:lang w:eastAsia="en-GB"/>
        </w:rPr>
      </w:pPr>
      <w:r>
        <w:rPr>
          <w:rFonts w:eastAsia="SimSun"/>
          <w:lang w:eastAsia="en-GB"/>
        </w:rPr>
        <w:tab/>
      </w:r>
      <w:r>
        <w:rPr>
          <w:rFonts w:eastAsia="SimSun"/>
          <w:lang w:eastAsia="en-GB"/>
        </w:rPr>
        <w:tab/>
      </w:r>
      <w:r w:rsidR="005F6C8E" w:rsidRPr="0064650F">
        <w:rPr>
          <w:rFonts w:eastAsia="SimSun"/>
          <w:lang w:eastAsia="en-GB"/>
        </w:rPr>
        <w:t xml:space="preserve">Public spending programmes for science and research </w:t>
      </w:r>
    </w:p>
    <w:p w:rsidR="005F6C8E" w:rsidRPr="0064650F" w:rsidRDefault="005F6C8E" w:rsidP="00C415F0">
      <w:pPr>
        <w:pStyle w:val="SingleTxtG"/>
        <w:rPr>
          <w:rFonts w:ascii="Oxygen" w:hAnsi="Oxygen"/>
          <w:color w:val="35393C"/>
        </w:rPr>
      </w:pPr>
      <w:r w:rsidRPr="0064650F">
        <w:rPr>
          <w:rFonts w:ascii="Oxygen" w:hAnsi="Oxygen"/>
          <w:color w:val="35393C"/>
        </w:rPr>
        <w:t>5</w:t>
      </w:r>
      <w:r w:rsidR="003E7C8C" w:rsidRPr="0064650F">
        <w:rPr>
          <w:rFonts w:ascii="Oxygen" w:hAnsi="Oxygen"/>
          <w:color w:val="35393C"/>
        </w:rPr>
        <w:t>6</w:t>
      </w:r>
      <w:r w:rsidRPr="0064650F">
        <w:rPr>
          <w:rFonts w:ascii="Oxygen" w:hAnsi="Oxygen"/>
          <w:color w:val="35393C"/>
        </w:rPr>
        <w:t>.</w:t>
      </w:r>
      <w:r w:rsidRPr="0064650F">
        <w:rPr>
          <w:rFonts w:ascii="Oxygen" w:hAnsi="Oxygen"/>
          <w:color w:val="35393C"/>
        </w:rPr>
        <w:tab/>
        <w:t xml:space="preserve">The pressure on resources could be reduced by finding substitutes for them or by looking for technologies that would provide goods and services that would rely on abundant resources to support human well-being while avoiding the creation of pollution or waste. </w:t>
      </w:r>
    </w:p>
    <w:p w:rsidR="005F6C8E" w:rsidRPr="0064650F" w:rsidRDefault="005F6C8E" w:rsidP="00C415F0">
      <w:pPr>
        <w:pStyle w:val="SingleTxtG"/>
        <w:rPr>
          <w:rFonts w:ascii="Oxygen" w:hAnsi="Oxygen"/>
          <w:color w:val="35393C"/>
        </w:rPr>
      </w:pPr>
      <w:r w:rsidRPr="0064650F">
        <w:rPr>
          <w:rFonts w:ascii="Oxygen" w:hAnsi="Oxygen"/>
          <w:color w:val="35393C"/>
        </w:rPr>
        <w:t>5</w:t>
      </w:r>
      <w:r w:rsidR="003E7C8C" w:rsidRPr="0064650F">
        <w:rPr>
          <w:rFonts w:ascii="Oxygen" w:hAnsi="Oxygen"/>
          <w:color w:val="35393C"/>
        </w:rPr>
        <w:t>7</w:t>
      </w:r>
      <w:r w:rsidRPr="0064650F">
        <w:rPr>
          <w:rFonts w:ascii="Oxygen" w:hAnsi="Oxygen"/>
          <w:color w:val="35393C"/>
        </w:rPr>
        <w:t>.</w:t>
      </w:r>
      <w:r w:rsidRPr="0064650F">
        <w:rPr>
          <w:rFonts w:ascii="Oxygen" w:hAnsi="Oxygen"/>
          <w:color w:val="35393C"/>
        </w:rPr>
        <w:tab/>
        <w:t xml:space="preserve">Mega research projects, </w:t>
      </w:r>
      <w:r w:rsidR="007E6535">
        <w:rPr>
          <w:rFonts w:ascii="Oxygen" w:hAnsi="Oxygen"/>
          <w:color w:val="35393C"/>
        </w:rPr>
        <w:t>such as</w:t>
      </w:r>
      <w:r w:rsidRPr="0064650F">
        <w:rPr>
          <w:rFonts w:ascii="Oxygen" w:hAnsi="Oxygen"/>
          <w:color w:val="35393C"/>
        </w:rPr>
        <w:t xml:space="preserve"> the International Thermonuclear Experimental Reactor (ITER) project</w:t>
      </w:r>
      <w:r w:rsidR="007E6535">
        <w:rPr>
          <w:rFonts w:ascii="Oxygen" w:hAnsi="Oxygen"/>
          <w:color w:val="35393C"/>
        </w:rPr>
        <w:t>,</w:t>
      </w:r>
      <w:r w:rsidRPr="0064650F">
        <w:rPr>
          <w:rFonts w:ascii="Oxygen" w:hAnsi="Oxygen"/>
          <w:color w:val="35393C"/>
        </w:rPr>
        <w:t xml:space="preserve"> </w:t>
      </w:r>
      <w:r w:rsidR="007E6535">
        <w:rPr>
          <w:rFonts w:ascii="Oxygen" w:hAnsi="Oxygen"/>
          <w:color w:val="35393C"/>
        </w:rPr>
        <w:t xml:space="preserve">which </w:t>
      </w:r>
      <w:r w:rsidRPr="0064650F">
        <w:rPr>
          <w:rFonts w:ascii="Oxygen" w:hAnsi="Oxygen"/>
          <w:color w:val="35393C"/>
        </w:rPr>
        <w:t xml:space="preserve">attempts to prove the viability of fusion as an energy source, could be a remarkable leap forward in addressing the existing resource challenges. As there are no guarantees that these projects </w:t>
      </w:r>
      <w:r w:rsidR="007E6535">
        <w:rPr>
          <w:rFonts w:ascii="Oxygen" w:hAnsi="Oxygen"/>
          <w:color w:val="35393C"/>
        </w:rPr>
        <w:t xml:space="preserve">will </w:t>
      </w:r>
      <w:r w:rsidRPr="0064650F">
        <w:rPr>
          <w:rFonts w:ascii="Oxygen" w:hAnsi="Oxygen"/>
          <w:color w:val="35393C"/>
        </w:rPr>
        <w:t xml:space="preserve">end up being </w:t>
      </w:r>
      <w:proofErr w:type="gramStart"/>
      <w:r w:rsidRPr="0064650F">
        <w:rPr>
          <w:rFonts w:ascii="Oxygen" w:hAnsi="Oxygen"/>
          <w:color w:val="35393C"/>
        </w:rPr>
        <w:t>successful,</w:t>
      </w:r>
      <w:proofErr w:type="gramEnd"/>
      <w:r w:rsidRPr="0064650F">
        <w:rPr>
          <w:rFonts w:ascii="Oxygen" w:hAnsi="Oxygen"/>
          <w:color w:val="35393C"/>
        </w:rPr>
        <w:t xml:space="preserve"> and </w:t>
      </w:r>
      <w:r w:rsidR="007E6535">
        <w:rPr>
          <w:rFonts w:ascii="Oxygen" w:hAnsi="Oxygen"/>
          <w:color w:val="35393C"/>
        </w:rPr>
        <w:t xml:space="preserve">they </w:t>
      </w:r>
      <w:r w:rsidRPr="0064650F">
        <w:rPr>
          <w:rFonts w:ascii="Oxygen" w:hAnsi="Oxygen"/>
          <w:color w:val="35393C"/>
        </w:rPr>
        <w:t xml:space="preserve">are costly and of long duration, they depend on available public funding. Often, like in the case of the ITER project, the costs can be so high that it requires a number of countries to join forces. </w:t>
      </w:r>
    </w:p>
    <w:p w:rsidR="005F6C8E" w:rsidRPr="0064650F" w:rsidRDefault="003E7C8C" w:rsidP="00C415F0">
      <w:pPr>
        <w:pStyle w:val="SingleTxtG"/>
        <w:rPr>
          <w:rFonts w:ascii="Oxygen" w:hAnsi="Oxygen"/>
          <w:color w:val="35393C"/>
        </w:rPr>
      </w:pPr>
      <w:r w:rsidRPr="0064650F">
        <w:rPr>
          <w:rFonts w:ascii="Oxygen" w:hAnsi="Oxygen"/>
          <w:color w:val="35393C"/>
        </w:rPr>
        <w:t>58</w:t>
      </w:r>
      <w:r w:rsidR="005F6C8E" w:rsidRPr="0064650F">
        <w:rPr>
          <w:rFonts w:ascii="Oxygen" w:hAnsi="Oxygen"/>
          <w:color w:val="35393C"/>
        </w:rPr>
        <w:t>.</w:t>
      </w:r>
      <w:r w:rsidR="005F6C8E" w:rsidRPr="0064650F">
        <w:rPr>
          <w:rFonts w:ascii="Oxygen" w:hAnsi="Oxygen"/>
          <w:color w:val="35393C"/>
        </w:rPr>
        <w:tab/>
        <w:t>In spite of the high uncertainty and potential risks, these types of large breakthrough projects should be funded by public financing for science and research, with countries joining forces to meet the costs.</w:t>
      </w:r>
    </w:p>
    <w:p w:rsidR="005F6C8E" w:rsidRPr="0064650F" w:rsidRDefault="001E4122" w:rsidP="00EE5E78">
      <w:pPr>
        <w:pStyle w:val="H23G"/>
        <w:rPr>
          <w:rFonts w:eastAsia="SimSun"/>
          <w:lang w:eastAsia="en-GB"/>
        </w:rPr>
      </w:pPr>
      <w:r>
        <w:rPr>
          <w:rFonts w:eastAsia="SimSun"/>
          <w:lang w:eastAsia="en-GB"/>
        </w:rPr>
        <w:tab/>
      </w:r>
      <w:r>
        <w:rPr>
          <w:rFonts w:eastAsia="SimSun"/>
          <w:lang w:eastAsia="en-GB"/>
        </w:rPr>
        <w:tab/>
      </w:r>
      <w:r w:rsidR="005F6C8E" w:rsidRPr="0064650F">
        <w:rPr>
          <w:rFonts w:eastAsia="SimSun"/>
          <w:lang w:eastAsia="en-GB"/>
        </w:rPr>
        <w:t>Access to good practices and green knowledge</w:t>
      </w:r>
      <w:r w:rsidR="007261E3" w:rsidRPr="0064650F">
        <w:rPr>
          <w:rFonts w:eastAsia="SimSun"/>
          <w:lang w:eastAsia="en-GB"/>
        </w:rPr>
        <w:t xml:space="preserve"> and monitoring frameworks</w:t>
      </w:r>
    </w:p>
    <w:p w:rsidR="005F6C8E" w:rsidRPr="0064650F" w:rsidRDefault="003E7C8C" w:rsidP="00C415F0">
      <w:pPr>
        <w:pStyle w:val="SingleTxtG"/>
        <w:rPr>
          <w:rFonts w:eastAsia="SimSun"/>
          <w:lang w:eastAsia="en-GB"/>
        </w:rPr>
      </w:pPr>
      <w:r w:rsidRPr="0064650F">
        <w:rPr>
          <w:rFonts w:eastAsia="SimSun"/>
          <w:lang w:eastAsia="en-GB"/>
        </w:rPr>
        <w:t>59</w:t>
      </w:r>
      <w:r w:rsidR="005F6C8E" w:rsidRPr="0064650F">
        <w:rPr>
          <w:rFonts w:eastAsia="SimSun"/>
          <w:lang w:eastAsia="en-GB"/>
        </w:rPr>
        <w:t>.</w:t>
      </w:r>
      <w:r w:rsidR="005F6C8E" w:rsidRPr="0064650F">
        <w:rPr>
          <w:rFonts w:eastAsia="SimSun"/>
          <w:lang w:eastAsia="en-GB"/>
        </w:rPr>
        <w:tab/>
      </w:r>
      <w:r w:rsidR="00B40388">
        <w:rPr>
          <w:rFonts w:eastAsia="SimSun"/>
          <w:lang w:eastAsia="en-GB"/>
        </w:rPr>
        <w:t>The a</w:t>
      </w:r>
      <w:r w:rsidR="005F6C8E" w:rsidRPr="0064650F">
        <w:rPr>
          <w:rFonts w:eastAsia="SimSun"/>
          <w:lang w:eastAsia="en-GB"/>
        </w:rPr>
        <w:t>ccessibility of policymakers and practitioners to cutting-edge knowledge and good practice</w:t>
      </w:r>
      <w:r w:rsidR="00B40388">
        <w:rPr>
          <w:rFonts w:eastAsia="SimSun"/>
          <w:lang w:eastAsia="en-GB"/>
        </w:rPr>
        <w:t>,</w:t>
      </w:r>
      <w:r w:rsidR="005F6C8E" w:rsidRPr="0064650F">
        <w:rPr>
          <w:rFonts w:eastAsia="SimSun"/>
          <w:lang w:eastAsia="en-GB"/>
        </w:rPr>
        <w:t xml:space="preserve"> </w:t>
      </w:r>
      <w:r w:rsidR="00B40388">
        <w:rPr>
          <w:rFonts w:eastAsia="SimSun"/>
          <w:lang w:eastAsia="en-GB"/>
        </w:rPr>
        <w:t xml:space="preserve">as well as a good </w:t>
      </w:r>
      <w:r w:rsidR="005F6C8E" w:rsidRPr="0064650F">
        <w:rPr>
          <w:rFonts w:eastAsia="SimSun"/>
          <w:lang w:eastAsia="en-GB"/>
        </w:rPr>
        <w:t xml:space="preserve">understanding </w:t>
      </w:r>
      <w:r w:rsidR="00B40388">
        <w:rPr>
          <w:rFonts w:eastAsia="SimSun"/>
          <w:lang w:eastAsia="en-GB"/>
        </w:rPr>
        <w:t xml:space="preserve">of </w:t>
      </w:r>
      <w:r w:rsidR="005F6C8E" w:rsidRPr="0064650F">
        <w:rPr>
          <w:rFonts w:eastAsia="SimSun"/>
          <w:lang w:eastAsia="en-GB"/>
        </w:rPr>
        <w:t>the progress achieved</w:t>
      </w:r>
      <w:r w:rsidR="00B40388">
        <w:rPr>
          <w:rFonts w:eastAsia="SimSun"/>
          <w:lang w:eastAsia="en-GB"/>
        </w:rPr>
        <w:t>,</w:t>
      </w:r>
      <w:r w:rsidR="005F6C8E" w:rsidRPr="0064650F">
        <w:rPr>
          <w:rFonts w:eastAsia="SimSun"/>
          <w:lang w:eastAsia="en-GB"/>
        </w:rPr>
        <w:t xml:space="preserve"> </w:t>
      </w:r>
      <w:r w:rsidR="00B40388">
        <w:rPr>
          <w:rFonts w:eastAsia="SimSun"/>
          <w:lang w:eastAsia="en-GB"/>
        </w:rPr>
        <w:t xml:space="preserve">is </w:t>
      </w:r>
      <w:r w:rsidR="005F6C8E" w:rsidRPr="0064650F">
        <w:rPr>
          <w:rFonts w:eastAsia="SimSun"/>
          <w:lang w:eastAsia="en-GB"/>
        </w:rPr>
        <w:t xml:space="preserve">critical to pursuing the transition to a green economy and with it curbing the pressure on natural resources and ecosystems. </w:t>
      </w:r>
    </w:p>
    <w:p w:rsidR="005F6C8E" w:rsidRPr="0064650F" w:rsidRDefault="005F6C8E" w:rsidP="00C415F0">
      <w:pPr>
        <w:pStyle w:val="SingleTxtG"/>
        <w:rPr>
          <w:rFonts w:eastAsia="SimSun"/>
          <w:lang w:eastAsia="en-GB"/>
        </w:rPr>
      </w:pPr>
      <w:r w:rsidRPr="0064650F">
        <w:rPr>
          <w:rFonts w:eastAsia="SimSun"/>
          <w:lang w:eastAsia="en-GB"/>
        </w:rPr>
        <w:t>6</w:t>
      </w:r>
      <w:r w:rsidR="003E7C8C" w:rsidRPr="0064650F">
        <w:rPr>
          <w:rFonts w:eastAsia="SimSun"/>
          <w:lang w:eastAsia="en-GB"/>
        </w:rPr>
        <w:t>0</w:t>
      </w:r>
      <w:r w:rsidRPr="0064650F">
        <w:rPr>
          <w:rFonts w:eastAsia="SimSun"/>
          <w:lang w:eastAsia="en-GB"/>
        </w:rPr>
        <w:t>.</w:t>
      </w:r>
      <w:r w:rsidRPr="0064650F">
        <w:rPr>
          <w:rFonts w:eastAsia="SimSun"/>
          <w:lang w:eastAsia="en-GB"/>
        </w:rPr>
        <w:tab/>
        <w:t>The Green Growth Knowledge Platform (GGKP)</w:t>
      </w:r>
      <w:r w:rsidR="007261E3" w:rsidRPr="0064650F">
        <w:rPr>
          <w:rStyle w:val="FootnoteReference"/>
          <w:rFonts w:eastAsia="SimSun"/>
          <w:lang w:eastAsia="en-GB"/>
        </w:rPr>
        <w:footnoteReference w:id="15"/>
      </w:r>
      <w:r w:rsidRPr="0064650F">
        <w:rPr>
          <w:rFonts w:eastAsia="SimSun"/>
          <w:lang w:eastAsia="en-GB"/>
        </w:rPr>
        <w:t xml:space="preserve"> has been delivering and sharing knowledge and good practice since 2012. The knowledge research and responses provided </w:t>
      </w:r>
      <w:r w:rsidRPr="0064650F">
        <w:rPr>
          <w:rFonts w:eastAsia="SimSun"/>
          <w:lang w:eastAsia="en-GB"/>
        </w:rPr>
        <w:lastRenderedPageBreak/>
        <w:t>in 2015 focused on the following priority topics: fiscal instruments</w:t>
      </w:r>
      <w:r w:rsidR="00B40388">
        <w:rPr>
          <w:rFonts w:eastAsia="SimSun"/>
          <w:lang w:eastAsia="en-GB"/>
        </w:rPr>
        <w:t>;</w:t>
      </w:r>
      <w:r w:rsidRPr="0064650F">
        <w:rPr>
          <w:rFonts w:eastAsia="SimSun"/>
          <w:lang w:eastAsia="en-GB"/>
        </w:rPr>
        <w:t xml:space="preserve"> metrics and indicators</w:t>
      </w:r>
      <w:r w:rsidR="00B40388">
        <w:rPr>
          <w:rFonts w:eastAsia="SimSun"/>
          <w:lang w:eastAsia="en-GB"/>
        </w:rPr>
        <w:t>;</w:t>
      </w:r>
      <w:r w:rsidRPr="0064650F">
        <w:rPr>
          <w:rFonts w:eastAsia="SimSun"/>
          <w:lang w:eastAsia="en-GB"/>
        </w:rPr>
        <w:t xml:space="preserve"> technology and innovation</w:t>
      </w:r>
      <w:r w:rsidR="00B40388">
        <w:rPr>
          <w:rFonts w:eastAsia="SimSun"/>
          <w:lang w:eastAsia="en-GB"/>
        </w:rPr>
        <w:t>;</w:t>
      </w:r>
      <w:r w:rsidRPr="0064650F">
        <w:rPr>
          <w:rFonts w:eastAsia="SimSun"/>
          <w:lang w:eastAsia="en-GB"/>
        </w:rPr>
        <w:t xml:space="preserve"> and trade and competitiveness. For countries to benefit from the GGKP it is important that they actively use the knowledge developed and provide feedback.</w:t>
      </w:r>
    </w:p>
    <w:p w:rsidR="005F6C8E" w:rsidRPr="0064650F" w:rsidRDefault="005F6C8E" w:rsidP="00C415F0">
      <w:pPr>
        <w:pStyle w:val="SingleTxtG"/>
        <w:rPr>
          <w:rFonts w:eastAsia="SimSun"/>
          <w:lang w:eastAsia="en-GB"/>
        </w:rPr>
      </w:pPr>
      <w:r w:rsidRPr="0064650F">
        <w:rPr>
          <w:rFonts w:eastAsia="SimSun"/>
          <w:lang w:eastAsia="en-GB"/>
        </w:rPr>
        <w:t>6</w:t>
      </w:r>
      <w:r w:rsidR="003E7C8C" w:rsidRPr="0064650F">
        <w:rPr>
          <w:rFonts w:eastAsia="SimSun"/>
          <w:lang w:eastAsia="en-GB"/>
        </w:rPr>
        <w:t>1</w:t>
      </w:r>
      <w:r w:rsidRPr="0064650F">
        <w:rPr>
          <w:rFonts w:eastAsia="SimSun"/>
          <w:lang w:eastAsia="en-GB"/>
        </w:rPr>
        <w:t>.</w:t>
      </w:r>
      <w:r w:rsidRPr="0064650F">
        <w:rPr>
          <w:rFonts w:eastAsia="SimSun"/>
          <w:lang w:eastAsia="en-GB"/>
        </w:rPr>
        <w:tab/>
        <w:t xml:space="preserve">The tracking of progress </w:t>
      </w:r>
      <w:r w:rsidR="00B40388">
        <w:rPr>
          <w:rFonts w:eastAsia="SimSun"/>
          <w:lang w:eastAsia="en-GB"/>
        </w:rPr>
        <w:t xml:space="preserve">in </w:t>
      </w:r>
      <w:r w:rsidRPr="0064650F">
        <w:rPr>
          <w:rFonts w:eastAsia="SimSun"/>
          <w:lang w:eastAsia="en-GB"/>
        </w:rPr>
        <w:t xml:space="preserve">the green economy transition could be carried out against a set of indicators and targets that represent the outcomes that the transition is expected to achieve. It could therefore </w:t>
      </w:r>
      <w:r w:rsidR="00B40388">
        <w:rPr>
          <w:rFonts w:eastAsia="SimSun"/>
          <w:lang w:eastAsia="en-GB"/>
        </w:rPr>
        <w:t xml:space="preserve">be </w:t>
      </w:r>
      <w:r w:rsidRPr="0064650F">
        <w:rPr>
          <w:rFonts w:eastAsia="SimSun"/>
          <w:lang w:eastAsia="en-GB"/>
        </w:rPr>
        <w:t xml:space="preserve">linked with the indicators and targets of the </w:t>
      </w:r>
      <w:r w:rsidR="00B40388">
        <w:rPr>
          <w:rFonts w:eastAsia="SimSun"/>
          <w:lang w:eastAsia="en-GB"/>
        </w:rPr>
        <w:t>SDGs</w:t>
      </w:r>
      <w:r w:rsidRPr="0064650F">
        <w:rPr>
          <w:rFonts w:eastAsia="SimSun"/>
          <w:lang w:eastAsia="en-GB"/>
        </w:rPr>
        <w:t xml:space="preserve">. The </w:t>
      </w:r>
      <w:r w:rsidR="00B40388">
        <w:rPr>
          <w:rFonts w:eastAsia="SimSun"/>
          <w:lang w:eastAsia="en-GB"/>
        </w:rPr>
        <w:t>S</w:t>
      </w:r>
      <w:r w:rsidR="00B40388" w:rsidRPr="0064650F">
        <w:rPr>
          <w:rFonts w:eastAsia="SimSun"/>
          <w:lang w:eastAsia="en-GB"/>
        </w:rPr>
        <w:t xml:space="preserve">hared </w:t>
      </w:r>
      <w:r w:rsidR="00B40388">
        <w:rPr>
          <w:rFonts w:eastAsia="SimSun"/>
          <w:lang w:eastAsia="en-GB"/>
        </w:rPr>
        <w:t>E</w:t>
      </w:r>
      <w:r w:rsidR="00B40388" w:rsidRPr="0064650F">
        <w:rPr>
          <w:rFonts w:eastAsia="SimSun"/>
          <w:lang w:eastAsia="en-GB"/>
        </w:rPr>
        <w:t xml:space="preserve">nvironmental </w:t>
      </w:r>
      <w:r w:rsidR="00B40388">
        <w:rPr>
          <w:rFonts w:eastAsia="SimSun"/>
          <w:lang w:eastAsia="en-GB"/>
        </w:rPr>
        <w:t>I</w:t>
      </w:r>
      <w:r w:rsidR="00B40388" w:rsidRPr="0064650F">
        <w:rPr>
          <w:rFonts w:eastAsia="SimSun"/>
          <w:lang w:eastAsia="en-GB"/>
        </w:rPr>
        <w:t xml:space="preserve">nformation </w:t>
      </w:r>
      <w:r w:rsidR="00B40388">
        <w:rPr>
          <w:rFonts w:eastAsia="SimSun"/>
          <w:lang w:eastAsia="en-GB"/>
        </w:rPr>
        <w:t>S</w:t>
      </w:r>
      <w:r w:rsidR="00B40388" w:rsidRPr="0064650F">
        <w:rPr>
          <w:rFonts w:eastAsia="SimSun"/>
          <w:lang w:eastAsia="en-GB"/>
        </w:rPr>
        <w:t>ystem (SEIS)</w:t>
      </w:r>
      <w:r w:rsidR="00B40388">
        <w:rPr>
          <w:rFonts w:eastAsia="SimSun"/>
          <w:lang w:eastAsia="en-GB"/>
        </w:rPr>
        <w:t>, which makes</w:t>
      </w:r>
      <w:r w:rsidR="00B40388" w:rsidRPr="0064650F">
        <w:rPr>
          <w:rFonts w:eastAsia="SimSun"/>
          <w:lang w:eastAsia="en-GB"/>
        </w:rPr>
        <w:t xml:space="preserve"> </w:t>
      </w:r>
      <w:r w:rsidRPr="0064650F">
        <w:rPr>
          <w:rFonts w:eastAsia="SimSun"/>
          <w:lang w:eastAsia="en-GB"/>
        </w:rPr>
        <w:t>availab</w:t>
      </w:r>
      <w:r w:rsidR="00B40388">
        <w:rPr>
          <w:rFonts w:eastAsia="SimSun"/>
          <w:lang w:eastAsia="en-GB"/>
        </w:rPr>
        <w:t xml:space="preserve">le a common </w:t>
      </w:r>
      <w:r w:rsidRPr="0064650F">
        <w:rPr>
          <w:rFonts w:eastAsia="SimSun"/>
          <w:lang w:eastAsia="en-GB"/>
        </w:rPr>
        <w:t xml:space="preserve">knowledge base with data and information for the </w:t>
      </w:r>
      <w:r w:rsidR="00B40388">
        <w:rPr>
          <w:rFonts w:eastAsia="SimSun"/>
          <w:lang w:eastAsia="en-GB"/>
        </w:rPr>
        <w:t xml:space="preserve">whole </w:t>
      </w:r>
      <w:r w:rsidRPr="0064650F">
        <w:rPr>
          <w:rFonts w:eastAsia="SimSun"/>
          <w:lang w:eastAsia="en-GB"/>
        </w:rPr>
        <w:t>region</w:t>
      </w:r>
      <w:r w:rsidR="00B40388">
        <w:rPr>
          <w:rFonts w:eastAsia="SimSun"/>
          <w:lang w:eastAsia="en-GB"/>
        </w:rPr>
        <w:t>,</w:t>
      </w:r>
      <w:r w:rsidRPr="0064650F">
        <w:rPr>
          <w:rFonts w:eastAsia="SimSun"/>
          <w:lang w:eastAsia="en-GB"/>
        </w:rPr>
        <w:t xml:space="preserve"> could be used to produce the indicators. </w:t>
      </w:r>
      <w:r w:rsidR="00B40388">
        <w:rPr>
          <w:rFonts w:eastAsia="SimSun"/>
          <w:lang w:eastAsia="en-GB"/>
        </w:rPr>
        <w:t>To do so, c</w:t>
      </w:r>
      <w:r w:rsidRPr="0064650F">
        <w:rPr>
          <w:rFonts w:eastAsia="SimSun"/>
          <w:lang w:eastAsia="en-GB"/>
        </w:rPr>
        <w:t xml:space="preserve">ountries </w:t>
      </w:r>
      <w:r w:rsidR="00B40388">
        <w:rPr>
          <w:rFonts w:eastAsia="SimSun"/>
          <w:lang w:eastAsia="en-GB"/>
        </w:rPr>
        <w:t xml:space="preserve">will </w:t>
      </w:r>
      <w:r w:rsidRPr="0064650F">
        <w:rPr>
          <w:rFonts w:eastAsia="SimSun"/>
          <w:lang w:eastAsia="en-GB"/>
        </w:rPr>
        <w:t xml:space="preserve">need to </w:t>
      </w:r>
      <w:r w:rsidR="00B40388">
        <w:rPr>
          <w:rFonts w:eastAsia="SimSun"/>
          <w:lang w:eastAsia="en-GB"/>
        </w:rPr>
        <w:t xml:space="preserve">further </w:t>
      </w:r>
      <w:r w:rsidRPr="0064650F">
        <w:rPr>
          <w:rFonts w:eastAsia="SimSun"/>
          <w:lang w:eastAsia="en-GB"/>
        </w:rPr>
        <w:t xml:space="preserve">develop their </w:t>
      </w:r>
      <w:r w:rsidR="00B40388">
        <w:rPr>
          <w:rFonts w:eastAsia="SimSun"/>
          <w:lang w:eastAsia="en-GB"/>
        </w:rPr>
        <w:t xml:space="preserve">national </w:t>
      </w:r>
      <w:r w:rsidRPr="0064650F">
        <w:rPr>
          <w:rFonts w:eastAsia="SimSun"/>
          <w:lang w:eastAsia="en-GB"/>
        </w:rPr>
        <w:t>SEIS</w:t>
      </w:r>
      <w:r w:rsidR="00B40388">
        <w:rPr>
          <w:rFonts w:eastAsia="SimSun"/>
          <w:lang w:eastAsia="en-GB"/>
        </w:rPr>
        <w:t>,</w:t>
      </w:r>
      <w:r w:rsidRPr="0064650F">
        <w:rPr>
          <w:rFonts w:eastAsia="SimSun"/>
          <w:lang w:eastAsia="en-GB"/>
        </w:rPr>
        <w:t xml:space="preserve"> as agreed for the pan-European region.</w:t>
      </w:r>
    </w:p>
    <w:p w:rsidR="005F6C8E" w:rsidRPr="0064650F" w:rsidRDefault="005F6C8E" w:rsidP="00384CDD">
      <w:pPr>
        <w:pStyle w:val="HChG"/>
        <w:rPr>
          <w:rFonts w:eastAsia="SimSun"/>
          <w:lang w:eastAsia="en-GB"/>
        </w:rPr>
      </w:pPr>
      <w:r w:rsidRPr="0064650F">
        <w:rPr>
          <w:rFonts w:eastAsia="SimSun"/>
          <w:lang w:eastAsia="en-GB"/>
        </w:rPr>
        <w:tab/>
        <w:t>III.</w:t>
      </w:r>
      <w:r w:rsidRPr="0064650F">
        <w:rPr>
          <w:rFonts w:eastAsia="SimSun"/>
          <w:lang w:eastAsia="en-GB"/>
        </w:rPr>
        <w:tab/>
        <w:t>Green incentives</w:t>
      </w:r>
    </w:p>
    <w:tbl>
      <w:tblPr>
        <w:tblW w:w="0" w:type="auto"/>
        <w:jc w:val="center"/>
        <w:tblInd w:w="213"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41"/>
      </w:tblGrid>
      <w:tr w:rsidR="005F6C8E" w:rsidRPr="0064650F" w:rsidTr="00984D27">
        <w:trPr>
          <w:trHeight w:hRule="exact" w:val="240"/>
          <w:jc w:val="center"/>
        </w:trPr>
        <w:tc>
          <w:tcPr>
            <w:tcW w:w="7441" w:type="dxa"/>
            <w:tcBorders>
              <w:top w:val="single" w:sz="4" w:space="0" w:color="auto"/>
            </w:tcBorders>
            <w:shd w:val="clear" w:color="auto" w:fill="auto"/>
          </w:tcPr>
          <w:p w:rsidR="005F6C8E" w:rsidRPr="0064650F" w:rsidRDefault="005F6C8E" w:rsidP="00F6356D">
            <w:pPr>
              <w:keepNext/>
              <w:suppressAutoHyphens w:val="0"/>
              <w:spacing w:line="240" w:lineRule="auto"/>
              <w:rPr>
                <w:rFonts w:eastAsia="SimSun"/>
                <w:lang w:eastAsia="en-GB"/>
              </w:rPr>
            </w:pPr>
          </w:p>
        </w:tc>
      </w:tr>
      <w:tr w:rsidR="005F6C8E" w:rsidRPr="0064650F" w:rsidTr="00984D27">
        <w:trPr>
          <w:jc w:val="center"/>
        </w:trPr>
        <w:tc>
          <w:tcPr>
            <w:tcW w:w="7441" w:type="dxa"/>
            <w:tcBorders>
              <w:bottom w:val="nil"/>
            </w:tcBorders>
            <w:shd w:val="clear" w:color="auto" w:fill="auto"/>
            <w:tcMar>
              <w:left w:w="142" w:type="dxa"/>
              <w:right w:w="142" w:type="dxa"/>
            </w:tcMar>
          </w:tcPr>
          <w:p w:rsidR="005F6C8E" w:rsidRPr="0064650F" w:rsidRDefault="005F6C8E" w:rsidP="00F6356D">
            <w:pPr>
              <w:keepNext/>
              <w:spacing w:after="120"/>
              <w:jc w:val="both"/>
              <w:rPr>
                <w:rFonts w:eastAsia="SimSun"/>
                <w:i/>
                <w:lang w:eastAsia="en-GB"/>
              </w:rPr>
            </w:pPr>
            <w:r w:rsidRPr="00DB59C3">
              <w:rPr>
                <w:rFonts w:eastAsia="SimSun"/>
                <w:b/>
                <w:lang w:eastAsia="en-GB"/>
              </w:rPr>
              <w:t>Questions for discussion</w:t>
            </w:r>
            <w:r w:rsidRPr="00DB59C3">
              <w:rPr>
                <w:rFonts w:eastAsia="SimSun"/>
                <w:lang w:eastAsia="en-GB"/>
              </w:rPr>
              <w:t>:</w:t>
            </w:r>
            <w:r w:rsidRPr="0064650F">
              <w:rPr>
                <w:rFonts w:eastAsia="SimSun"/>
                <w:i/>
                <w:lang w:eastAsia="en-GB"/>
              </w:rPr>
              <w:t xml:space="preserve"> what incentives concerning sustainable public procurement, environmental taxation and the removal of environmentally harmful subsidies, including fossil fuel subsidies, have been introduced, and what else can be done? What do you do to encourage green investment, including private and foreign direct investment and technology transfer in different sectors?</w:t>
            </w:r>
          </w:p>
        </w:tc>
      </w:tr>
      <w:tr w:rsidR="005F6C8E" w:rsidRPr="0064650F" w:rsidTr="00984D27">
        <w:trPr>
          <w:trHeight w:hRule="exact" w:val="20"/>
          <w:jc w:val="center"/>
        </w:trPr>
        <w:tc>
          <w:tcPr>
            <w:tcW w:w="7441" w:type="dxa"/>
            <w:tcBorders>
              <w:bottom w:val="single" w:sz="4" w:space="0" w:color="auto"/>
            </w:tcBorders>
            <w:shd w:val="clear" w:color="auto" w:fill="auto"/>
          </w:tcPr>
          <w:p w:rsidR="005F6C8E" w:rsidRPr="0064650F" w:rsidRDefault="005F6C8E" w:rsidP="00F6356D">
            <w:pPr>
              <w:keepNext/>
              <w:suppressAutoHyphens w:val="0"/>
              <w:spacing w:line="240" w:lineRule="auto"/>
              <w:rPr>
                <w:rFonts w:eastAsia="SimSun"/>
                <w:lang w:eastAsia="en-GB"/>
              </w:rPr>
            </w:pPr>
          </w:p>
        </w:tc>
      </w:tr>
    </w:tbl>
    <w:p w:rsidR="005F6C8E" w:rsidRPr="0064650F" w:rsidRDefault="005F6C8E" w:rsidP="00DB59C3">
      <w:pPr>
        <w:pStyle w:val="SingleTxtG"/>
        <w:spacing w:before="240"/>
        <w:rPr>
          <w:rFonts w:eastAsia="SimSun"/>
          <w:lang w:eastAsia="en-GB"/>
        </w:rPr>
      </w:pPr>
      <w:r w:rsidRPr="0064650F">
        <w:rPr>
          <w:rFonts w:eastAsia="SimSun"/>
          <w:lang w:eastAsia="en-GB"/>
        </w:rPr>
        <w:t>6</w:t>
      </w:r>
      <w:r w:rsidR="003E7C8C" w:rsidRPr="0064650F">
        <w:rPr>
          <w:rFonts w:eastAsia="SimSun"/>
          <w:lang w:eastAsia="en-GB"/>
        </w:rPr>
        <w:t>2</w:t>
      </w:r>
      <w:r w:rsidRPr="0064650F">
        <w:rPr>
          <w:rFonts w:eastAsia="SimSun"/>
          <w:lang w:eastAsia="en-GB"/>
        </w:rPr>
        <w:t>.</w:t>
      </w:r>
      <w:r w:rsidRPr="0064650F">
        <w:rPr>
          <w:rFonts w:eastAsia="SimSun"/>
          <w:lang w:eastAsia="en-GB"/>
        </w:rPr>
        <w:tab/>
        <w:t xml:space="preserve">In the region increasing attention </w:t>
      </w:r>
      <w:r w:rsidR="00AB202D">
        <w:rPr>
          <w:rFonts w:eastAsia="SimSun"/>
          <w:lang w:eastAsia="en-GB"/>
        </w:rPr>
        <w:t xml:space="preserve">is being given </w:t>
      </w:r>
      <w:r w:rsidRPr="0064650F">
        <w:rPr>
          <w:rFonts w:eastAsia="SimSun"/>
          <w:lang w:eastAsia="en-GB"/>
        </w:rPr>
        <w:t xml:space="preserve">to approaches and instruments </w:t>
      </w:r>
      <w:r w:rsidR="00AB202D">
        <w:rPr>
          <w:rFonts w:eastAsia="SimSun"/>
          <w:lang w:eastAsia="en-GB"/>
        </w:rPr>
        <w:t xml:space="preserve">that can </w:t>
      </w:r>
      <w:r w:rsidRPr="0064650F">
        <w:rPr>
          <w:rFonts w:eastAsia="SimSun"/>
          <w:lang w:eastAsia="en-GB"/>
        </w:rPr>
        <w:t>incentivi</w:t>
      </w:r>
      <w:r w:rsidR="00AB202D">
        <w:rPr>
          <w:rFonts w:eastAsia="SimSun"/>
          <w:lang w:eastAsia="en-GB"/>
        </w:rPr>
        <w:t>z</w:t>
      </w:r>
      <w:r w:rsidRPr="0064650F">
        <w:rPr>
          <w:rFonts w:eastAsia="SimSun"/>
          <w:lang w:eastAsia="en-GB"/>
        </w:rPr>
        <w:t xml:space="preserve">e the public and private sector to innovate and invest </w:t>
      </w:r>
      <w:r w:rsidR="00AB202D">
        <w:rPr>
          <w:rFonts w:eastAsia="SimSun"/>
          <w:lang w:eastAsia="en-GB"/>
        </w:rPr>
        <w:t xml:space="preserve">in </w:t>
      </w:r>
      <w:r w:rsidRPr="0064650F">
        <w:rPr>
          <w:rFonts w:eastAsia="SimSun"/>
          <w:lang w:eastAsia="en-GB"/>
        </w:rPr>
        <w:t>greening production processes and to offer green products and services. Sustainable public procurement, market-based instruments</w:t>
      </w:r>
      <w:r w:rsidR="00AB202D">
        <w:rPr>
          <w:rFonts w:eastAsia="SimSun"/>
          <w:lang w:eastAsia="en-GB"/>
        </w:rPr>
        <w:t xml:space="preserve"> and</w:t>
      </w:r>
      <w:r w:rsidRPr="0064650F">
        <w:rPr>
          <w:rFonts w:eastAsia="SimSun"/>
          <w:lang w:eastAsia="en-GB"/>
        </w:rPr>
        <w:t xml:space="preserve"> regulatory measures</w:t>
      </w:r>
      <w:r w:rsidR="00F96FBD">
        <w:rPr>
          <w:rFonts w:eastAsia="SimSun"/>
          <w:lang w:eastAsia="en-GB"/>
        </w:rPr>
        <w:t>,</w:t>
      </w:r>
      <w:r w:rsidRPr="0064650F">
        <w:rPr>
          <w:rFonts w:eastAsia="SimSun"/>
          <w:lang w:eastAsia="en-GB"/>
        </w:rPr>
        <w:t xml:space="preserve"> but also information-based tools, like voluntary standards and labelling schemes, are among these. Policy and fiscal measures in support of innovative enterprises (“</w:t>
      </w:r>
      <w:r w:rsidR="00AB202D" w:rsidRPr="00347945">
        <w:rPr>
          <w:rFonts w:eastAsia="SimSun"/>
          <w:lang w:eastAsia="en-GB"/>
        </w:rPr>
        <w:t>s</w:t>
      </w:r>
      <w:r w:rsidRPr="00347945">
        <w:rPr>
          <w:rFonts w:eastAsia="SimSun"/>
          <w:lang w:eastAsia="en-GB"/>
        </w:rPr>
        <w:t>ta</w:t>
      </w:r>
      <w:r w:rsidR="00D91EF3" w:rsidRPr="00347945">
        <w:rPr>
          <w:rFonts w:eastAsia="SimSun"/>
          <w:lang w:eastAsia="en-GB"/>
        </w:rPr>
        <w:t>rt-up</w:t>
      </w:r>
      <w:r w:rsidRPr="00347945">
        <w:rPr>
          <w:rFonts w:eastAsia="SimSun"/>
          <w:lang w:eastAsia="en-GB"/>
        </w:rPr>
        <w:t>s</w:t>
      </w:r>
      <w:r w:rsidRPr="0064650F">
        <w:rPr>
          <w:rFonts w:eastAsia="SimSun"/>
          <w:lang w:eastAsia="en-GB"/>
        </w:rPr>
        <w:t xml:space="preserve">”) are also important drivers of private investments in green technologies and can facilitate the flow of knowledge and technology transfer between the </w:t>
      </w:r>
      <w:r w:rsidR="00AB202D">
        <w:rPr>
          <w:rFonts w:eastAsia="SimSun"/>
          <w:lang w:eastAsia="en-GB"/>
        </w:rPr>
        <w:t>world</w:t>
      </w:r>
      <w:r w:rsidR="00F96FBD">
        <w:rPr>
          <w:rFonts w:eastAsia="SimSun"/>
          <w:lang w:eastAsia="en-GB"/>
        </w:rPr>
        <w:t>s</w:t>
      </w:r>
      <w:r w:rsidR="00AB202D">
        <w:rPr>
          <w:rFonts w:eastAsia="SimSun"/>
          <w:lang w:eastAsia="en-GB"/>
        </w:rPr>
        <w:t xml:space="preserve"> of </w:t>
      </w:r>
      <w:r w:rsidRPr="0064650F">
        <w:rPr>
          <w:rFonts w:eastAsia="SimSun"/>
          <w:lang w:eastAsia="en-GB"/>
        </w:rPr>
        <w:t xml:space="preserve">academia and research and the business sector, </w:t>
      </w:r>
      <w:r w:rsidR="00C56908">
        <w:rPr>
          <w:rFonts w:eastAsia="SimSun"/>
          <w:lang w:eastAsia="en-GB"/>
        </w:rPr>
        <w:t xml:space="preserve">as well as </w:t>
      </w:r>
      <w:r w:rsidRPr="0064650F">
        <w:rPr>
          <w:rFonts w:eastAsia="SimSun"/>
          <w:lang w:eastAsia="en-GB"/>
        </w:rPr>
        <w:t>between countries</w:t>
      </w:r>
      <w:r w:rsidR="001771EA" w:rsidRPr="0064650F">
        <w:rPr>
          <w:rFonts w:eastAsia="SimSun"/>
          <w:lang w:eastAsia="en-GB"/>
        </w:rPr>
        <w:t>.</w:t>
      </w:r>
    </w:p>
    <w:p w:rsidR="005F6C8E" w:rsidRPr="0064650F" w:rsidRDefault="001E4122" w:rsidP="001112D5">
      <w:pPr>
        <w:pStyle w:val="H23G"/>
        <w:rPr>
          <w:rFonts w:eastAsia="SimSun"/>
          <w:lang w:eastAsia="en-GB"/>
        </w:rPr>
      </w:pPr>
      <w:r>
        <w:rPr>
          <w:rFonts w:eastAsia="SimSun"/>
          <w:lang w:eastAsia="en-GB"/>
        </w:rPr>
        <w:tab/>
      </w:r>
      <w:r>
        <w:rPr>
          <w:rFonts w:eastAsia="SimSun"/>
          <w:lang w:eastAsia="en-GB"/>
        </w:rPr>
        <w:tab/>
      </w:r>
      <w:r w:rsidR="00EB56B4" w:rsidRPr="0064650F">
        <w:rPr>
          <w:rFonts w:eastAsia="SimSun"/>
          <w:lang w:eastAsia="en-GB"/>
        </w:rPr>
        <w:t>Sustainable public procurement</w:t>
      </w:r>
    </w:p>
    <w:p w:rsidR="005F6C8E" w:rsidRPr="0064650F" w:rsidRDefault="005F6C8E" w:rsidP="00384CDD">
      <w:pPr>
        <w:pStyle w:val="SingleTxtG"/>
        <w:rPr>
          <w:rFonts w:eastAsia="SimSun"/>
          <w:lang w:eastAsia="en-GB"/>
        </w:rPr>
      </w:pPr>
      <w:r w:rsidRPr="0064650F">
        <w:rPr>
          <w:rFonts w:eastAsia="SimSun"/>
          <w:lang w:eastAsia="en-GB"/>
        </w:rPr>
        <w:t>6</w:t>
      </w:r>
      <w:r w:rsidR="003E7C8C" w:rsidRPr="0064650F">
        <w:rPr>
          <w:rFonts w:eastAsia="SimSun"/>
          <w:lang w:eastAsia="en-GB"/>
        </w:rPr>
        <w:t>3</w:t>
      </w:r>
      <w:r w:rsidRPr="0064650F">
        <w:rPr>
          <w:rFonts w:eastAsia="SimSun"/>
          <w:lang w:eastAsia="en-GB"/>
        </w:rPr>
        <w:t>.</w:t>
      </w:r>
      <w:r w:rsidRPr="0064650F">
        <w:rPr>
          <w:rFonts w:eastAsia="SimSun"/>
          <w:lang w:eastAsia="en-GB"/>
        </w:rPr>
        <w:tab/>
        <w:t xml:space="preserve">Green and socially responsible purchasing by public authorities </w:t>
      </w:r>
      <w:r w:rsidR="00F96FBD">
        <w:rPr>
          <w:rFonts w:eastAsia="SimSun"/>
          <w:lang w:eastAsia="en-GB"/>
        </w:rPr>
        <w:t>—</w:t>
      </w:r>
      <w:r w:rsidRPr="0064650F">
        <w:rPr>
          <w:rFonts w:eastAsia="SimSun"/>
          <w:lang w:eastAsia="en-GB"/>
        </w:rPr>
        <w:t xml:space="preserve"> sustainable public procurement </w:t>
      </w:r>
      <w:r w:rsidR="00F96FBD">
        <w:rPr>
          <w:rFonts w:eastAsia="SimSun"/>
          <w:lang w:eastAsia="en-GB"/>
        </w:rPr>
        <w:t>—</w:t>
      </w:r>
      <w:r w:rsidRPr="0064650F">
        <w:rPr>
          <w:rFonts w:eastAsia="SimSun"/>
          <w:lang w:eastAsia="en-GB"/>
        </w:rPr>
        <w:t xml:space="preserve"> is a powerful tool to influence private companies and incentivi</w:t>
      </w:r>
      <w:r w:rsidR="00F96FBD">
        <w:rPr>
          <w:rFonts w:eastAsia="SimSun"/>
          <w:lang w:eastAsia="en-GB"/>
        </w:rPr>
        <w:t>z</w:t>
      </w:r>
      <w:r w:rsidRPr="0064650F">
        <w:rPr>
          <w:rFonts w:eastAsia="SimSun"/>
          <w:lang w:eastAsia="en-GB"/>
        </w:rPr>
        <w:t xml:space="preserve">e them to organize </w:t>
      </w:r>
      <w:r w:rsidR="00F96FBD">
        <w:rPr>
          <w:rFonts w:eastAsia="SimSun"/>
          <w:lang w:eastAsia="en-GB"/>
        </w:rPr>
        <w:t xml:space="preserve">and focus </w:t>
      </w:r>
      <w:r w:rsidRPr="0064650F">
        <w:rPr>
          <w:rFonts w:eastAsia="SimSun"/>
          <w:lang w:eastAsia="en-GB"/>
        </w:rPr>
        <w:t xml:space="preserve">the production process </w:t>
      </w:r>
      <w:r w:rsidR="00F96FBD">
        <w:rPr>
          <w:rFonts w:eastAsia="SimSun"/>
          <w:lang w:eastAsia="en-GB"/>
        </w:rPr>
        <w:t xml:space="preserve">in ways </w:t>
      </w:r>
      <w:r w:rsidRPr="0064650F">
        <w:rPr>
          <w:rFonts w:eastAsia="SimSun"/>
          <w:lang w:eastAsia="en-GB"/>
        </w:rPr>
        <w:t>that contribute to achiev</w:t>
      </w:r>
      <w:r w:rsidR="00F96FBD">
        <w:rPr>
          <w:rFonts w:eastAsia="SimSun"/>
          <w:lang w:eastAsia="en-GB"/>
        </w:rPr>
        <w:t>ing</w:t>
      </w:r>
      <w:r w:rsidRPr="0064650F">
        <w:rPr>
          <w:rFonts w:eastAsia="SimSun"/>
          <w:lang w:eastAsia="en-GB"/>
        </w:rPr>
        <w:t xml:space="preserve"> environmental and social targets. This is due to the fact that public authorities in a number of sectors (public transport, construction, education and health) are key consumers. </w:t>
      </w:r>
      <w:r w:rsidR="00C56908">
        <w:rPr>
          <w:rFonts w:eastAsia="SimSun"/>
          <w:lang w:eastAsia="en-GB"/>
        </w:rPr>
        <w:t xml:space="preserve">The public authorities of the </w:t>
      </w:r>
      <w:r w:rsidRPr="0064650F">
        <w:rPr>
          <w:rFonts w:eastAsia="SimSun"/>
          <w:lang w:eastAsia="en-GB"/>
        </w:rPr>
        <w:t xml:space="preserve">EU </w:t>
      </w:r>
      <w:r w:rsidR="00F96FBD">
        <w:rPr>
          <w:rFonts w:eastAsia="SimSun"/>
          <w:lang w:eastAsia="en-GB"/>
        </w:rPr>
        <w:t>m</w:t>
      </w:r>
      <w:r w:rsidRPr="0064650F">
        <w:rPr>
          <w:rFonts w:eastAsia="SimSun"/>
          <w:lang w:eastAsia="en-GB"/>
        </w:rPr>
        <w:t xml:space="preserve">ember States, for instance, spend approximately </w:t>
      </w:r>
      <w:r w:rsidR="00F96FBD">
        <w:rPr>
          <w:rFonts w:eastAsia="SimSun"/>
          <w:lang w:eastAsia="en-GB"/>
        </w:rPr>
        <w:t>€</w:t>
      </w:r>
      <w:r w:rsidRPr="0064650F">
        <w:rPr>
          <w:rFonts w:eastAsia="SimSun"/>
          <w:lang w:eastAsia="en-GB"/>
        </w:rPr>
        <w:t>2 trillion annually, equivalent to some 19</w:t>
      </w:r>
      <w:r w:rsidR="00E94AB0">
        <w:rPr>
          <w:rFonts w:eastAsia="SimSun"/>
          <w:lang w:eastAsia="en-GB"/>
        </w:rPr>
        <w:t xml:space="preserve"> per cent</w:t>
      </w:r>
      <w:r w:rsidRPr="0064650F">
        <w:rPr>
          <w:rFonts w:eastAsia="SimSun"/>
          <w:lang w:eastAsia="en-GB"/>
        </w:rPr>
        <w:t xml:space="preserve"> of </w:t>
      </w:r>
      <w:r w:rsidR="00F96FBD">
        <w:rPr>
          <w:rFonts w:eastAsia="SimSun"/>
          <w:lang w:eastAsia="en-GB"/>
        </w:rPr>
        <w:t xml:space="preserve">the </w:t>
      </w:r>
      <w:r w:rsidRPr="0064650F">
        <w:rPr>
          <w:rFonts w:eastAsia="SimSun"/>
          <w:lang w:eastAsia="en-GB"/>
        </w:rPr>
        <w:t>GDP</w:t>
      </w:r>
      <w:r w:rsidR="00F96FBD">
        <w:rPr>
          <w:rFonts w:eastAsia="SimSun"/>
          <w:lang w:eastAsia="en-GB"/>
        </w:rPr>
        <w:t xml:space="preserve"> of the EU</w:t>
      </w:r>
      <w:r w:rsidRPr="0064650F">
        <w:rPr>
          <w:rFonts w:eastAsia="SimSun"/>
          <w:lang w:eastAsia="en-GB"/>
        </w:rPr>
        <w:t>. And in Eastern Europe, in countries like the Republic of Moldova, such expenditure</w:t>
      </w:r>
      <w:r w:rsidR="00F96FBD">
        <w:rPr>
          <w:rFonts w:eastAsia="SimSun"/>
          <w:lang w:eastAsia="en-GB"/>
        </w:rPr>
        <w:t>s</w:t>
      </w:r>
      <w:r w:rsidRPr="0064650F">
        <w:rPr>
          <w:rFonts w:eastAsia="SimSun"/>
          <w:lang w:eastAsia="en-GB"/>
        </w:rPr>
        <w:t xml:space="preserve"> </w:t>
      </w:r>
      <w:r w:rsidR="00EB56B4" w:rsidRPr="0064650F">
        <w:rPr>
          <w:rFonts w:eastAsia="SimSun"/>
          <w:lang w:eastAsia="en-GB"/>
        </w:rPr>
        <w:t>can reach up to 27</w:t>
      </w:r>
      <w:r w:rsidR="00E94AB0">
        <w:rPr>
          <w:rFonts w:eastAsia="SimSun"/>
          <w:lang w:eastAsia="en-GB"/>
        </w:rPr>
        <w:t xml:space="preserve"> per cent</w:t>
      </w:r>
      <w:r w:rsidR="00EB56B4" w:rsidRPr="0064650F">
        <w:rPr>
          <w:rFonts w:eastAsia="SimSun"/>
          <w:lang w:eastAsia="en-GB"/>
        </w:rPr>
        <w:t xml:space="preserve"> of the GDP.</w:t>
      </w:r>
    </w:p>
    <w:p w:rsidR="005F6C8E" w:rsidRPr="001112D5" w:rsidRDefault="005F6C8E" w:rsidP="00384CDD">
      <w:pPr>
        <w:pStyle w:val="SingleTxtG"/>
      </w:pPr>
      <w:r w:rsidRPr="0064650F">
        <w:rPr>
          <w:rFonts w:eastAsia="SimSun"/>
          <w:lang w:eastAsia="en-GB"/>
        </w:rPr>
        <w:t>6</w:t>
      </w:r>
      <w:r w:rsidR="003E7C8C" w:rsidRPr="0064650F">
        <w:rPr>
          <w:rFonts w:eastAsia="SimSun"/>
          <w:lang w:eastAsia="en-GB"/>
        </w:rPr>
        <w:t>4</w:t>
      </w:r>
      <w:r w:rsidRPr="0064650F">
        <w:rPr>
          <w:rFonts w:eastAsia="SimSun"/>
          <w:lang w:eastAsia="en-GB"/>
        </w:rPr>
        <w:t>.</w:t>
      </w:r>
      <w:r w:rsidRPr="0064650F">
        <w:rPr>
          <w:rFonts w:eastAsia="SimSun"/>
          <w:lang w:eastAsia="en-GB"/>
        </w:rPr>
        <w:tab/>
        <w:t xml:space="preserve">In the EU, </w:t>
      </w:r>
      <w:r w:rsidRPr="0064650F">
        <w:t xml:space="preserve">there is a supportive regional policy and legal framework, with detailed </w:t>
      </w:r>
      <w:r w:rsidRPr="0064650F">
        <w:rPr>
          <w:rFonts w:eastAsia="SimSun"/>
          <w:lang w:eastAsia="en-GB"/>
        </w:rPr>
        <w:t>sustainable public procurement</w:t>
      </w:r>
      <w:r w:rsidRPr="0064650F">
        <w:t xml:space="preserve"> criteria and the indicative quantitative target that, by 2010, 50</w:t>
      </w:r>
      <w:r w:rsidR="00E94AB0">
        <w:t xml:space="preserve"> per cent</w:t>
      </w:r>
      <w:r w:rsidRPr="0064650F">
        <w:t xml:space="preserve"> of all public tendering procedures should be green, where </w:t>
      </w:r>
      <w:r w:rsidR="00F96FBD">
        <w:t>“</w:t>
      </w:r>
      <w:r w:rsidRPr="0064650F">
        <w:t>green</w:t>
      </w:r>
      <w:r w:rsidR="00F96FBD">
        <w:t>”</w:t>
      </w:r>
      <w:r w:rsidRPr="0064650F">
        <w:t xml:space="preserve"> means compliant with endorsed common core EU green procurement criteria for 21 priority products and service categories (e.g. paper, cleaning products and services, textiles, construction, food and catering services,</w:t>
      </w:r>
      <w:r w:rsidR="00C56908">
        <w:t xml:space="preserve"> and</w:t>
      </w:r>
      <w:r w:rsidRPr="0064650F">
        <w:t xml:space="preserve"> electricity). National Action Plans addressing green public procurement have been adopted by a majority of the EU countries.</w:t>
      </w:r>
      <w:r w:rsidRPr="0064650F">
        <w:rPr>
          <w:rFonts w:eastAsia="SimSun"/>
          <w:lang w:eastAsia="en-GB"/>
        </w:rPr>
        <w:t xml:space="preserve"> Progress has also been made in Belarus, </w:t>
      </w:r>
      <w:r w:rsidR="00F96FBD">
        <w:rPr>
          <w:rFonts w:eastAsia="SimSun"/>
          <w:lang w:eastAsia="en-GB"/>
        </w:rPr>
        <w:t xml:space="preserve">the </w:t>
      </w:r>
      <w:r w:rsidRPr="0064650F">
        <w:rPr>
          <w:rFonts w:eastAsia="SimSun"/>
          <w:lang w:eastAsia="en-GB"/>
        </w:rPr>
        <w:t>Republic of Moldova and Ukraine</w:t>
      </w:r>
      <w:r w:rsidR="00F96FBD">
        <w:rPr>
          <w:rFonts w:eastAsia="SimSun"/>
          <w:lang w:eastAsia="en-GB"/>
        </w:rPr>
        <w:t>,</w:t>
      </w:r>
      <w:r w:rsidRPr="0064650F">
        <w:rPr>
          <w:rFonts w:eastAsia="SimSun"/>
          <w:lang w:eastAsia="en-GB"/>
        </w:rPr>
        <w:t xml:space="preserve"> where action plans </w:t>
      </w:r>
      <w:r w:rsidR="00C56908">
        <w:rPr>
          <w:rFonts w:eastAsia="SimSun"/>
          <w:lang w:eastAsia="en-GB"/>
        </w:rPr>
        <w:t xml:space="preserve">have been </w:t>
      </w:r>
      <w:r w:rsidRPr="0064650F">
        <w:rPr>
          <w:rFonts w:eastAsia="SimSun"/>
          <w:lang w:eastAsia="en-GB"/>
        </w:rPr>
        <w:t>developed and pr</w:t>
      </w:r>
      <w:r w:rsidR="00EB56B4" w:rsidRPr="0064650F">
        <w:rPr>
          <w:rFonts w:eastAsia="SimSun"/>
          <w:lang w:eastAsia="en-GB"/>
        </w:rPr>
        <w:t>iority products identified.</w:t>
      </w:r>
    </w:p>
    <w:tbl>
      <w:tblPr>
        <w:tblW w:w="0" w:type="auto"/>
        <w:jc w:val="center"/>
        <w:tblInd w:w="213"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41"/>
      </w:tblGrid>
      <w:tr w:rsidR="005F6C8E" w:rsidRPr="0064650F" w:rsidTr="00561107">
        <w:trPr>
          <w:trHeight w:hRule="exact" w:val="240"/>
          <w:jc w:val="center"/>
        </w:trPr>
        <w:tc>
          <w:tcPr>
            <w:tcW w:w="7441" w:type="dxa"/>
            <w:tcBorders>
              <w:top w:val="single" w:sz="4" w:space="0" w:color="auto"/>
            </w:tcBorders>
            <w:shd w:val="clear" w:color="auto" w:fill="auto"/>
          </w:tcPr>
          <w:p w:rsidR="005F6C8E" w:rsidRPr="0064650F" w:rsidRDefault="005F6C8E" w:rsidP="001E2173">
            <w:pPr>
              <w:keepNext/>
              <w:suppressAutoHyphens w:val="0"/>
              <w:spacing w:line="240" w:lineRule="auto"/>
              <w:ind w:left="482" w:right="482"/>
            </w:pPr>
          </w:p>
        </w:tc>
      </w:tr>
      <w:tr w:rsidR="005F6C8E" w:rsidRPr="0064650F" w:rsidTr="00561107">
        <w:trPr>
          <w:jc w:val="center"/>
        </w:trPr>
        <w:tc>
          <w:tcPr>
            <w:tcW w:w="7441" w:type="dxa"/>
            <w:tcBorders>
              <w:bottom w:val="nil"/>
            </w:tcBorders>
            <w:shd w:val="clear" w:color="auto" w:fill="auto"/>
            <w:tcMar>
              <w:left w:w="142" w:type="dxa"/>
              <w:right w:w="142" w:type="dxa"/>
            </w:tcMar>
          </w:tcPr>
          <w:p w:rsidR="00586503" w:rsidRPr="0064650F" w:rsidRDefault="00561107" w:rsidP="001E2173">
            <w:pPr>
              <w:keepNext/>
              <w:spacing w:after="120"/>
              <w:ind w:left="482" w:right="482"/>
            </w:pPr>
            <w:r w:rsidRPr="0064650F">
              <w:t>Box 1</w:t>
            </w:r>
            <w:r w:rsidR="00586503" w:rsidRPr="0064650F">
              <w:t>:</w:t>
            </w:r>
            <w:r w:rsidRPr="0064650F">
              <w:rPr>
                <w:b/>
              </w:rPr>
              <w:br/>
            </w:r>
            <w:r w:rsidR="00586503" w:rsidRPr="0064650F">
              <w:rPr>
                <w:b/>
              </w:rPr>
              <w:t xml:space="preserve">Benefits of </w:t>
            </w:r>
            <w:r w:rsidR="00D56B2D">
              <w:rPr>
                <w:b/>
              </w:rPr>
              <w:t>s</w:t>
            </w:r>
            <w:r w:rsidR="00586503" w:rsidRPr="0064650F">
              <w:rPr>
                <w:b/>
              </w:rPr>
              <w:t xml:space="preserve">ustainable </w:t>
            </w:r>
            <w:r w:rsidR="00D56B2D">
              <w:rPr>
                <w:b/>
              </w:rPr>
              <w:t>p</w:t>
            </w:r>
            <w:r w:rsidR="00586503" w:rsidRPr="0064650F">
              <w:rPr>
                <w:b/>
              </w:rPr>
              <w:t xml:space="preserve">ublic </w:t>
            </w:r>
            <w:r w:rsidR="00D56B2D">
              <w:rPr>
                <w:b/>
              </w:rPr>
              <w:t>p</w:t>
            </w:r>
            <w:r w:rsidR="00586503" w:rsidRPr="0064650F">
              <w:rPr>
                <w:b/>
              </w:rPr>
              <w:t>rocurement</w:t>
            </w:r>
          </w:p>
          <w:p w:rsidR="005F6C8E" w:rsidRPr="0064650F" w:rsidRDefault="005F6C8E" w:rsidP="001E2173">
            <w:pPr>
              <w:keepNext/>
              <w:spacing w:after="120"/>
              <w:ind w:left="482" w:right="482"/>
            </w:pPr>
            <w:r w:rsidRPr="0064650F">
              <w:t xml:space="preserve">Some examples of the concrete benefits that could be generated by public authorities through </w:t>
            </w:r>
            <w:r w:rsidR="00D56B2D">
              <w:t xml:space="preserve">sustainable public procurement </w:t>
            </w:r>
            <w:r w:rsidRPr="0064650F">
              <w:t xml:space="preserve">include: </w:t>
            </w:r>
          </w:p>
          <w:p w:rsidR="005F6C8E" w:rsidRPr="0064650F" w:rsidRDefault="00D56B2D" w:rsidP="001E2173">
            <w:pPr>
              <w:keepNext/>
              <w:numPr>
                <w:ilvl w:val="0"/>
                <w:numId w:val="44"/>
              </w:numPr>
              <w:spacing w:after="120"/>
              <w:ind w:left="886" w:right="482" w:hanging="284"/>
              <w:jc w:val="both"/>
            </w:pPr>
            <w:r>
              <w:t xml:space="preserve">3 </w:t>
            </w:r>
            <w:r w:rsidR="005F6C8E" w:rsidRPr="0064650F">
              <w:t>million tons of CO</w:t>
            </w:r>
            <w:r w:rsidR="005F6C8E" w:rsidRPr="001E2173">
              <w:rPr>
                <w:vertAlign w:val="subscript"/>
              </w:rPr>
              <w:t>2</w:t>
            </w:r>
            <w:r w:rsidR="005F6C8E" w:rsidRPr="0064650F">
              <w:t xml:space="preserve"> would be saved in the Netherlands alone if all </w:t>
            </w:r>
            <w:r>
              <w:t xml:space="preserve">the </w:t>
            </w:r>
            <w:r w:rsidR="005F6C8E" w:rsidRPr="0064650F">
              <w:t xml:space="preserve">Dutch public authorities applied the national </w:t>
            </w:r>
            <w:r>
              <w:t>s</w:t>
            </w:r>
            <w:r w:rsidR="005F6C8E" w:rsidRPr="0064650F">
              <w:t xml:space="preserve">ustainable </w:t>
            </w:r>
            <w:r>
              <w:t>p</w:t>
            </w:r>
            <w:r w:rsidR="005F6C8E" w:rsidRPr="0064650F">
              <w:t xml:space="preserve">ublic </w:t>
            </w:r>
            <w:r>
              <w:t>p</w:t>
            </w:r>
            <w:r w:rsidR="005F6C8E" w:rsidRPr="0064650F">
              <w:t>rocurement criteria. Public sector energy consumption would be reduced by 10</w:t>
            </w:r>
            <w:r w:rsidR="00E94AB0">
              <w:t xml:space="preserve"> per cent</w:t>
            </w:r>
            <w:r w:rsidR="005F6C8E" w:rsidRPr="0064650F">
              <w:t>.</w:t>
            </w:r>
          </w:p>
          <w:p w:rsidR="005F6C8E" w:rsidRPr="0064650F" w:rsidRDefault="005F6C8E" w:rsidP="001E2173">
            <w:pPr>
              <w:keepNext/>
              <w:numPr>
                <w:ilvl w:val="0"/>
                <w:numId w:val="44"/>
              </w:numPr>
              <w:spacing w:after="120"/>
              <w:ind w:left="886" w:right="482" w:hanging="284"/>
              <w:jc w:val="both"/>
            </w:pPr>
            <w:r w:rsidRPr="0064650F">
              <w:t xml:space="preserve">If all </w:t>
            </w:r>
            <w:r w:rsidR="00D56B2D">
              <w:t>information technology</w:t>
            </w:r>
            <w:r w:rsidRPr="0064650F">
              <w:t xml:space="preserve"> purchases in Europe followed the example of </w:t>
            </w:r>
            <w:r w:rsidR="00D56B2D">
              <w:t xml:space="preserve">the </w:t>
            </w:r>
            <w:r w:rsidRPr="0064650F">
              <w:t>Copenhagen City Council and the Swedish Administrative Development Agency, energy consumption would be cut by around 30</w:t>
            </w:r>
            <w:r w:rsidR="00D56B2D">
              <w:t> </w:t>
            </w:r>
            <w:r w:rsidRPr="0064650F">
              <w:t xml:space="preserve">terawatt hours </w:t>
            </w:r>
            <w:r w:rsidR="00D56B2D">
              <w:t>—</w:t>
            </w:r>
            <w:r w:rsidRPr="0064650F">
              <w:t xml:space="preserve"> roughly equivalent </w:t>
            </w:r>
            <w:r w:rsidR="00F05C87">
              <w:t xml:space="preserve">to the amount of energy produced by </w:t>
            </w:r>
            <w:r w:rsidRPr="0064650F">
              <w:t>four nuclear reactors.</w:t>
            </w:r>
          </w:p>
          <w:p w:rsidR="005F6C8E" w:rsidRPr="0064650F" w:rsidRDefault="005F6C8E" w:rsidP="001E2173">
            <w:pPr>
              <w:keepNext/>
              <w:numPr>
                <w:ilvl w:val="0"/>
                <w:numId w:val="44"/>
              </w:numPr>
              <w:spacing w:after="240"/>
              <w:ind w:left="885" w:right="482" w:hanging="284"/>
              <w:jc w:val="both"/>
            </w:pPr>
            <w:r w:rsidRPr="0064650F">
              <w:t xml:space="preserve">£40.7 million (€47.2 million) could be saved in the </w:t>
            </w:r>
            <w:r w:rsidR="00F05C87">
              <w:t>United Kingdom of Great Britain and Northern Ireland</w:t>
            </w:r>
            <w:r w:rsidRPr="0064650F">
              <w:t xml:space="preserve"> if the proposed Government </w:t>
            </w:r>
            <w:r w:rsidR="00F05C87">
              <w:t>b</w:t>
            </w:r>
            <w:r w:rsidRPr="0064650F">
              <w:t xml:space="preserve">uying </w:t>
            </w:r>
            <w:r w:rsidR="00F05C87">
              <w:t>s</w:t>
            </w:r>
            <w:r w:rsidRPr="0064650F">
              <w:t xml:space="preserve">tandards, including green standards, are applied by all central </w:t>
            </w:r>
            <w:r w:rsidR="00F05C87">
              <w:t>G</w:t>
            </w:r>
            <w:r w:rsidRPr="0064650F">
              <w:t>overnment departments and executive agencies, according to a cost-benefit analysis which moneti</w:t>
            </w:r>
            <w:r w:rsidR="00F05C87">
              <w:t>z</w:t>
            </w:r>
            <w:r w:rsidRPr="0064650F">
              <w:t>ed the potential impacts.</w:t>
            </w:r>
          </w:p>
        </w:tc>
      </w:tr>
      <w:tr w:rsidR="005F6C8E" w:rsidRPr="0064650F" w:rsidTr="00561107">
        <w:trPr>
          <w:trHeight w:hRule="exact" w:val="20"/>
          <w:jc w:val="center"/>
        </w:trPr>
        <w:tc>
          <w:tcPr>
            <w:tcW w:w="7441" w:type="dxa"/>
            <w:tcBorders>
              <w:bottom w:val="single" w:sz="4" w:space="0" w:color="auto"/>
            </w:tcBorders>
            <w:shd w:val="clear" w:color="auto" w:fill="auto"/>
          </w:tcPr>
          <w:p w:rsidR="005F6C8E" w:rsidRPr="0064650F" w:rsidRDefault="005F6C8E" w:rsidP="00A014D2">
            <w:pPr>
              <w:keepNext/>
              <w:suppressAutoHyphens w:val="0"/>
              <w:spacing w:line="240" w:lineRule="auto"/>
            </w:pPr>
          </w:p>
        </w:tc>
      </w:tr>
    </w:tbl>
    <w:p w:rsidR="005F6C8E" w:rsidRPr="0064650F" w:rsidRDefault="005F6C8E" w:rsidP="00CF1355">
      <w:pPr>
        <w:pStyle w:val="SingleTxtG"/>
        <w:spacing w:before="240"/>
      </w:pPr>
      <w:r w:rsidRPr="0064650F">
        <w:t>6</w:t>
      </w:r>
      <w:r w:rsidR="003E7C8C" w:rsidRPr="0064650F">
        <w:t>5</w:t>
      </w:r>
      <w:r w:rsidRPr="0064650F">
        <w:t>.</w:t>
      </w:r>
      <w:r w:rsidRPr="0064650F">
        <w:tab/>
        <w:t xml:space="preserve">However, to exploit the full potential of this policy instrument </w:t>
      </w:r>
      <w:r w:rsidRPr="0064650F">
        <w:rPr>
          <w:rFonts w:eastAsia="SimSun"/>
          <w:lang w:eastAsia="en-GB"/>
        </w:rPr>
        <w:t xml:space="preserve">a number of conditions must be met, </w:t>
      </w:r>
      <w:r w:rsidR="00DD5D8B">
        <w:rPr>
          <w:rFonts w:eastAsia="SimSun"/>
          <w:lang w:eastAsia="en-GB"/>
        </w:rPr>
        <w:t>including</w:t>
      </w:r>
      <w:r w:rsidRPr="0064650F">
        <w:rPr>
          <w:rFonts w:eastAsia="SimSun"/>
          <w:lang w:eastAsia="en-GB"/>
        </w:rPr>
        <w:t xml:space="preserve">: </w:t>
      </w:r>
      <w:r w:rsidR="00DD5D8B">
        <w:rPr>
          <w:rFonts w:eastAsia="SimSun"/>
          <w:lang w:eastAsia="en-GB"/>
        </w:rPr>
        <w:t xml:space="preserve">sufficient </w:t>
      </w:r>
      <w:r w:rsidRPr="0064650F">
        <w:rPr>
          <w:rFonts w:eastAsia="SimSun"/>
          <w:lang w:eastAsia="en-GB"/>
        </w:rPr>
        <w:t>p</w:t>
      </w:r>
      <w:r w:rsidRPr="0064650F">
        <w:t>olitical will</w:t>
      </w:r>
      <w:r w:rsidR="00354D10">
        <w:t>;</w:t>
      </w:r>
      <w:r w:rsidRPr="0064650F">
        <w:t xml:space="preserve"> behavioural change in purchasing departments </w:t>
      </w:r>
      <w:r w:rsidR="00DD5D8B">
        <w:t>(</w:t>
      </w:r>
      <w:r w:rsidRPr="0064650F">
        <w:t xml:space="preserve">green products are </w:t>
      </w:r>
      <w:r w:rsidR="00DD5D8B">
        <w:t xml:space="preserve">often </w:t>
      </w:r>
      <w:r w:rsidRPr="0064650F">
        <w:t xml:space="preserve">perceived </w:t>
      </w:r>
      <w:r w:rsidR="00DD5D8B">
        <w:t xml:space="preserve">as </w:t>
      </w:r>
      <w:r w:rsidRPr="0064650F">
        <w:t>cost</w:t>
      </w:r>
      <w:r w:rsidR="00DD5D8B">
        <w:t>ing</w:t>
      </w:r>
      <w:r w:rsidRPr="0064650F">
        <w:t xml:space="preserve"> more</w:t>
      </w:r>
      <w:r w:rsidR="00DD5D8B">
        <w:t>);</w:t>
      </w:r>
      <w:r w:rsidRPr="0064650F">
        <w:t xml:space="preserve"> </w:t>
      </w:r>
      <w:r w:rsidR="00DD5D8B">
        <w:t xml:space="preserve">the </w:t>
      </w:r>
      <w:r w:rsidRPr="0064650F">
        <w:t>availability of legal expertise</w:t>
      </w:r>
      <w:r w:rsidR="00DD5D8B">
        <w:t>;</w:t>
      </w:r>
      <w:r w:rsidRPr="0064650F">
        <w:t xml:space="preserve"> </w:t>
      </w:r>
      <w:r w:rsidR="00DD5D8B">
        <w:t xml:space="preserve">the </w:t>
      </w:r>
      <w:r w:rsidRPr="0064650F">
        <w:t>availability of practical tools and criteria for products and services</w:t>
      </w:r>
      <w:r w:rsidR="00DD5D8B">
        <w:t>;</w:t>
      </w:r>
      <w:r w:rsidRPr="0064650F">
        <w:t xml:space="preserve"> </w:t>
      </w:r>
      <w:r w:rsidR="00DD5D8B">
        <w:t xml:space="preserve">the </w:t>
      </w:r>
      <w:r w:rsidRPr="0064650F">
        <w:t>availability of information on products and services</w:t>
      </w:r>
      <w:r w:rsidR="00DD5D8B">
        <w:t>;</w:t>
      </w:r>
      <w:r w:rsidRPr="0064650F">
        <w:t xml:space="preserve"> </w:t>
      </w:r>
      <w:r w:rsidR="00DD5D8B">
        <w:t xml:space="preserve">and </w:t>
      </w:r>
      <w:r w:rsidRPr="0064650F">
        <w:t>cooperation</w:t>
      </w:r>
      <w:r w:rsidR="00C87002" w:rsidRPr="0064650F">
        <w:t xml:space="preserve"> between </w:t>
      </w:r>
      <w:r w:rsidR="00DD5D8B">
        <w:t xml:space="preserve">the </w:t>
      </w:r>
      <w:r w:rsidR="00C87002" w:rsidRPr="0064650F">
        <w:t>relevant authorities.</w:t>
      </w:r>
    </w:p>
    <w:p w:rsidR="005F6C8E" w:rsidRPr="0064650F" w:rsidRDefault="001E4122" w:rsidP="00CF1355">
      <w:pPr>
        <w:pStyle w:val="H23G"/>
        <w:rPr>
          <w:rFonts w:eastAsia="SimSun"/>
          <w:lang w:eastAsia="en-GB"/>
        </w:rPr>
      </w:pPr>
      <w:r>
        <w:rPr>
          <w:rFonts w:eastAsia="SimSun"/>
          <w:lang w:eastAsia="en-GB"/>
        </w:rPr>
        <w:tab/>
      </w:r>
      <w:r>
        <w:rPr>
          <w:rFonts w:eastAsia="SimSun"/>
          <w:lang w:eastAsia="en-GB"/>
        </w:rPr>
        <w:tab/>
      </w:r>
      <w:r w:rsidR="00C87002" w:rsidRPr="0064650F">
        <w:rPr>
          <w:rFonts w:eastAsia="SimSun"/>
          <w:lang w:eastAsia="en-GB"/>
        </w:rPr>
        <w:t>Market-based instruments</w:t>
      </w:r>
    </w:p>
    <w:p w:rsidR="005F6C8E" w:rsidRPr="0064650F" w:rsidRDefault="005F6C8E" w:rsidP="00384CDD">
      <w:pPr>
        <w:pStyle w:val="SingleTxtG"/>
      </w:pPr>
      <w:r w:rsidRPr="0064650F">
        <w:t>6</w:t>
      </w:r>
      <w:r w:rsidR="003E7C8C" w:rsidRPr="0064650F">
        <w:t>6</w:t>
      </w:r>
      <w:r w:rsidRPr="0064650F">
        <w:t>.</w:t>
      </w:r>
      <w:r w:rsidRPr="0064650F">
        <w:tab/>
        <w:t xml:space="preserve">Putting a price on pollution or on the overexploitation of scarce natural resources </w:t>
      </w:r>
      <w:r w:rsidR="00DD5D8B">
        <w:t>—</w:t>
      </w:r>
      <w:r w:rsidRPr="0064650F">
        <w:t xml:space="preserve"> through mechanisms such as</w:t>
      </w:r>
      <w:r w:rsidR="00DD5D8B">
        <w:t>,</w:t>
      </w:r>
      <w:r w:rsidRPr="0064650F">
        <w:t xml:space="preserve"> e.g</w:t>
      </w:r>
      <w:proofErr w:type="gramStart"/>
      <w:r w:rsidRPr="0064650F">
        <w:t>.</w:t>
      </w:r>
      <w:r w:rsidR="00DD5D8B">
        <w:t>.</w:t>
      </w:r>
      <w:proofErr w:type="gramEnd"/>
      <w:r w:rsidRPr="0064650F">
        <w:t xml:space="preserve"> </w:t>
      </w:r>
      <w:proofErr w:type="gramStart"/>
      <w:r w:rsidRPr="0064650F">
        <w:t>environmental</w:t>
      </w:r>
      <w:proofErr w:type="gramEnd"/>
      <w:r w:rsidRPr="0064650F">
        <w:t xml:space="preserve"> taxes, pollution charges and environmental damage compensation payments or similar instruments</w:t>
      </w:r>
      <w:r w:rsidR="00DD5D8B">
        <w:t xml:space="preserve"> —</w:t>
      </w:r>
      <w:r w:rsidRPr="0064650F">
        <w:t xml:space="preserve"> can also </w:t>
      </w:r>
      <w:r w:rsidRPr="0064650F">
        <w:rPr>
          <w:rFonts w:eastAsia="SimSun"/>
          <w:lang w:eastAsia="en-GB"/>
        </w:rPr>
        <w:t xml:space="preserve">shift </w:t>
      </w:r>
      <w:r w:rsidR="00B808B1">
        <w:rPr>
          <w:rFonts w:eastAsia="SimSun"/>
          <w:lang w:eastAsia="en-GB"/>
        </w:rPr>
        <w:t xml:space="preserve">the </w:t>
      </w:r>
      <w:r w:rsidRPr="0064650F">
        <w:rPr>
          <w:rFonts w:eastAsia="SimSun"/>
          <w:lang w:eastAsia="en-GB"/>
        </w:rPr>
        <w:t xml:space="preserve">attention </w:t>
      </w:r>
      <w:r w:rsidR="00B808B1">
        <w:rPr>
          <w:rFonts w:eastAsia="SimSun"/>
          <w:lang w:eastAsia="en-GB"/>
        </w:rPr>
        <w:t>of private companies</w:t>
      </w:r>
      <w:r w:rsidR="00B808B1" w:rsidRPr="0064650F">
        <w:rPr>
          <w:rFonts w:eastAsia="SimSun"/>
          <w:lang w:eastAsia="en-GB"/>
        </w:rPr>
        <w:t xml:space="preserve"> </w:t>
      </w:r>
      <w:r w:rsidRPr="0064650F">
        <w:rPr>
          <w:rFonts w:eastAsia="SimSun"/>
          <w:lang w:eastAsia="en-GB"/>
        </w:rPr>
        <w:t>towards more environmentally sound products and services and support investments in green technology</w:t>
      </w:r>
      <w:r w:rsidRPr="0064650F">
        <w:t>. Pricing mechanisms tend to impact the costs of achieving a given objective and provide incentives for further efficiency gains in production processes, product innovation or transfer of technologies. They can also generate revenue to help finance education, health care, infrastructure development or poverty alleviation.</w:t>
      </w:r>
    </w:p>
    <w:p w:rsidR="005F6C8E" w:rsidRPr="0064650F" w:rsidRDefault="005F6C8E" w:rsidP="00384CDD">
      <w:pPr>
        <w:pStyle w:val="SingleTxtG"/>
      </w:pPr>
      <w:r w:rsidRPr="0064650F">
        <w:t>6</w:t>
      </w:r>
      <w:r w:rsidR="003E7C8C" w:rsidRPr="0064650F">
        <w:t>7</w:t>
      </w:r>
      <w:r w:rsidRPr="0064650F">
        <w:t>.</w:t>
      </w:r>
      <w:r w:rsidRPr="0064650F">
        <w:tab/>
        <w:t>In the region</w:t>
      </w:r>
      <w:r w:rsidR="00B808B1">
        <w:t>,</w:t>
      </w:r>
      <w:r w:rsidRPr="0064650F">
        <w:t xml:space="preserve"> most new efforts on environmental taxes focus on pollution (Georgia, Greece, </w:t>
      </w:r>
      <w:proofErr w:type="gramStart"/>
      <w:r w:rsidRPr="0064650F">
        <w:t>Romania</w:t>
      </w:r>
      <w:proofErr w:type="gramEnd"/>
      <w:r w:rsidRPr="0064650F">
        <w:t>) and there are also examples of taxes on natural resources (Lithuania). Some countries (</w:t>
      </w:r>
      <w:r w:rsidR="003F3F9C">
        <w:t xml:space="preserve">the </w:t>
      </w:r>
      <w:r w:rsidRPr="0064650F">
        <w:t xml:space="preserve">Netherlands, Norway, </w:t>
      </w:r>
      <w:proofErr w:type="gramStart"/>
      <w:r w:rsidRPr="0064650F">
        <w:t>Sweden</w:t>
      </w:r>
      <w:proofErr w:type="gramEnd"/>
      <w:r w:rsidRPr="0064650F">
        <w:t>) have not only introduced taxes and charges</w:t>
      </w:r>
      <w:r w:rsidR="003F3F9C">
        <w:t>,</w:t>
      </w:r>
      <w:r w:rsidRPr="0064650F">
        <w:t xml:space="preserve"> but are also indexing them annually, so that they stay constant in real terms and retain the same impact on the private sector. There are also examples of levies</w:t>
      </w:r>
      <w:r w:rsidR="00B808B1">
        <w:t xml:space="preserve">, such as </w:t>
      </w:r>
      <w:r w:rsidR="003F3F9C">
        <w:t>the</w:t>
      </w:r>
      <w:r w:rsidR="00B808B1">
        <w:t xml:space="preserve"> </w:t>
      </w:r>
      <w:r w:rsidRPr="0064650F">
        <w:t>climate change levy on energy use</w:t>
      </w:r>
      <w:r w:rsidR="00B808B1">
        <w:t xml:space="preserve"> established by the United Kingdom</w:t>
      </w:r>
      <w:r w:rsidR="00477600">
        <w:t>,</w:t>
      </w:r>
      <w:r w:rsidR="00B808B1">
        <w:t xml:space="preserve"> with </w:t>
      </w:r>
      <w:r w:rsidR="00477600">
        <w:t xml:space="preserve">businesses from </w:t>
      </w:r>
      <w:r w:rsidR="00B808B1">
        <w:t>certain sectors and</w:t>
      </w:r>
      <w:r w:rsidR="00477600">
        <w:t>/or</w:t>
      </w:r>
      <w:r w:rsidR="00B808B1">
        <w:t xml:space="preserve"> </w:t>
      </w:r>
      <w:r w:rsidR="00477600">
        <w:t xml:space="preserve">using </w:t>
      </w:r>
      <w:r w:rsidR="00B808B1">
        <w:t>certain types of energ</w:t>
      </w:r>
      <w:r w:rsidR="00722A28">
        <w:t>y</w:t>
      </w:r>
      <w:r w:rsidR="00B808B1">
        <w:t xml:space="preserve"> </w:t>
      </w:r>
      <w:r w:rsidR="00477600">
        <w:t xml:space="preserve">receiving discounts. However, research suggests that those businesses that paid the full levies were actually more </w:t>
      </w:r>
      <w:r w:rsidRPr="0064650F">
        <w:t>innovati</w:t>
      </w:r>
      <w:r w:rsidR="00477600">
        <w:t>ve</w:t>
      </w:r>
      <w:r w:rsidRPr="0064650F">
        <w:t xml:space="preserve"> </w:t>
      </w:r>
      <w:r w:rsidR="00477600">
        <w:t xml:space="preserve">than those that received discounts, as evidenced –by the </w:t>
      </w:r>
      <w:r w:rsidRPr="0064650F">
        <w:t xml:space="preserve">higher number of </w:t>
      </w:r>
      <w:r w:rsidRPr="0064650F">
        <w:lastRenderedPageBreak/>
        <w:t>patents registered</w:t>
      </w:r>
      <w:r w:rsidR="00477600">
        <w:t>.</w:t>
      </w:r>
      <w:r w:rsidR="00477600">
        <w:rPr>
          <w:rStyle w:val="FootnoteReference"/>
        </w:rPr>
        <w:footnoteReference w:id="16"/>
      </w:r>
      <w:r w:rsidRPr="0064650F">
        <w:t xml:space="preserve"> </w:t>
      </w:r>
      <w:r w:rsidR="00C87002" w:rsidRPr="0064650F">
        <w:t>.</w:t>
      </w:r>
      <w:r w:rsidR="00354667">
        <w:t xml:space="preserve"> [</w:t>
      </w:r>
      <w:proofErr w:type="gramStart"/>
      <w:r w:rsidR="00354667">
        <w:t>the</w:t>
      </w:r>
      <w:proofErr w:type="gramEnd"/>
      <w:r w:rsidR="00354667">
        <w:t xml:space="preserve"> message is that those companies exempted partially or fully from the levy had issued less request for patents compared to the other companies, i.e. were “less innovative”]</w:t>
      </w:r>
    </w:p>
    <w:p w:rsidR="005F6C8E" w:rsidRPr="0064650F" w:rsidRDefault="003E7C8C" w:rsidP="00384CDD">
      <w:pPr>
        <w:pStyle w:val="SingleTxtG"/>
      </w:pPr>
      <w:r w:rsidRPr="0064650F">
        <w:t>68</w:t>
      </w:r>
      <w:r w:rsidR="005F6C8E" w:rsidRPr="0064650F">
        <w:t>.</w:t>
      </w:r>
      <w:r w:rsidR="005F6C8E" w:rsidRPr="0064650F">
        <w:tab/>
        <w:t xml:space="preserve">The EU or Swiss emission trading scheme, working on the </w:t>
      </w:r>
      <w:r w:rsidR="003F3F9C">
        <w:t>“</w:t>
      </w:r>
      <w:r w:rsidR="005F6C8E" w:rsidRPr="0064650F">
        <w:t>cap and trade</w:t>
      </w:r>
      <w:r w:rsidR="003F3F9C">
        <w:t>”</w:t>
      </w:r>
      <w:r w:rsidR="005F6C8E" w:rsidRPr="0064650F">
        <w:t xml:space="preserve"> principle with the cap reduced over time, is another example of a system designed to curb emissions. The idea of trading was introduced to ensure that emission</w:t>
      </w:r>
      <w:r w:rsidR="003F3F9C">
        <w:t>s</w:t>
      </w:r>
      <w:r w:rsidR="005F6C8E" w:rsidRPr="0064650F">
        <w:t xml:space="preserve"> could be cut where it costs </w:t>
      </w:r>
      <w:r w:rsidR="003F3F9C">
        <w:t xml:space="preserve">the </w:t>
      </w:r>
      <w:r w:rsidR="005F6C8E" w:rsidRPr="0064650F">
        <w:t xml:space="preserve">least to do so. Kazakhstan has also introduced </w:t>
      </w:r>
      <w:r w:rsidR="003F3F9C">
        <w:t>s</w:t>
      </w:r>
      <w:r w:rsidR="005F6C8E" w:rsidRPr="0064650F">
        <w:t>u</w:t>
      </w:r>
      <w:r w:rsidR="00C87002" w:rsidRPr="0064650F">
        <w:t>ch an emissions trading scheme.</w:t>
      </w:r>
    </w:p>
    <w:p w:rsidR="005F6C8E" w:rsidRPr="0064650F" w:rsidRDefault="003E7C8C" w:rsidP="00384CDD">
      <w:pPr>
        <w:pStyle w:val="SingleTxtG"/>
      </w:pPr>
      <w:r w:rsidRPr="0064650F">
        <w:t>69</w:t>
      </w:r>
      <w:r w:rsidR="005F6C8E" w:rsidRPr="0064650F">
        <w:t>.</w:t>
      </w:r>
      <w:r w:rsidR="005F6C8E" w:rsidRPr="0064650F">
        <w:tab/>
        <w:t>Time-limited subsidies can also be a useful tool for changing price signals. They can be an effective policy option when pricing instruments are too difficult or costly to enforce. They typically lower the upfront capital cost of investment by offering grants, tax credits, or low-interest loans to enterprises. Examples include subsidies for the promotion of clean technology (Italy) or greener agriculture or feed</w:t>
      </w:r>
      <w:r w:rsidR="002D36C1">
        <w:t>-</w:t>
      </w:r>
      <w:r w:rsidR="005F6C8E" w:rsidRPr="0064650F">
        <w:t>in tariffs for renewable energy (Switzerland), and sometimes take the form of tax</w:t>
      </w:r>
      <w:r w:rsidR="002D36C1">
        <w:t xml:space="preserve"> </w:t>
      </w:r>
      <w:r w:rsidR="005F6C8E" w:rsidRPr="0064650F">
        <w:t>rebates (Greece</w:t>
      </w:r>
      <w:r w:rsidR="002D36C1">
        <w:t>,</w:t>
      </w:r>
      <w:r w:rsidR="005F6C8E" w:rsidRPr="0064650F">
        <w:t xml:space="preserve"> for energy efficiency). However, subsidies tend to be accompanied by higher costs</w:t>
      </w:r>
      <w:r w:rsidR="002D36C1">
        <w:t xml:space="preserve"> and</w:t>
      </w:r>
      <w:r w:rsidR="005F6C8E" w:rsidRPr="0064650F">
        <w:t xml:space="preserve"> involve complications around targeting and how to find or redirect limited public funds. The demands that they place on governments in terms of administrative capacity and information requirements are considerable. Subsidies can </w:t>
      </w:r>
      <w:r w:rsidR="002D36C1">
        <w:t xml:space="preserve">also </w:t>
      </w:r>
      <w:r w:rsidR="005F6C8E" w:rsidRPr="0064650F">
        <w:t>have far-reaching and unintended consequences</w:t>
      </w:r>
      <w:r w:rsidR="002D36C1">
        <w:t>,</w:t>
      </w:r>
      <w:r w:rsidR="005F6C8E" w:rsidRPr="0064650F">
        <w:t xml:space="preserve"> but these are not always easily detected or visible to the public.</w:t>
      </w:r>
    </w:p>
    <w:p w:rsidR="005F6C8E" w:rsidRPr="0064650F" w:rsidRDefault="005F6C8E" w:rsidP="00384CDD">
      <w:pPr>
        <w:pStyle w:val="SingleTxtG"/>
      </w:pPr>
      <w:r w:rsidRPr="0064650F">
        <w:t>7</w:t>
      </w:r>
      <w:r w:rsidR="003E7C8C" w:rsidRPr="0064650F">
        <w:t>0</w:t>
      </w:r>
      <w:r w:rsidRPr="0064650F">
        <w:t>.</w:t>
      </w:r>
      <w:r w:rsidRPr="0064650F">
        <w:tab/>
        <w:t xml:space="preserve">At the same time, existing subsidies which run counter to the objectives of green growth policies should be eliminated. There is evidence that they can constitute a heavy burden </w:t>
      </w:r>
      <w:r w:rsidR="002D36C1">
        <w:t>on the budgets of S</w:t>
      </w:r>
      <w:r w:rsidRPr="0064650F">
        <w:t>tate or local authorities and are at the same time difficult to phase out. Subsidies on fossil fuels, for instance, both encourage pollution and constrain the ability of governments to engage in programmes to boost long</w:t>
      </w:r>
      <w:r w:rsidR="002C354D">
        <w:t>-</w:t>
      </w:r>
      <w:r w:rsidRPr="0064650F">
        <w:t>run growth through, for example, improved health and education. Reforming and eventually phasing out environmentally harmful subsidies can be an important part of the transition to greener and more efficient economies. Savings from subsidy reform could offer a budgetary opportunity to boost support to green growth</w:t>
      </w:r>
      <w:r w:rsidR="002C354D">
        <w:t>,</w:t>
      </w:r>
      <w:r w:rsidRPr="0064650F">
        <w:t xml:space="preserve"> but this will depend on the local context.</w:t>
      </w:r>
    </w:p>
    <w:p w:rsidR="005F6C8E" w:rsidRPr="0064650F" w:rsidRDefault="005F6C8E" w:rsidP="00384CDD">
      <w:pPr>
        <w:pStyle w:val="SingleTxtG"/>
      </w:pPr>
      <w:r w:rsidRPr="0064650F">
        <w:t>7</w:t>
      </w:r>
      <w:r w:rsidR="003E7C8C" w:rsidRPr="0064650F">
        <w:t>1</w:t>
      </w:r>
      <w:r w:rsidRPr="0064650F">
        <w:t>.</w:t>
      </w:r>
      <w:r w:rsidRPr="0064650F">
        <w:tab/>
        <w:t xml:space="preserve">Despite the fact that the use of market-based instruments is expanding, including in the region of </w:t>
      </w:r>
      <w:r w:rsidR="00042B9A">
        <w:t xml:space="preserve">Eastern </w:t>
      </w:r>
      <w:r w:rsidRPr="0064650F">
        <w:t xml:space="preserve">Europe, </w:t>
      </w:r>
      <w:r w:rsidR="00042B9A">
        <w:t xml:space="preserve">the </w:t>
      </w:r>
      <w:r w:rsidRPr="0064650F">
        <w:t>Caucasus and Central Asia (</w:t>
      </w:r>
      <w:r w:rsidR="00042B9A">
        <w:t>b</w:t>
      </w:r>
      <w:r w:rsidRPr="0064650F">
        <w:t>ox 2), they are often used to address selected issues in a specific sector, rather than be</w:t>
      </w:r>
      <w:r w:rsidR="00042B9A">
        <w:t>ing</w:t>
      </w:r>
      <w:r w:rsidRPr="0064650F">
        <w:t xml:space="preserve"> applied in a conce</w:t>
      </w:r>
      <w:r w:rsidR="00C87002" w:rsidRPr="0064650F">
        <w:t>rted manner across the economy.</w:t>
      </w:r>
    </w:p>
    <w:p w:rsidR="005F6C8E" w:rsidRPr="0064650F" w:rsidRDefault="005F6C8E" w:rsidP="00384CDD">
      <w:pPr>
        <w:pStyle w:val="SingleTxtG"/>
      </w:pPr>
      <w:r w:rsidRPr="0064650F">
        <w:t>7</w:t>
      </w:r>
      <w:r w:rsidR="003E7C8C" w:rsidRPr="0064650F">
        <w:t>2</w:t>
      </w:r>
      <w:r w:rsidRPr="0064650F">
        <w:t>.</w:t>
      </w:r>
      <w:r w:rsidRPr="0064650F">
        <w:tab/>
        <w:t xml:space="preserve">Furthermore, the issue of competitiveness is central to applying market-based instruments. Without a coordinated approach at </w:t>
      </w:r>
      <w:r w:rsidR="00042B9A">
        <w:t xml:space="preserve">the </w:t>
      </w:r>
      <w:r w:rsidRPr="0064650F">
        <w:t xml:space="preserve">regional (and global) level on the application of these instruments, their impact on the private companies can be different </w:t>
      </w:r>
      <w:r w:rsidR="00042B9A">
        <w:t xml:space="preserve">than </w:t>
      </w:r>
      <w:r w:rsidRPr="0064650F">
        <w:t xml:space="preserve">expected. For example, companies may </w:t>
      </w:r>
      <w:r w:rsidR="00042B9A">
        <w:t xml:space="preserve">choose to </w:t>
      </w:r>
      <w:r w:rsidRPr="0064650F">
        <w:t>relocate to countries with no environmental taxation as part of their strategy to reduce costs.</w:t>
      </w:r>
    </w:p>
    <w:p w:rsidR="005F6C8E" w:rsidRPr="0064650F" w:rsidRDefault="005F6C8E" w:rsidP="001769C8">
      <w:pPr>
        <w:pStyle w:val="SingleTxtG"/>
        <w:spacing w:after="240"/>
      </w:pPr>
      <w:r w:rsidRPr="0064650F">
        <w:t>7</w:t>
      </w:r>
      <w:r w:rsidR="003E7C8C" w:rsidRPr="0064650F">
        <w:t>3</w:t>
      </w:r>
      <w:r w:rsidRPr="0064650F">
        <w:t>.</w:t>
      </w:r>
      <w:r w:rsidRPr="0064650F">
        <w:tab/>
        <w:t>In addition, some of the market-based instruments are not yet producing the expected benefits. For instance, the EU emission trading scheme is facing a challenge in the form of a growing surplus of emission allowances, largely because of the economic crisis which has depressed emissions more than anticipated. As a consequence carbon prices are not high enough to send a signal for transformational change. Instead, today’s low prices for carbon are driving investments away from green alternatives, and towards fossil fu</w:t>
      </w:r>
      <w:r w:rsidR="00C87002" w:rsidRPr="0064650F">
        <w:t>el options such as natural gas.</w:t>
      </w:r>
    </w:p>
    <w:tbl>
      <w:tblPr>
        <w:tblW w:w="0" w:type="auto"/>
        <w:jc w:val="center"/>
        <w:tblInd w:w="248"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06"/>
      </w:tblGrid>
      <w:tr w:rsidR="005F6C8E" w:rsidRPr="0064650F" w:rsidTr="00561107">
        <w:trPr>
          <w:trHeight w:val="274"/>
          <w:jc w:val="center"/>
        </w:trPr>
        <w:tc>
          <w:tcPr>
            <w:tcW w:w="7406" w:type="dxa"/>
            <w:tcBorders>
              <w:top w:val="single" w:sz="4" w:space="0" w:color="auto"/>
            </w:tcBorders>
            <w:shd w:val="clear" w:color="auto" w:fill="auto"/>
          </w:tcPr>
          <w:p w:rsidR="005F6C8E" w:rsidRPr="0064650F" w:rsidRDefault="005F6C8E" w:rsidP="00CC4DE6">
            <w:pPr>
              <w:pageBreakBefore/>
              <w:suppressAutoHyphens w:val="0"/>
              <w:spacing w:line="240" w:lineRule="auto"/>
              <w:ind w:left="482" w:right="482"/>
            </w:pPr>
          </w:p>
        </w:tc>
      </w:tr>
      <w:tr w:rsidR="005F6C8E" w:rsidRPr="0064650F" w:rsidTr="00561107">
        <w:trPr>
          <w:jc w:val="center"/>
        </w:trPr>
        <w:tc>
          <w:tcPr>
            <w:tcW w:w="7406" w:type="dxa"/>
            <w:tcBorders>
              <w:bottom w:val="nil"/>
            </w:tcBorders>
            <w:shd w:val="clear" w:color="auto" w:fill="auto"/>
            <w:tcMar>
              <w:left w:w="142" w:type="dxa"/>
              <w:right w:w="142" w:type="dxa"/>
            </w:tcMar>
          </w:tcPr>
          <w:p w:rsidR="00561107" w:rsidRPr="0064650F" w:rsidRDefault="00561107" w:rsidP="00ED625C">
            <w:pPr>
              <w:spacing w:after="120"/>
              <w:ind w:left="482" w:right="482"/>
              <w:rPr>
                <w:rFonts w:ascii="TimesNewRomanPSMT" w:hAnsi="TimesNewRomanPSMT" w:cs="TimesNewRomanPSMT"/>
                <w:lang w:eastAsia="en-GB"/>
              </w:rPr>
            </w:pPr>
            <w:r w:rsidRPr="0064650F">
              <w:rPr>
                <w:rFonts w:ascii="TimesNewRomanPSMT" w:hAnsi="TimesNewRomanPSMT" w:cs="TimesNewRomanPSMT"/>
                <w:lang w:eastAsia="en-GB"/>
              </w:rPr>
              <w:t xml:space="preserve">Box </w:t>
            </w:r>
            <w:r w:rsidR="00C86A6F" w:rsidRPr="0064650F">
              <w:rPr>
                <w:rFonts w:ascii="TimesNewRomanPSMT" w:hAnsi="TimesNewRomanPSMT" w:cs="TimesNewRomanPSMT"/>
                <w:lang w:eastAsia="en-GB"/>
              </w:rPr>
              <w:t>2</w:t>
            </w:r>
            <w:r w:rsidRPr="0064650F">
              <w:rPr>
                <w:rFonts w:ascii="TimesNewRomanPSMT" w:hAnsi="TimesNewRomanPSMT" w:cs="TimesNewRomanPSMT"/>
                <w:b/>
                <w:lang w:eastAsia="en-GB"/>
              </w:rPr>
              <w:br/>
              <w:t>Reforming environmentally</w:t>
            </w:r>
            <w:r w:rsidR="00EE11A9">
              <w:rPr>
                <w:rFonts w:ascii="TimesNewRomanPSMT" w:hAnsi="TimesNewRomanPSMT" w:cs="TimesNewRomanPSMT"/>
                <w:b/>
                <w:lang w:eastAsia="en-GB"/>
              </w:rPr>
              <w:t xml:space="preserve"> </w:t>
            </w:r>
            <w:r w:rsidRPr="0064650F">
              <w:rPr>
                <w:rFonts w:ascii="TimesNewRomanPSMT" w:hAnsi="TimesNewRomanPSMT" w:cs="TimesNewRomanPSMT"/>
                <w:b/>
                <w:lang w:eastAsia="en-GB"/>
              </w:rPr>
              <w:t xml:space="preserve">related economic instruments in Eastern Europe, </w:t>
            </w:r>
            <w:r w:rsidR="00EE11A9">
              <w:rPr>
                <w:rFonts w:ascii="TimesNewRomanPSMT" w:hAnsi="TimesNewRomanPSMT" w:cs="TimesNewRomanPSMT"/>
                <w:b/>
                <w:lang w:eastAsia="en-GB"/>
              </w:rPr>
              <w:t xml:space="preserve">the </w:t>
            </w:r>
            <w:r w:rsidRPr="0064650F">
              <w:rPr>
                <w:rFonts w:ascii="TimesNewRomanPSMT" w:hAnsi="TimesNewRomanPSMT" w:cs="TimesNewRomanPSMT"/>
                <w:b/>
                <w:lang w:eastAsia="en-GB"/>
              </w:rPr>
              <w:t>Caucasus and Central Asia</w:t>
            </w:r>
          </w:p>
          <w:p w:rsidR="005F6C8E" w:rsidRPr="0064650F" w:rsidRDefault="005F6C8E" w:rsidP="00ED625C">
            <w:pPr>
              <w:spacing w:after="120"/>
              <w:ind w:left="482" w:right="482"/>
              <w:jc w:val="both"/>
            </w:pPr>
            <w:r w:rsidRPr="0064650F">
              <w:rPr>
                <w:rFonts w:ascii="TimesNewRomanPSMT" w:hAnsi="TimesNewRomanPSMT" w:cs="TimesNewRomanPSMT"/>
                <w:lang w:eastAsia="en-GB"/>
              </w:rPr>
              <w:t xml:space="preserve">Over the </w:t>
            </w:r>
            <w:r w:rsidR="00042B9A">
              <w:rPr>
                <w:rFonts w:ascii="TimesNewRomanPSMT" w:hAnsi="TimesNewRomanPSMT" w:cs="TimesNewRomanPSMT"/>
                <w:lang w:eastAsia="en-GB"/>
              </w:rPr>
              <w:t>p</w:t>
            </w:r>
            <w:r w:rsidRPr="0064650F">
              <w:rPr>
                <w:rFonts w:ascii="TimesNewRomanPSMT" w:hAnsi="TimesNewRomanPSMT" w:cs="TimesNewRomanPSMT"/>
                <w:lang w:eastAsia="en-GB"/>
              </w:rPr>
              <w:t xml:space="preserve">ast </w:t>
            </w:r>
            <w:r w:rsidR="00042B9A">
              <w:rPr>
                <w:rFonts w:ascii="TimesNewRomanPSMT" w:hAnsi="TimesNewRomanPSMT" w:cs="TimesNewRomanPSMT"/>
                <w:lang w:eastAsia="en-GB"/>
              </w:rPr>
              <w:t xml:space="preserve">10 </w:t>
            </w:r>
            <w:r w:rsidRPr="0064650F">
              <w:rPr>
                <w:rFonts w:ascii="TimesNewRomanPSMT" w:hAnsi="TimesNewRomanPSMT" w:cs="TimesNewRomanPSMT"/>
                <w:lang w:eastAsia="en-GB"/>
              </w:rPr>
              <w:t>years, countries of Eastern Europe</w:t>
            </w:r>
            <w:r w:rsidR="00042B9A">
              <w:rPr>
                <w:rFonts w:ascii="TimesNewRomanPSMT" w:hAnsi="TimesNewRomanPSMT" w:cs="TimesNewRomanPSMT"/>
                <w:lang w:eastAsia="en-GB"/>
              </w:rPr>
              <w:t>, the</w:t>
            </w:r>
            <w:r w:rsidRPr="0064650F">
              <w:rPr>
                <w:rFonts w:ascii="TimesNewRomanPSMT" w:hAnsi="TimesNewRomanPSMT" w:cs="TimesNewRomanPSMT"/>
                <w:lang w:eastAsia="en-GB"/>
              </w:rPr>
              <w:t xml:space="preserve"> Caucasus and Central Asia have been making efforts to improve the design and implementation of economic instruments for advancing environmental policies, including pollution and product taxes or charges, non-compliance penalties and environmental damage compensation payments. The instruments’ administrative efficiency (including the collection rates) has substantially improved across the region. The environmental tax rates have increased, the number of pollutants subject to taxation in some countries </w:t>
            </w:r>
            <w:r w:rsidR="00042B9A">
              <w:rPr>
                <w:rFonts w:ascii="TimesNewRomanPSMT" w:hAnsi="TimesNewRomanPSMT" w:cs="TimesNewRomanPSMT"/>
                <w:lang w:eastAsia="en-GB"/>
              </w:rPr>
              <w:t xml:space="preserve">have been </w:t>
            </w:r>
            <w:r w:rsidRPr="0064650F">
              <w:rPr>
                <w:rFonts w:ascii="TimesNewRomanPSMT" w:hAnsi="TimesNewRomanPSMT" w:cs="TimesNewRomanPSMT"/>
                <w:lang w:eastAsia="en-GB"/>
              </w:rPr>
              <w:t>reduced from hundreds to more practical levels (less than twenty), and the use of product taxes and administrative fines for legal entities has expanded. Despite this progress, the design of these instruments, individually and collectively, remains far from optimal.</w:t>
            </w:r>
          </w:p>
        </w:tc>
      </w:tr>
      <w:tr w:rsidR="005F6C8E" w:rsidRPr="0064650F" w:rsidTr="00561107">
        <w:trPr>
          <w:trHeight w:hRule="exact" w:val="20"/>
          <w:jc w:val="center"/>
        </w:trPr>
        <w:tc>
          <w:tcPr>
            <w:tcW w:w="7406" w:type="dxa"/>
            <w:tcBorders>
              <w:bottom w:val="single" w:sz="4" w:space="0" w:color="auto"/>
            </w:tcBorders>
            <w:shd w:val="clear" w:color="auto" w:fill="auto"/>
          </w:tcPr>
          <w:p w:rsidR="005F6C8E" w:rsidRPr="0064650F" w:rsidRDefault="005F6C8E" w:rsidP="005F6C8E">
            <w:pPr>
              <w:suppressAutoHyphens w:val="0"/>
              <w:spacing w:line="240" w:lineRule="auto"/>
            </w:pPr>
          </w:p>
        </w:tc>
      </w:tr>
    </w:tbl>
    <w:p w:rsidR="005F6C8E" w:rsidRPr="0064650F" w:rsidRDefault="001E4122" w:rsidP="00ED625C">
      <w:pPr>
        <w:pStyle w:val="H23G"/>
      </w:pPr>
      <w:r>
        <w:tab/>
      </w:r>
      <w:r>
        <w:tab/>
      </w:r>
      <w:r w:rsidR="005F6C8E" w:rsidRPr="0064650F">
        <w:t>Regulatory</w:t>
      </w:r>
      <w:r w:rsidR="005F6C8E" w:rsidRPr="0064650F">
        <w:rPr>
          <w:sz w:val="24"/>
        </w:rPr>
        <w:t xml:space="preserve"> </w:t>
      </w:r>
      <w:r w:rsidR="005F6C8E" w:rsidRPr="0064650F">
        <w:t>measures</w:t>
      </w:r>
    </w:p>
    <w:p w:rsidR="005F6C8E" w:rsidRPr="0064650F" w:rsidRDefault="005F6C8E" w:rsidP="0056748E">
      <w:pPr>
        <w:pStyle w:val="SingleTxtG"/>
      </w:pPr>
      <w:r w:rsidRPr="0064650F">
        <w:t>7</w:t>
      </w:r>
      <w:r w:rsidR="003E7C8C" w:rsidRPr="0064650F">
        <w:t>4</w:t>
      </w:r>
      <w:r w:rsidRPr="0064650F">
        <w:t>.</w:t>
      </w:r>
      <w:r w:rsidRPr="0064650F">
        <w:tab/>
        <w:t>In certain cases, well-designed regulation or compliance promotion may be more appropriate and effective to drive the private sector towards greener products and production processes. The</w:t>
      </w:r>
      <w:r w:rsidR="00722A28">
        <w:t>se</w:t>
      </w:r>
      <w:r w:rsidRPr="0064650F">
        <w:t xml:space="preserve"> include instruments and procedures</w:t>
      </w:r>
      <w:r w:rsidR="007C391A" w:rsidRPr="0064650F">
        <w:rPr>
          <w:rStyle w:val="FootnoteReference"/>
        </w:rPr>
        <w:footnoteReference w:id="17"/>
      </w:r>
      <w:r w:rsidRPr="0064650F">
        <w:t xml:space="preserve"> such as strategic environmental assessment (SEA) of sectoral policies and programmes, environmental impact assessment (EIA) of individual development activities, emission limit values (ELVs), best available technology requirements, zoning</w:t>
      </w:r>
      <w:r w:rsidR="0021000C">
        <w:t xml:space="preserve"> and</w:t>
      </w:r>
      <w:r w:rsidRPr="0064650F">
        <w:t xml:space="preserve"> pollutant release </w:t>
      </w:r>
      <w:r w:rsidR="00C87002" w:rsidRPr="0064650F">
        <w:t>and transfer registers (PRTRs).</w:t>
      </w:r>
    </w:p>
    <w:p w:rsidR="005F6C8E" w:rsidRPr="0064650F" w:rsidRDefault="005F6C8E" w:rsidP="0056748E">
      <w:pPr>
        <w:pStyle w:val="SingleTxtG"/>
        <w:rPr>
          <w:rFonts w:eastAsia="SimSun"/>
          <w:lang w:eastAsia="en-GB"/>
        </w:rPr>
      </w:pPr>
      <w:r w:rsidRPr="0064650F">
        <w:rPr>
          <w:rFonts w:eastAsia="SimSun"/>
          <w:lang w:eastAsia="en-GB"/>
        </w:rPr>
        <w:t>7</w:t>
      </w:r>
      <w:r w:rsidR="003E7C8C" w:rsidRPr="0064650F">
        <w:rPr>
          <w:rFonts w:eastAsia="SimSun"/>
          <w:lang w:eastAsia="en-GB"/>
        </w:rPr>
        <w:t>5</w:t>
      </w:r>
      <w:r w:rsidRPr="0064650F">
        <w:rPr>
          <w:rFonts w:eastAsia="SimSun"/>
          <w:lang w:eastAsia="en-GB"/>
        </w:rPr>
        <w:t>.</w:t>
      </w:r>
      <w:r w:rsidRPr="0064650F">
        <w:rPr>
          <w:rFonts w:eastAsia="SimSun"/>
          <w:lang w:eastAsia="en-GB"/>
        </w:rPr>
        <w:tab/>
        <w:t>SEA and EIA define objectives and step-by-step procedures that implement a precautionary approach to environmental and social impacts. They set procedures for consultation and communication between sectoral ministries, as well as between subnational and local authoriti</w:t>
      </w:r>
      <w:r w:rsidR="00C87002" w:rsidRPr="0064650F">
        <w:rPr>
          <w:rFonts w:eastAsia="SimSun"/>
          <w:lang w:eastAsia="en-GB"/>
        </w:rPr>
        <w:t>es, business and civil society.</w:t>
      </w:r>
    </w:p>
    <w:p w:rsidR="005F6C8E" w:rsidRPr="0064650F" w:rsidRDefault="005F6C8E" w:rsidP="0056748E">
      <w:pPr>
        <w:pStyle w:val="SingleTxtG"/>
        <w:rPr>
          <w:rFonts w:eastAsia="SimSun"/>
          <w:lang w:eastAsia="en-GB"/>
        </w:rPr>
      </w:pPr>
      <w:r w:rsidRPr="0064650F">
        <w:rPr>
          <w:rFonts w:eastAsia="SimSun"/>
          <w:lang w:eastAsia="en-GB"/>
        </w:rPr>
        <w:t>7</w:t>
      </w:r>
      <w:r w:rsidR="003E7C8C" w:rsidRPr="0064650F">
        <w:rPr>
          <w:rFonts w:eastAsia="SimSun"/>
          <w:lang w:eastAsia="en-GB"/>
        </w:rPr>
        <w:t>6</w:t>
      </w:r>
      <w:r w:rsidRPr="0064650F">
        <w:rPr>
          <w:rFonts w:eastAsia="SimSun"/>
          <w:lang w:eastAsia="en-GB"/>
        </w:rPr>
        <w:t>.</w:t>
      </w:r>
      <w:r w:rsidRPr="0064650F">
        <w:rPr>
          <w:rFonts w:eastAsia="SimSun"/>
          <w:lang w:eastAsia="en-GB"/>
        </w:rPr>
        <w:tab/>
        <w:t>EIA provides information</w:t>
      </w:r>
      <w:r w:rsidR="0021000C">
        <w:rPr>
          <w:rFonts w:eastAsia="SimSun"/>
          <w:lang w:eastAsia="en-GB"/>
        </w:rPr>
        <w:t>,</w:t>
      </w:r>
      <w:r w:rsidRPr="0064650F">
        <w:rPr>
          <w:rFonts w:eastAsia="SimSun"/>
          <w:lang w:eastAsia="en-GB"/>
        </w:rPr>
        <w:t xml:space="preserve"> inter alia</w:t>
      </w:r>
      <w:r w:rsidR="0021000C">
        <w:rPr>
          <w:rFonts w:eastAsia="SimSun"/>
          <w:lang w:eastAsia="en-GB"/>
        </w:rPr>
        <w:t>,</w:t>
      </w:r>
      <w:r w:rsidRPr="0064650F">
        <w:rPr>
          <w:rFonts w:eastAsia="SimSun"/>
          <w:lang w:eastAsia="en-GB"/>
        </w:rPr>
        <w:t xml:space="preserve"> on alternatives </w:t>
      </w:r>
      <w:r w:rsidR="0021000C">
        <w:rPr>
          <w:rFonts w:eastAsia="SimSun"/>
          <w:lang w:eastAsia="en-GB"/>
        </w:rPr>
        <w:t>—</w:t>
      </w:r>
      <w:r w:rsidRPr="0064650F">
        <w:rPr>
          <w:rFonts w:eastAsia="SimSun"/>
          <w:lang w:eastAsia="en-GB"/>
        </w:rPr>
        <w:t xml:space="preserve"> including the zero </w:t>
      </w:r>
      <w:r w:rsidR="0021000C">
        <w:rPr>
          <w:rFonts w:eastAsia="SimSun"/>
          <w:lang w:eastAsia="en-GB"/>
        </w:rPr>
        <w:t xml:space="preserve">(or “no action”) </w:t>
      </w:r>
      <w:r w:rsidRPr="0064650F">
        <w:rPr>
          <w:rFonts w:eastAsia="SimSun"/>
          <w:lang w:eastAsia="en-GB"/>
        </w:rPr>
        <w:t xml:space="preserve">alternative </w:t>
      </w:r>
      <w:r w:rsidR="0021000C">
        <w:rPr>
          <w:rFonts w:eastAsia="SimSun"/>
          <w:lang w:eastAsia="en-GB"/>
        </w:rPr>
        <w:t>—</w:t>
      </w:r>
      <w:r w:rsidRPr="0064650F">
        <w:rPr>
          <w:rFonts w:eastAsia="SimSun"/>
          <w:lang w:eastAsia="en-GB"/>
        </w:rPr>
        <w:t xml:space="preserve"> to a proposed activity, the likely impacts of the proposed activity and </w:t>
      </w:r>
      <w:r w:rsidR="00A75773">
        <w:rPr>
          <w:rFonts w:eastAsia="SimSun"/>
          <w:lang w:eastAsia="en-GB"/>
        </w:rPr>
        <w:t xml:space="preserve">possible </w:t>
      </w:r>
      <w:r w:rsidRPr="0064650F">
        <w:rPr>
          <w:rFonts w:eastAsia="SimSun"/>
          <w:lang w:eastAsia="en-GB"/>
        </w:rPr>
        <w:t xml:space="preserve">mitigation measures to keep adverse environmental impacts of economic activities to a minimum. It also helps to identify gaps in knowledge and uncertainties. The EIA procedure is usually followed up with a post-project analysis that aims at monitoring compliance by the </w:t>
      </w:r>
      <w:r w:rsidR="00A75773">
        <w:rPr>
          <w:rFonts w:eastAsia="SimSun"/>
          <w:lang w:eastAsia="en-GB"/>
        </w:rPr>
        <w:t xml:space="preserve">project </w:t>
      </w:r>
      <w:r w:rsidRPr="0064650F">
        <w:rPr>
          <w:rFonts w:eastAsia="SimSun"/>
          <w:lang w:eastAsia="en-GB"/>
        </w:rPr>
        <w:t>developers with environmental conditions</w:t>
      </w:r>
      <w:r w:rsidR="00A75773">
        <w:rPr>
          <w:rFonts w:eastAsia="SimSun"/>
          <w:lang w:eastAsia="en-GB"/>
        </w:rPr>
        <w:t xml:space="preserve"> or </w:t>
      </w:r>
      <w:r w:rsidRPr="0064650F">
        <w:rPr>
          <w:rFonts w:eastAsia="SimSun"/>
          <w:lang w:eastAsia="en-GB"/>
        </w:rPr>
        <w:t xml:space="preserve">mitigation measures, reviews </w:t>
      </w:r>
      <w:r w:rsidR="00A75773">
        <w:rPr>
          <w:rFonts w:eastAsia="SimSun"/>
          <w:lang w:eastAsia="en-GB"/>
        </w:rPr>
        <w:t xml:space="preserve">the </w:t>
      </w:r>
      <w:r w:rsidR="00722A28">
        <w:rPr>
          <w:rFonts w:eastAsia="SimSun"/>
          <w:lang w:eastAsia="en-GB"/>
        </w:rPr>
        <w:t xml:space="preserve">performance in </w:t>
      </w:r>
      <w:r w:rsidRPr="0064650F">
        <w:rPr>
          <w:rFonts w:eastAsia="SimSun"/>
          <w:lang w:eastAsia="en-GB"/>
        </w:rPr>
        <w:t>cop</w:t>
      </w:r>
      <w:r w:rsidR="00722A28">
        <w:rPr>
          <w:rFonts w:eastAsia="SimSun"/>
          <w:lang w:eastAsia="en-GB"/>
        </w:rPr>
        <w:t>ing</w:t>
      </w:r>
      <w:r w:rsidRPr="0064650F">
        <w:rPr>
          <w:rFonts w:eastAsia="SimSun"/>
          <w:lang w:eastAsia="en-GB"/>
        </w:rPr>
        <w:t xml:space="preserve"> with uncertainties and verifies </w:t>
      </w:r>
      <w:r w:rsidR="00A75773">
        <w:rPr>
          <w:rFonts w:eastAsia="SimSun"/>
          <w:lang w:eastAsia="en-GB"/>
        </w:rPr>
        <w:t xml:space="preserve">the </w:t>
      </w:r>
      <w:r w:rsidRPr="0064650F">
        <w:rPr>
          <w:rFonts w:eastAsia="SimSun"/>
          <w:lang w:eastAsia="en-GB"/>
        </w:rPr>
        <w:t xml:space="preserve">past predictions against future similar activities. </w:t>
      </w:r>
      <w:r w:rsidR="00A75773">
        <w:rPr>
          <w:rFonts w:eastAsia="SimSun"/>
          <w:lang w:eastAsia="en-GB"/>
        </w:rPr>
        <w:t xml:space="preserve">EIA </w:t>
      </w:r>
      <w:r w:rsidRPr="0064650F">
        <w:rPr>
          <w:rFonts w:eastAsia="SimSun"/>
          <w:lang w:eastAsia="en-GB"/>
        </w:rPr>
        <w:t xml:space="preserve">has been well embedded in the development concept in many countries over the </w:t>
      </w:r>
      <w:r w:rsidR="00A75773">
        <w:rPr>
          <w:rFonts w:eastAsia="SimSun"/>
          <w:lang w:eastAsia="en-GB"/>
        </w:rPr>
        <w:t>p</w:t>
      </w:r>
      <w:r w:rsidRPr="0064650F">
        <w:rPr>
          <w:rFonts w:eastAsia="SimSun"/>
          <w:lang w:eastAsia="en-GB"/>
        </w:rPr>
        <w:t>ast two decades</w:t>
      </w:r>
      <w:r w:rsidR="002162BE" w:rsidRPr="0064650F">
        <w:rPr>
          <w:rFonts w:eastAsia="SimSun"/>
          <w:lang w:eastAsia="en-GB"/>
        </w:rPr>
        <w:t xml:space="preserve"> (see figure</w:t>
      </w:r>
      <w:r w:rsidR="00A75773">
        <w:rPr>
          <w:rFonts w:eastAsia="SimSun"/>
          <w:lang w:eastAsia="en-GB"/>
        </w:rPr>
        <w:t xml:space="preserve"> xx).</w:t>
      </w:r>
      <w:r w:rsidR="00C87002" w:rsidRPr="0064650F">
        <w:rPr>
          <w:rStyle w:val="FootnoteReference"/>
          <w:rFonts w:eastAsia="SimSun"/>
          <w:lang w:eastAsia="en-GB"/>
        </w:rPr>
        <w:footnoteReference w:id="18"/>
      </w:r>
    </w:p>
    <w:p w:rsidR="005F6C8E" w:rsidRPr="0064650F" w:rsidRDefault="005F6C8E" w:rsidP="0056748E">
      <w:pPr>
        <w:pStyle w:val="SingleTxtG"/>
        <w:rPr>
          <w:rFonts w:eastAsia="SimSun"/>
          <w:lang w:eastAsia="en-GB"/>
        </w:rPr>
      </w:pPr>
      <w:r w:rsidRPr="0064650F">
        <w:rPr>
          <w:rFonts w:eastAsia="SimSun"/>
          <w:lang w:eastAsia="en-GB"/>
        </w:rPr>
        <w:t>7</w:t>
      </w:r>
      <w:r w:rsidR="003E7C8C" w:rsidRPr="0064650F">
        <w:rPr>
          <w:rFonts w:eastAsia="SimSun"/>
          <w:lang w:eastAsia="en-GB"/>
        </w:rPr>
        <w:t>7</w:t>
      </w:r>
      <w:r w:rsidRPr="0064650F">
        <w:rPr>
          <w:rFonts w:eastAsia="SimSun"/>
          <w:lang w:eastAsia="en-GB"/>
        </w:rPr>
        <w:t>.</w:t>
      </w:r>
      <w:r w:rsidRPr="0064650F">
        <w:rPr>
          <w:rFonts w:eastAsia="SimSun"/>
          <w:lang w:eastAsia="en-GB"/>
        </w:rPr>
        <w:tab/>
        <w:t xml:space="preserve">SEA identifies </w:t>
      </w:r>
      <w:r w:rsidR="00A75773">
        <w:rPr>
          <w:rFonts w:eastAsia="SimSun"/>
          <w:lang w:eastAsia="en-GB"/>
        </w:rPr>
        <w:t xml:space="preserve">the </w:t>
      </w:r>
      <w:r w:rsidRPr="0064650F">
        <w:rPr>
          <w:rFonts w:eastAsia="SimSun"/>
          <w:lang w:eastAsia="en-GB"/>
        </w:rPr>
        <w:t xml:space="preserve">main drivers affecting trends important for green economy considerations, evaluates a wide range of likely impacts and compares pros and cons. It helps to find alternative solutions or options for achieving the </w:t>
      </w:r>
      <w:r w:rsidR="00A75773">
        <w:rPr>
          <w:rFonts w:eastAsia="SimSun"/>
          <w:lang w:eastAsia="en-GB"/>
        </w:rPr>
        <w:t xml:space="preserve">planned </w:t>
      </w:r>
      <w:r w:rsidRPr="0064650F">
        <w:rPr>
          <w:rFonts w:eastAsia="SimSun"/>
          <w:lang w:eastAsia="en-GB"/>
        </w:rPr>
        <w:t xml:space="preserve">objectives. </w:t>
      </w:r>
      <w:r w:rsidR="00A75773">
        <w:rPr>
          <w:rFonts w:eastAsia="SimSun"/>
          <w:lang w:eastAsia="en-GB"/>
        </w:rPr>
        <w:t xml:space="preserve">The </w:t>
      </w:r>
      <w:r w:rsidRPr="0064650F">
        <w:rPr>
          <w:rFonts w:eastAsia="SimSun"/>
          <w:lang w:eastAsia="en-GB"/>
        </w:rPr>
        <w:t xml:space="preserve">benefits </w:t>
      </w:r>
      <w:r w:rsidR="00A75773">
        <w:rPr>
          <w:rFonts w:eastAsia="SimSun"/>
          <w:lang w:eastAsia="en-GB"/>
        </w:rPr>
        <w:t xml:space="preserve">of SEA </w:t>
      </w:r>
      <w:r w:rsidRPr="0064650F">
        <w:rPr>
          <w:rFonts w:eastAsia="SimSun"/>
          <w:lang w:eastAsia="en-GB"/>
        </w:rPr>
        <w:t>include improved cost</w:t>
      </w:r>
      <w:r w:rsidR="00A75773">
        <w:rPr>
          <w:rFonts w:eastAsia="SimSun"/>
          <w:lang w:eastAsia="en-GB"/>
        </w:rPr>
        <w:t>-</w:t>
      </w:r>
      <w:r w:rsidRPr="0064650F">
        <w:rPr>
          <w:rFonts w:eastAsia="SimSun"/>
          <w:lang w:eastAsia="en-GB"/>
        </w:rPr>
        <w:t xml:space="preserve">effectiveness </w:t>
      </w:r>
      <w:r w:rsidR="00A75773">
        <w:rPr>
          <w:rFonts w:eastAsia="SimSun"/>
          <w:lang w:eastAsia="en-GB"/>
        </w:rPr>
        <w:t xml:space="preserve">through </w:t>
      </w:r>
      <w:r w:rsidRPr="0064650F">
        <w:rPr>
          <w:rFonts w:eastAsia="SimSun"/>
          <w:lang w:eastAsia="en-GB"/>
        </w:rPr>
        <w:t xml:space="preserve">better and more informed </w:t>
      </w:r>
      <w:r w:rsidRPr="0064650F">
        <w:rPr>
          <w:rFonts w:eastAsia="SimSun"/>
          <w:lang w:eastAsia="en-GB"/>
        </w:rPr>
        <w:lastRenderedPageBreak/>
        <w:t xml:space="preserve">decision-making, leading to </w:t>
      </w:r>
      <w:r w:rsidR="00A75773">
        <w:rPr>
          <w:rFonts w:eastAsia="SimSun"/>
          <w:lang w:eastAsia="en-GB"/>
        </w:rPr>
        <w:t>wider acceptance of the project by the public</w:t>
      </w:r>
      <w:r w:rsidRPr="0064650F">
        <w:rPr>
          <w:rFonts w:eastAsia="SimSun"/>
          <w:lang w:eastAsia="en-GB"/>
        </w:rPr>
        <w:t xml:space="preserve"> and less discussion at the operational level.</w:t>
      </w:r>
    </w:p>
    <w:p w:rsidR="005F6C8E" w:rsidRPr="0064650F" w:rsidRDefault="003E7C8C" w:rsidP="00EE597E">
      <w:pPr>
        <w:pStyle w:val="SingleTxtG"/>
      </w:pPr>
      <w:r w:rsidRPr="0064650F">
        <w:t>78</w:t>
      </w:r>
      <w:r w:rsidR="005F6C8E" w:rsidRPr="0064650F">
        <w:t>.</w:t>
      </w:r>
      <w:r w:rsidR="005F6C8E" w:rsidRPr="0064650F">
        <w:tab/>
        <w:t xml:space="preserve">ELVs are the maximum permissible concentration of </w:t>
      </w:r>
      <w:r w:rsidR="00722A28">
        <w:t xml:space="preserve">emissions of </w:t>
      </w:r>
      <w:r w:rsidR="005F6C8E" w:rsidRPr="0064650F">
        <w:t xml:space="preserve">a specified polluting substance with which the industrial operators have to comply if they do not want to face fines or </w:t>
      </w:r>
      <w:r w:rsidR="00A75773">
        <w:t>shut</w:t>
      </w:r>
      <w:r w:rsidR="005F6C8E" w:rsidRPr="0064650F">
        <w:t>downs. They have proven to be an effective tool in stimulating investment in cleaner technologies. Belgium, for example, set mandatory ELVs for stationary sources of volatile organic compounds and introduced advanced methods of detecting emissions at industrial sites. Switzerland set particulate matter ELVs, which require the use of construction equipment with high-efficiency diesel particulate filters. The ELVs are based on best available techniques (BAT)</w:t>
      </w:r>
      <w:r w:rsidR="00824F08">
        <w:t>,</w:t>
      </w:r>
      <w:r w:rsidR="005F6C8E" w:rsidRPr="0064650F">
        <w:t xml:space="preserve"> without prescribing the use of any specific technique or technology.</w:t>
      </w:r>
    </w:p>
    <w:p w:rsidR="005F6C8E" w:rsidRPr="0064650F" w:rsidRDefault="003E7C8C" w:rsidP="00EE597E">
      <w:pPr>
        <w:pStyle w:val="SingleTxtG"/>
        <w:rPr>
          <w:rFonts w:eastAsia="SimSun"/>
          <w:lang w:eastAsia="en-GB"/>
        </w:rPr>
      </w:pPr>
      <w:r w:rsidRPr="0064650F">
        <w:rPr>
          <w:rFonts w:eastAsia="SimSun"/>
          <w:lang w:eastAsia="en-GB"/>
        </w:rPr>
        <w:t>79</w:t>
      </w:r>
      <w:r w:rsidR="005F6C8E" w:rsidRPr="0064650F">
        <w:rPr>
          <w:rFonts w:eastAsia="SimSun"/>
          <w:lang w:eastAsia="en-GB"/>
        </w:rPr>
        <w:t>.</w:t>
      </w:r>
      <w:r w:rsidR="005F6C8E" w:rsidRPr="0064650F">
        <w:rPr>
          <w:rFonts w:eastAsia="SimSun"/>
          <w:lang w:eastAsia="en-GB"/>
        </w:rPr>
        <w:tab/>
        <w:t xml:space="preserve">The </w:t>
      </w:r>
      <w:r w:rsidR="00221811">
        <w:rPr>
          <w:rFonts w:eastAsia="SimSun"/>
          <w:lang w:eastAsia="en-GB"/>
        </w:rPr>
        <w:t xml:space="preserve">EU </w:t>
      </w:r>
      <w:r w:rsidR="005F6C8E" w:rsidRPr="0064650F">
        <w:rPr>
          <w:rFonts w:eastAsia="SimSun"/>
          <w:lang w:eastAsia="en-GB"/>
        </w:rPr>
        <w:t>BAT Reference documents (BREFs)</w:t>
      </w:r>
      <w:r w:rsidR="00A91F70" w:rsidRPr="0064650F">
        <w:rPr>
          <w:rStyle w:val="FootnoteReference"/>
          <w:rFonts w:eastAsia="SimSun"/>
          <w:lang w:eastAsia="en-GB"/>
        </w:rPr>
        <w:footnoteReference w:id="19"/>
      </w:r>
      <w:r w:rsidR="005F6C8E" w:rsidRPr="0064650F">
        <w:rPr>
          <w:rFonts w:eastAsia="SimSun"/>
          <w:lang w:eastAsia="en-GB"/>
        </w:rPr>
        <w:t xml:space="preserve"> (e.g.</w:t>
      </w:r>
      <w:r w:rsidR="00221811">
        <w:rPr>
          <w:rFonts w:eastAsia="SimSun"/>
          <w:lang w:eastAsia="en-GB"/>
        </w:rPr>
        <w:t>,</w:t>
      </w:r>
      <w:r w:rsidR="005F6C8E" w:rsidRPr="0064650F">
        <w:rPr>
          <w:rFonts w:eastAsia="SimSun"/>
          <w:lang w:eastAsia="en-GB"/>
        </w:rPr>
        <w:t xml:space="preserve"> under the Industrial Emissions Directive)</w:t>
      </w:r>
      <w:r w:rsidR="00221811">
        <w:rPr>
          <w:rStyle w:val="FootnoteReference"/>
          <w:rFonts w:eastAsia="SimSun"/>
          <w:lang w:eastAsia="en-GB"/>
        </w:rPr>
        <w:footnoteReference w:id="20"/>
      </w:r>
      <w:r w:rsidR="005F6C8E" w:rsidRPr="0064650F">
        <w:rPr>
          <w:rFonts w:eastAsia="SimSun"/>
          <w:lang w:eastAsia="en-GB"/>
        </w:rPr>
        <w:t xml:space="preserve"> provide information on different industrial</w:t>
      </w:r>
      <w:r w:rsidR="00221811">
        <w:rPr>
          <w:rFonts w:eastAsia="SimSun"/>
          <w:lang w:eastAsia="en-GB"/>
        </w:rPr>
        <w:t xml:space="preserve"> and </w:t>
      </w:r>
      <w:r w:rsidR="005F6C8E" w:rsidRPr="0064650F">
        <w:rPr>
          <w:rFonts w:eastAsia="SimSun"/>
          <w:lang w:eastAsia="en-GB"/>
        </w:rPr>
        <w:t xml:space="preserve">agricultural sectors regarding sector-specific techniques and processes, current emission and consumption levels, techniques to consider in the determination of BAT and emerging techniques. BREFs </w:t>
      </w:r>
      <w:r w:rsidR="00221811">
        <w:rPr>
          <w:rFonts w:eastAsia="SimSun"/>
          <w:lang w:eastAsia="en-GB"/>
        </w:rPr>
        <w:t xml:space="preserve">thus </w:t>
      </w:r>
      <w:r w:rsidR="005F6C8E" w:rsidRPr="0064650F">
        <w:rPr>
          <w:rFonts w:eastAsia="SimSun"/>
          <w:lang w:eastAsia="en-GB"/>
        </w:rPr>
        <w:t>serve as guidance for industry, Governments and the public on achievable emission and consumption levels when using specified techniques.</w:t>
      </w:r>
    </w:p>
    <w:p w:rsidR="005F6C8E" w:rsidRPr="0064650F" w:rsidRDefault="005F6C8E" w:rsidP="00EE597E">
      <w:pPr>
        <w:pStyle w:val="SingleTxtG"/>
        <w:rPr>
          <w:rFonts w:eastAsia="SimSun"/>
          <w:lang w:eastAsia="en-GB"/>
        </w:rPr>
      </w:pPr>
      <w:r w:rsidRPr="0064650F">
        <w:rPr>
          <w:rFonts w:eastAsia="SimSun"/>
          <w:lang w:eastAsia="en-GB"/>
        </w:rPr>
        <w:t>8</w:t>
      </w:r>
      <w:r w:rsidR="003E7C8C" w:rsidRPr="0064650F">
        <w:rPr>
          <w:rFonts w:eastAsia="SimSun"/>
          <w:lang w:eastAsia="en-GB"/>
        </w:rPr>
        <w:t>0</w:t>
      </w:r>
      <w:r w:rsidRPr="0064650F">
        <w:rPr>
          <w:rFonts w:eastAsia="SimSun"/>
          <w:lang w:eastAsia="en-GB"/>
        </w:rPr>
        <w:t>.</w:t>
      </w:r>
      <w:r w:rsidRPr="0064650F">
        <w:rPr>
          <w:rFonts w:eastAsia="SimSun"/>
          <w:lang w:eastAsia="en-GB"/>
        </w:rPr>
        <w:tab/>
        <w:t xml:space="preserve">The introduction of stringent ELVs such as, for example, for </w:t>
      </w:r>
      <w:r w:rsidR="00221811">
        <w:rPr>
          <w:rFonts w:eastAsia="SimSun"/>
          <w:lang w:eastAsia="en-GB"/>
        </w:rPr>
        <w:t>sulphur dioxide</w:t>
      </w:r>
      <w:r w:rsidRPr="0064650F">
        <w:rPr>
          <w:rFonts w:eastAsia="SimSun"/>
          <w:lang w:eastAsia="en-GB"/>
        </w:rPr>
        <w:t xml:space="preserve"> and </w:t>
      </w:r>
      <w:r w:rsidR="00221811">
        <w:rPr>
          <w:rFonts w:eastAsia="SimSun"/>
          <w:lang w:eastAsia="en-GB"/>
        </w:rPr>
        <w:t>nitrogen oxides</w:t>
      </w:r>
      <w:r w:rsidRPr="0064650F">
        <w:rPr>
          <w:rFonts w:eastAsia="SimSun"/>
          <w:lang w:eastAsia="en-GB"/>
        </w:rPr>
        <w:t xml:space="preserve"> (EU</w:t>
      </w:r>
      <w:r w:rsidR="00221811">
        <w:rPr>
          <w:rFonts w:eastAsia="SimSun"/>
          <w:lang w:eastAsia="en-GB"/>
        </w:rPr>
        <w:t>,</w:t>
      </w:r>
      <w:r w:rsidRPr="0064650F">
        <w:rPr>
          <w:rFonts w:eastAsia="SimSun"/>
          <w:lang w:eastAsia="en-GB"/>
        </w:rPr>
        <w:t xml:space="preserve"> Japan</w:t>
      </w:r>
      <w:r w:rsidR="00221811">
        <w:rPr>
          <w:rFonts w:eastAsia="SimSun"/>
          <w:lang w:eastAsia="en-GB"/>
        </w:rPr>
        <w:t xml:space="preserve"> and the United States of America</w:t>
      </w:r>
      <w:r w:rsidRPr="0064650F">
        <w:rPr>
          <w:rFonts w:eastAsia="SimSun"/>
          <w:lang w:eastAsia="en-GB"/>
        </w:rPr>
        <w:t>) has led to a large increase in the number of patents issued on related abatement technologies. Interestingly, the transfer of technologies occurs across countries, although indirectly: earlier patents issued in other countries are cited in the new patent applications. And the implementation of stringent automobile emissions standards (United States) induced domestic firms to increase their patenting activities r</w:t>
      </w:r>
      <w:r w:rsidR="00C87002" w:rsidRPr="0064650F">
        <w:rPr>
          <w:rFonts w:eastAsia="SimSun"/>
          <w:lang w:eastAsia="en-GB"/>
        </w:rPr>
        <w:t>elative to foreign competitors.</w:t>
      </w:r>
    </w:p>
    <w:p w:rsidR="005F6C8E" w:rsidRPr="0064650F" w:rsidRDefault="005F6C8E" w:rsidP="00EE597E">
      <w:pPr>
        <w:pStyle w:val="SingleTxtG"/>
        <w:rPr>
          <w:rFonts w:eastAsia="SimSun"/>
          <w:lang w:eastAsia="en-GB"/>
        </w:rPr>
      </w:pPr>
      <w:r w:rsidRPr="0064650F">
        <w:rPr>
          <w:rFonts w:eastAsia="SimSun"/>
          <w:lang w:eastAsia="en-GB"/>
        </w:rPr>
        <w:t>8</w:t>
      </w:r>
      <w:r w:rsidR="003E7C8C" w:rsidRPr="0064650F">
        <w:rPr>
          <w:rFonts w:eastAsia="SimSun"/>
          <w:lang w:eastAsia="en-GB"/>
        </w:rPr>
        <w:t>2</w:t>
      </w:r>
      <w:r w:rsidRPr="0064650F">
        <w:rPr>
          <w:rFonts w:eastAsia="SimSun"/>
          <w:lang w:eastAsia="en-GB"/>
        </w:rPr>
        <w:t>.</w:t>
      </w:r>
      <w:r w:rsidRPr="0064650F">
        <w:rPr>
          <w:rFonts w:eastAsia="SimSun"/>
          <w:lang w:eastAsia="en-GB"/>
        </w:rPr>
        <w:tab/>
        <w:t>PRTRs are free</w:t>
      </w:r>
      <w:r w:rsidR="00221811">
        <w:rPr>
          <w:rFonts w:eastAsia="SimSun"/>
          <w:lang w:eastAsia="en-GB"/>
        </w:rPr>
        <w:t>,</w:t>
      </w:r>
      <w:r w:rsidRPr="0064650F">
        <w:rPr>
          <w:rFonts w:eastAsia="SimSun"/>
          <w:lang w:eastAsia="en-GB"/>
        </w:rPr>
        <w:t xml:space="preserve"> publicly accessible</w:t>
      </w:r>
      <w:r w:rsidR="00221811">
        <w:rPr>
          <w:rFonts w:eastAsia="SimSun"/>
          <w:lang w:eastAsia="en-GB"/>
        </w:rPr>
        <w:t>,</w:t>
      </w:r>
      <w:r w:rsidRPr="0064650F">
        <w:rPr>
          <w:rFonts w:eastAsia="SimSun"/>
          <w:lang w:eastAsia="en-GB"/>
        </w:rPr>
        <w:t xml:space="preserve"> online registers providing periodic and reliable data on emissions (releases) and transfers of pollutants, including greenhouse gases (GHGs), heavy metals and toxic chemical compounds. Although they regulate information on pollution, rather than pollution directly, PRTRs exert a significant downward pressure on levels of pollution, as no enterprise would want to be identified as among the biggest polluters. Over recent years, PRTRs have been successfully used for measuring progress in reduci</w:t>
      </w:r>
      <w:r w:rsidR="00C87002" w:rsidRPr="0064650F">
        <w:rPr>
          <w:rFonts w:eastAsia="SimSun"/>
          <w:lang w:eastAsia="en-GB"/>
        </w:rPr>
        <w:t>ng pollution in many countries.</w:t>
      </w:r>
    </w:p>
    <w:p w:rsidR="005F6C8E" w:rsidRPr="0064650F" w:rsidRDefault="005F6C8E" w:rsidP="00EE597E">
      <w:pPr>
        <w:pStyle w:val="SingleTxtG"/>
      </w:pPr>
      <w:r w:rsidRPr="0064650F">
        <w:t>8</w:t>
      </w:r>
      <w:r w:rsidR="003E7C8C" w:rsidRPr="0064650F">
        <w:t>3</w:t>
      </w:r>
      <w:r w:rsidRPr="0064650F">
        <w:t>.</w:t>
      </w:r>
      <w:r w:rsidRPr="0064650F">
        <w:tab/>
      </w:r>
      <w:r w:rsidR="00221811">
        <w:t>In addition</w:t>
      </w:r>
      <w:r w:rsidRPr="0064650F">
        <w:t xml:space="preserve">, a strong industrial safety regulatory framework is important to ensure that enterprises operating hazardous industrial sites invest in safety. The regulations have to provide zoning requirements for </w:t>
      </w:r>
      <w:r w:rsidR="00221811">
        <w:t xml:space="preserve">the </w:t>
      </w:r>
      <w:r w:rsidRPr="0064650F">
        <w:t>siting of hazardous installations</w:t>
      </w:r>
      <w:r w:rsidR="00221811">
        <w:t xml:space="preserve">, and must </w:t>
      </w:r>
      <w:r w:rsidRPr="0064650F">
        <w:t xml:space="preserve">enable </w:t>
      </w:r>
      <w:r w:rsidR="00221811">
        <w:t xml:space="preserve">the </w:t>
      </w:r>
      <w:r w:rsidRPr="0064650F">
        <w:t xml:space="preserve">introduction of a robust system for </w:t>
      </w:r>
      <w:r w:rsidR="00221811">
        <w:t>their operation,</w:t>
      </w:r>
      <w:r w:rsidRPr="0064650F">
        <w:t xml:space="preserve"> </w:t>
      </w:r>
      <w:r w:rsidR="00221811">
        <w:t xml:space="preserve">which will </w:t>
      </w:r>
      <w:r w:rsidRPr="0064650F">
        <w:t xml:space="preserve">limit </w:t>
      </w:r>
      <w:r w:rsidR="00221811">
        <w:t xml:space="preserve">the </w:t>
      </w:r>
      <w:r w:rsidRPr="0064650F">
        <w:t>adverse consequences to health and the environment in the event of an accident. They should also ensure, as much as possible, a prompt normalization of operations after the accident.</w:t>
      </w:r>
    </w:p>
    <w:p w:rsidR="005F6C8E" w:rsidRPr="0064650F" w:rsidRDefault="005F6C8E" w:rsidP="00EE597E">
      <w:pPr>
        <w:pStyle w:val="SingleTxtG"/>
      </w:pPr>
      <w:r w:rsidRPr="0064650F">
        <w:t>8</w:t>
      </w:r>
      <w:r w:rsidR="003E7C8C" w:rsidRPr="0064650F">
        <w:t>4</w:t>
      </w:r>
      <w:r w:rsidRPr="0064650F">
        <w:t>.</w:t>
      </w:r>
      <w:r w:rsidRPr="0064650F">
        <w:tab/>
      </w:r>
      <w:r w:rsidR="00CD2D82">
        <w:t>It should be noted that t</w:t>
      </w:r>
      <w:r w:rsidRPr="0064650F">
        <w:t>he</w:t>
      </w:r>
      <w:r w:rsidR="00221811">
        <w:t xml:space="preserve"> </w:t>
      </w:r>
      <w:r w:rsidRPr="0064650F">
        <w:t xml:space="preserve">regulatory measures </w:t>
      </w:r>
      <w:r w:rsidR="00CD2D82">
        <w:t xml:space="preserve">mentioned above </w:t>
      </w:r>
      <w:r w:rsidR="00221811">
        <w:t xml:space="preserve">can only </w:t>
      </w:r>
      <w:r w:rsidRPr="0064650F">
        <w:t xml:space="preserve">deliver the expected results if enforcement mechanisms are </w:t>
      </w:r>
      <w:r w:rsidR="00221811">
        <w:t xml:space="preserve">also </w:t>
      </w:r>
      <w:r w:rsidRPr="0064650F">
        <w:t>established to ensure that the me</w:t>
      </w:r>
      <w:r w:rsidR="00F57EE7" w:rsidRPr="0064650F">
        <w:t>asures are fully implemented.</w:t>
      </w:r>
    </w:p>
    <w:p w:rsidR="005F6C8E" w:rsidRPr="0064650F" w:rsidRDefault="001E4122" w:rsidP="00ED625C">
      <w:pPr>
        <w:pStyle w:val="H23G"/>
        <w:rPr>
          <w:rFonts w:eastAsia="SimSun"/>
          <w:lang w:eastAsia="en-GB"/>
        </w:rPr>
      </w:pPr>
      <w:r>
        <w:tab/>
      </w:r>
      <w:r>
        <w:tab/>
      </w:r>
      <w:r w:rsidR="005F6C8E" w:rsidRPr="0064650F">
        <w:t>Information-based measures</w:t>
      </w:r>
    </w:p>
    <w:p w:rsidR="005F6C8E" w:rsidRPr="0064650F" w:rsidRDefault="005F6C8E" w:rsidP="00EE597E">
      <w:pPr>
        <w:pStyle w:val="SingleTxtG"/>
        <w:rPr>
          <w:rFonts w:eastAsia="SimSun"/>
          <w:lang w:eastAsia="en-GB"/>
        </w:rPr>
      </w:pPr>
      <w:r w:rsidRPr="0064650F">
        <w:rPr>
          <w:rFonts w:eastAsia="SimSun"/>
          <w:lang w:eastAsia="en-GB"/>
        </w:rPr>
        <w:t>8</w:t>
      </w:r>
      <w:r w:rsidR="003E7C8C" w:rsidRPr="0064650F">
        <w:rPr>
          <w:rFonts w:eastAsia="SimSun"/>
          <w:lang w:eastAsia="en-GB"/>
        </w:rPr>
        <w:t>5</w:t>
      </w:r>
      <w:r w:rsidRPr="0064650F">
        <w:rPr>
          <w:rFonts w:eastAsia="SimSun"/>
          <w:lang w:eastAsia="en-GB"/>
        </w:rPr>
        <w:t>.</w:t>
      </w:r>
      <w:r w:rsidRPr="0064650F">
        <w:rPr>
          <w:rFonts w:eastAsia="SimSun"/>
          <w:lang w:eastAsia="en-GB"/>
        </w:rPr>
        <w:tab/>
        <w:t xml:space="preserve">Voluntary standards and related certification and labelling schemes are powerful instruments for driving the green economy transition because they help consumers to take environmental concerns into account when shopping for food or other consumer products. </w:t>
      </w:r>
      <w:r w:rsidRPr="0064650F">
        <w:rPr>
          <w:rFonts w:eastAsia="SimSun"/>
          <w:lang w:eastAsia="en-GB"/>
        </w:rPr>
        <w:lastRenderedPageBreak/>
        <w:t xml:space="preserve">They define the sustainability of products and </w:t>
      </w:r>
      <w:r w:rsidR="00CD2D82">
        <w:rPr>
          <w:rFonts w:eastAsia="SimSun"/>
          <w:lang w:eastAsia="en-GB"/>
        </w:rPr>
        <w:t xml:space="preserve">the </w:t>
      </w:r>
      <w:r w:rsidRPr="0064650F">
        <w:rPr>
          <w:rFonts w:eastAsia="SimSun"/>
          <w:lang w:eastAsia="en-GB"/>
        </w:rPr>
        <w:t xml:space="preserve">production process, communicate this information and guide purchasing choices of individuals, businesses and public authorities. The number of “green” schemes available has grown exponentially in the last few years and includes over 400 eco-labels alone. Due to this phenomenon, Switzerland, for instance, created a website (www.labelinfo.ch/) where consumers can get information on the different </w:t>
      </w:r>
      <w:r w:rsidR="00132960" w:rsidRPr="0064650F">
        <w:rPr>
          <w:rFonts w:eastAsia="SimSun"/>
          <w:lang w:eastAsia="en-GB"/>
        </w:rPr>
        <w:t>labels available in Switzerland.</w:t>
      </w:r>
    </w:p>
    <w:p w:rsidR="005F6C8E" w:rsidRPr="0064650F" w:rsidRDefault="005F6C8E" w:rsidP="00F94694">
      <w:pPr>
        <w:pStyle w:val="SingleTxtG"/>
        <w:rPr>
          <w:rFonts w:eastAsia="SimSun"/>
          <w:lang w:eastAsia="en-GB"/>
        </w:rPr>
      </w:pPr>
      <w:r w:rsidRPr="0064650F">
        <w:rPr>
          <w:rFonts w:eastAsia="SimSun"/>
          <w:lang w:eastAsia="en-GB"/>
        </w:rPr>
        <w:t>8</w:t>
      </w:r>
      <w:r w:rsidR="003E7C8C" w:rsidRPr="0064650F">
        <w:rPr>
          <w:rFonts w:eastAsia="SimSun"/>
          <w:lang w:eastAsia="en-GB"/>
        </w:rPr>
        <w:t>6</w:t>
      </w:r>
      <w:r w:rsidRPr="0064650F">
        <w:rPr>
          <w:rFonts w:eastAsia="SimSun"/>
          <w:lang w:eastAsia="en-GB"/>
        </w:rPr>
        <w:t>.</w:t>
      </w:r>
      <w:r w:rsidRPr="0064650F">
        <w:rPr>
          <w:rFonts w:eastAsia="SimSun"/>
          <w:lang w:eastAsia="en-GB"/>
        </w:rPr>
        <w:tab/>
        <w:t xml:space="preserve">The schemes can, however, affect competitiveness and constitute barriers to trade, particularly for small and medium producers </w:t>
      </w:r>
      <w:r w:rsidR="00230EFC">
        <w:rPr>
          <w:rFonts w:eastAsia="SimSun"/>
          <w:lang w:eastAsia="en-GB"/>
        </w:rPr>
        <w:t xml:space="preserve">that </w:t>
      </w:r>
      <w:r w:rsidRPr="0064650F">
        <w:rPr>
          <w:rFonts w:eastAsia="SimSun"/>
          <w:lang w:eastAsia="en-GB"/>
        </w:rPr>
        <w:t>may lack the resources required to prove compliance. Therefore, if these schemes are to foster continuous improvement rather than locking in any particular technology</w:t>
      </w:r>
      <w:r w:rsidR="00230EFC">
        <w:rPr>
          <w:rFonts w:eastAsia="SimSun"/>
          <w:lang w:eastAsia="en-GB"/>
        </w:rPr>
        <w:t>,</w:t>
      </w:r>
      <w:r w:rsidRPr="0064650F">
        <w:rPr>
          <w:rFonts w:eastAsia="SimSun"/>
          <w:lang w:eastAsia="en-GB"/>
        </w:rPr>
        <w:t xml:space="preserve"> they should leave the approach to innovation to industry rather than to standard</w:t>
      </w:r>
      <w:r w:rsidR="00230EFC">
        <w:rPr>
          <w:rFonts w:eastAsia="SimSun"/>
          <w:lang w:eastAsia="en-GB"/>
        </w:rPr>
        <w:t>-</w:t>
      </w:r>
      <w:r w:rsidRPr="0064650F">
        <w:rPr>
          <w:rFonts w:eastAsia="SimSun"/>
          <w:lang w:eastAsia="en-GB"/>
        </w:rPr>
        <w:t>setting</w:t>
      </w:r>
      <w:r w:rsidR="00230EFC">
        <w:rPr>
          <w:rFonts w:eastAsia="SimSun"/>
          <w:lang w:eastAsia="en-GB"/>
        </w:rPr>
        <w:t xml:space="preserve"> </w:t>
      </w:r>
      <w:r w:rsidRPr="0064650F">
        <w:rPr>
          <w:rFonts w:eastAsia="SimSun"/>
          <w:lang w:eastAsia="en-GB"/>
        </w:rPr>
        <w:t>agencies (e.g.</w:t>
      </w:r>
      <w:r w:rsidR="00230EFC">
        <w:rPr>
          <w:rFonts w:eastAsia="SimSun"/>
          <w:lang w:eastAsia="en-GB"/>
        </w:rPr>
        <w:t>,</w:t>
      </w:r>
      <w:r w:rsidRPr="0064650F">
        <w:rPr>
          <w:rFonts w:eastAsia="SimSun"/>
          <w:lang w:eastAsia="en-GB"/>
        </w:rPr>
        <w:t xml:space="preserve"> performance standards)</w:t>
      </w:r>
      <w:r w:rsidR="00230EFC">
        <w:rPr>
          <w:rFonts w:eastAsia="SimSun"/>
          <w:lang w:eastAsia="en-GB"/>
        </w:rPr>
        <w:t xml:space="preserve"> and</w:t>
      </w:r>
      <w:r w:rsidRPr="0064650F">
        <w:rPr>
          <w:rFonts w:eastAsia="SimSun"/>
          <w:lang w:eastAsia="en-GB"/>
        </w:rPr>
        <w:t xml:space="preserve"> be used in coordination with other instruments, as part of comprehensive policy packages</w:t>
      </w:r>
      <w:r w:rsidR="00230EFC">
        <w:rPr>
          <w:rFonts w:eastAsia="SimSun"/>
          <w:lang w:eastAsia="en-GB"/>
        </w:rPr>
        <w:t>,</w:t>
      </w:r>
      <w:r w:rsidRPr="0064650F">
        <w:rPr>
          <w:rFonts w:eastAsia="SimSun"/>
          <w:lang w:eastAsia="en-GB"/>
        </w:rPr>
        <w:t xml:space="preserve"> and the regulatory process should leave as little room as possible </w:t>
      </w:r>
      <w:r w:rsidR="00132960" w:rsidRPr="0064650F">
        <w:rPr>
          <w:rFonts w:eastAsia="SimSun"/>
          <w:lang w:eastAsia="en-GB"/>
        </w:rPr>
        <w:t>for uncertainty at every stage.</w:t>
      </w:r>
    </w:p>
    <w:p w:rsidR="005F6C8E" w:rsidRPr="0064650F" w:rsidRDefault="005F6C8E" w:rsidP="00F94694">
      <w:pPr>
        <w:pStyle w:val="SingleTxtG"/>
        <w:rPr>
          <w:rFonts w:eastAsia="SimSun"/>
          <w:lang w:eastAsia="en-GB"/>
        </w:rPr>
      </w:pPr>
      <w:r w:rsidRPr="0064650F">
        <w:rPr>
          <w:rFonts w:eastAsia="SimSun"/>
          <w:lang w:eastAsia="en-GB"/>
        </w:rPr>
        <w:t>8</w:t>
      </w:r>
      <w:r w:rsidR="003E7C8C" w:rsidRPr="0064650F">
        <w:rPr>
          <w:rFonts w:eastAsia="SimSun"/>
          <w:lang w:eastAsia="en-GB"/>
        </w:rPr>
        <w:t>7</w:t>
      </w:r>
      <w:r w:rsidRPr="0064650F">
        <w:rPr>
          <w:rFonts w:eastAsia="SimSun"/>
          <w:lang w:eastAsia="en-GB"/>
        </w:rPr>
        <w:t>.</w:t>
      </w:r>
      <w:r w:rsidRPr="0064650F">
        <w:rPr>
          <w:rFonts w:eastAsia="SimSun"/>
          <w:lang w:eastAsia="en-GB"/>
        </w:rPr>
        <w:tab/>
        <w:t>Decreasing the ecological footprint over the life</w:t>
      </w:r>
      <w:r w:rsidR="00230EFC">
        <w:rPr>
          <w:rFonts w:eastAsia="SimSun"/>
          <w:lang w:eastAsia="en-GB"/>
        </w:rPr>
        <w:t xml:space="preserve"> </w:t>
      </w:r>
      <w:r w:rsidRPr="0064650F">
        <w:rPr>
          <w:rFonts w:eastAsia="SimSun"/>
          <w:lang w:eastAsia="en-GB"/>
        </w:rPr>
        <w:t xml:space="preserve">cycle </w:t>
      </w:r>
      <w:r w:rsidR="00230EFC">
        <w:rPr>
          <w:rFonts w:eastAsia="SimSun"/>
          <w:lang w:eastAsia="en-GB"/>
        </w:rPr>
        <w:t xml:space="preserve">of the production process </w:t>
      </w:r>
      <w:r w:rsidRPr="0064650F">
        <w:rPr>
          <w:rFonts w:eastAsia="SimSun"/>
          <w:lang w:eastAsia="en-GB"/>
        </w:rPr>
        <w:t xml:space="preserve">provides opportunities for improved productivity and competitiveness. The Enviroclub </w:t>
      </w:r>
      <w:r w:rsidR="00230EFC">
        <w:rPr>
          <w:rFonts w:eastAsia="SimSun"/>
          <w:lang w:eastAsia="en-GB"/>
        </w:rPr>
        <w:t>I</w:t>
      </w:r>
      <w:r w:rsidRPr="0064650F">
        <w:rPr>
          <w:rFonts w:eastAsia="SimSun"/>
          <w:lang w:eastAsia="en-GB"/>
        </w:rPr>
        <w:t>nitiative (Canada) is a successful example of training and coaching program</w:t>
      </w:r>
      <w:r w:rsidR="00230EFC">
        <w:rPr>
          <w:rFonts w:eastAsia="SimSun"/>
          <w:lang w:eastAsia="en-GB"/>
        </w:rPr>
        <w:t>me</w:t>
      </w:r>
      <w:r w:rsidRPr="0064650F">
        <w:rPr>
          <w:rFonts w:eastAsia="SimSun"/>
          <w:lang w:eastAsia="en-GB"/>
        </w:rPr>
        <w:t xml:space="preserve">s developed to help small and medium producers increase their competitiveness through enhanced environmental performance. </w:t>
      </w:r>
      <w:r w:rsidR="00230EFC">
        <w:rPr>
          <w:rFonts w:eastAsia="SimSun"/>
          <w:lang w:eastAsia="en-GB"/>
        </w:rPr>
        <w:t>I</w:t>
      </w:r>
      <w:r w:rsidRPr="0064650F">
        <w:rPr>
          <w:rFonts w:eastAsia="SimSun"/>
          <w:lang w:eastAsia="en-GB"/>
        </w:rPr>
        <w:t xml:space="preserve">n Europe, several countries have undertaken </w:t>
      </w:r>
      <w:r w:rsidR="00230EFC">
        <w:rPr>
          <w:rFonts w:eastAsia="SimSun"/>
          <w:lang w:eastAsia="en-GB"/>
        </w:rPr>
        <w:t xml:space="preserve">the </w:t>
      </w:r>
      <w:r w:rsidRPr="0064650F">
        <w:rPr>
          <w:rFonts w:eastAsia="SimSun"/>
          <w:lang w:eastAsia="en-GB"/>
        </w:rPr>
        <w:t>initiative to support businesses in the adoption of environmental management systems</w:t>
      </w:r>
      <w:r w:rsidR="00230EFC">
        <w:rPr>
          <w:rFonts w:eastAsia="SimSun"/>
          <w:lang w:eastAsia="en-GB"/>
        </w:rPr>
        <w:t>,</w:t>
      </w:r>
      <w:r w:rsidRPr="0064650F">
        <w:rPr>
          <w:rFonts w:eastAsia="SimSun"/>
          <w:lang w:eastAsia="en-GB"/>
        </w:rPr>
        <w:t xml:space="preserve"> such as</w:t>
      </w:r>
      <w:r w:rsidR="00132960" w:rsidRPr="0064650F">
        <w:rPr>
          <w:rFonts w:eastAsia="SimSun"/>
          <w:lang w:eastAsia="en-GB"/>
        </w:rPr>
        <w:t xml:space="preserve"> </w:t>
      </w:r>
      <w:r w:rsidR="00230EFC">
        <w:rPr>
          <w:rFonts w:eastAsia="SimSun"/>
          <w:lang w:eastAsia="en-GB"/>
        </w:rPr>
        <w:t>International Organization for Standardization (</w:t>
      </w:r>
      <w:r w:rsidR="00132960" w:rsidRPr="0064650F">
        <w:rPr>
          <w:rFonts w:eastAsia="SimSun"/>
          <w:lang w:eastAsia="en-GB"/>
        </w:rPr>
        <w:t>ISO</w:t>
      </w:r>
      <w:r w:rsidR="00230EFC">
        <w:rPr>
          <w:rFonts w:eastAsia="SimSun"/>
          <w:lang w:eastAsia="en-GB"/>
        </w:rPr>
        <w:t>) Standard</w:t>
      </w:r>
      <w:r w:rsidR="00132960" w:rsidRPr="0064650F">
        <w:rPr>
          <w:rFonts w:eastAsia="SimSun"/>
          <w:lang w:eastAsia="en-GB"/>
        </w:rPr>
        <w:t xml:space="preserve"> 14000 and</w:t>
      </w:r>
      <w:r w:rsidR="00230EFC">
        <w:rPr>
          <w:rFonts w:eastAsia="SimSun"/>
          <w:lang w:eastAsia="en-GB"/>
        </w:rPr>
        <w:t xml:space="preserve"> the</w:t>
      </w:r>
      <w:r w:rsidR="00132960" w:rsidRPr="0064650F">
        <w:rPr>
          <w:rFonts w:eastAsia="SimSun"/>
          <w:lang w:eastAsia="en-GB"/>
        </w:rPr>
        <w:t xml:space="preserve"> </w:t>
      </w:r>
      <w:r w:rsidR="00230EFC" w:rsidRPr="00230EFC">
        <w:rPr>
          <w:rFonts w:eastAsia="SimSun"/>
          <w:lang w:eastAsia="en-GB"/>
        </w:rPr>
        <w:t>EU Eco</w:t>
      </w:r>
      <w:r w:rsidR="00230EFC">
        <w:rPr>
          <w:rFonts w:eastAsia="SimSun"/>
          <w:lang w:eastAsia="en-GB"/>
        </w:rPr>
        <w:noBreakHyphen/>
      </w:r>
      <w:r w:rsidR="00230EFC" w:rsidRPr="00230EFC">
        <w:rPr>
          <w:rFonts w:eastAsia="SimSun"/>
          <w:lang w:eastAsia="en-GB"/>
        </w:rPr>
        <w:t>Management and Audit Scheme (</w:t>
      </w:r>
      <w:r w:rsidR="00132960" w:rsidRPr="0064650F">
        <w:rPr>
          <w:rFonts w:eastAsia="SimSun"/>
          <w:lang w:eastAsia="en-GB"/>
        </w:rPr>
        <w:t>EMAS</w:t>
      </w:r>
      <w:r w:rsidR="00230EFC">
        <w:rPr>
          <w:rFonts w:eastAsia="SimSun"/>
          <w:lang w:eastAsia="en-GB"/>
        </w:rPr>
        <w:t>)</w:t>
      </w:r>
      <w:r w:rsidR="00132960" w:rsidRPr="0064650F">
        <w:rPr>
          <w:rFonts w:eastAsia="SimSun"/>
          <w:lang w:eastAsia="en-GB"/>
        </w:rPr>
        <w:t xml:space="preserve"> (Slovakia).</w:t>
      </w:r>
    </w:p>
    <w:p w:rsidR="005F6C8E" w:rsidRPr="0064650F" w:rsidRDefault="001E4122" w:rsidP="00F31969">
      <w:pPr>
        <w:pStyle w:val="H23G"/>
        <w:rPr>
          <w:rFonts w:eastAsia="SimSun"/>
          <w:lang w:eastAsia="en-GB"/>
        </w:rPr>
      </w:pPr>
      <w:r>
        <w:rPr>
          <w:rFonts w:eastAsia="SimSun"/>
          <w:lang w:eastAsia="en-GB"/>
        </w:rPr>
        <w:tab/>
      </w:r>
      <w:r>
        <w:rPr>
          <w:rFonts w:eastAsia="SimSun"/>
          <w:lang w:eastAsia="en-GB"/>
        </w:rPr>
        <w:tab/>
      </w:r>
      <w:r w:rsidR="005F6C8E" w:rsidRPr="0064650F">
        <w:rPr>
          <w:rFonts w:eastAsia="SimSun"/>
          <w:lang w:eastAsia="en-GB"/>
        </w:rPr>
        <w:t>Measure</w:t>
      </w:r>
      <w:r w:rsidR="00230EFC">
        <w:rPr>
          <w:rFonts w:eastAsia="SimSun"/>
          <w:lang w:eastAsia="en-GB"/>
        </w:rPr>
        <w:t>s</w:t>
      </w:r>
      <w:r w:rsidR="005F6C8E" w:rsidRPr="0064650F">
        <w:rPr>
          <w:rFonts w:eastAsia="SimSun"/>
          <w:lang w:eastAsia="en-GB"/>
        </w:rPr>
        <w:t xml:space="preserve"> to support innovative enterprises</w:t>
      </w:r>
      <w:r w:rsidR="00101321">
        <w:rPr>
          <w:rFonts w:eastAsia="SimSun"/>
          <w:lang w:eastAsia="en-GB"/>
        </w:rPr>
        <w:t xml:space="preserve"> that promote green technologies</w:t>
      </w:r>
    </w:p>
    <w:p w:rsidR="005F6C8E" w:rsidRPr="0064650F" w:rsidRDefault="005F6C8E" w:rsidP="00F94694">
      <w:pPr>
        <w:pStyle w:val="SingleTxtG"/>
      </w:pPr>
      <w:r w:rsidRPr="0064650F">
        <w:t>8</w:t>
      </w:r>
      <w:r w:rsidR="003E7C8C" w:rsidRPr="0064650F">
        <w:t>8</w:t>
      </w:r>
      <w:r w:rsidRPr="0064650F">
        <w:t>.</w:t>
      </w:r>
      <w:r w:rsidRPr="0064650F">
        <w:tab/>
        <w:t xml:space="preserve">Nowadays, </w:t>
      </w:r>
      <w:r w:rsidR="00347945">
        <w:t>s</w:t>
      </w:r>
      <w:r w:rsidRPr="0064650F">
        <w:t>ta</w:t>
      </w:r>
      <w:r w:rsidR="00D91EF3">
        <w:t>rt-up</w:t>
      </w:r>
      <w:r w:rsidRPr="0064650F">
        <w:t>s are revolutioni</w:t>
      </w:r>
      <w:r w:rsidR="00347945">
        <w:t>z</w:t>
      </w:r>
      <w:r w:rsidRPr="0064650F">
        <w:t>ing the world by introducing critical technological innovation</w:t>
      </w:r>
      <w:r w:rsidR="00347945">
        <w:t>, among others,</w:t>
      </w:r>
      <w:r w:rsidRPr="0064650F">
        <w:t xml:space="preserve"> in clean</w:t>
      </w:r>
      <w:r w:rsidR="000D7399">
        <w:t xml:space="preserve"> </w:t>
      </w:r>
      <w:r w:rsidRPr="0064650F">
        <w:t>tech</w:t>
      </w:r>
      <w:r w:rsidR="000D7399">
        <w:t>nologies</w:t>
      </w:r>
      <w:r w:rsidRPr="0064650F">
        <w:t>, energy savings, recycling, waste and water management. And there are several other reasons why they matter to Governments</w:t>
      </w:r>
      <w:r w:rsidR="000D7399">
        <w:t>:</w:t>
      </w:r>
      <w:r w:rsidRPr="0064650F">
        <w:t xml:space="preserve"> </w:t>
      </w:r>
      <w:r w:rsidR="000D7399">
        <w:t>s</w:t>
      </w:r>
      <w:r w:rsidRPr="0064650F">
        <w:t>ta</w:t>
      </w:r>
      <w:r w:rsidR="00D91EF3">
        <w:t>rt-up</w:t>
      </w:r>
      <w:r w:rsidRPr="0064650F">
        <w:t>s can improve the flow of knowledge between universities</w:t>
      </w:r>
      <w:r w:rsidR="000D7399">
        <w:t xml:space="preserve"> and </w:t>
      </w:r>
      <w:r w:rsidRPr="0064650F">
        <w:t>research centr</w:t>
      </w:r>
      <w:r w:rsidR="000D7399">
        <w:t>e</w:t>
      </w:r>
      <w:r w:rsidRPr="0064650F">
        <w:t>s and the entrepreneurial fabric (technology transfer)</w:t>
      </w:r>
      <w:r w:rsidR="000D7399">
        <w:t>;</w:t>
      </w:r>
      <w:r w:rsidRPr="0064650F">
        <w:t xml:space="preserve"> </w:t>
      </w:r>
      <w:r w:rsidR="000D7399">
        <w:t>t</w:t>
      </w:r>
      <w:r w:rsidRPr="0064650F">
        <w:t>hey are key to the job creation process, as it is estimated that currently about 50</w:t>
      </w:r>
      <w:r w:rsidR="00E94AB0">
        <w:t xml:space="preserve"> per cent</w:t>
      </w:r>
      <w:r w:rsidRPr="0064650F">
        <w:t xml:space="preserve"> of new jobs created in OECD countries come from </w:t>
      </w:r>
      <w:r w:rsidR="000D7399">
        <w:t>s</w:t>
      </w:r>
      <w:r w:rsidRPr="0064650F">
        <w:t>ta</w:t>
      </w:r>
      <w:r w:rsidR="00D91EF3">
        <w:t>rt-up</w:t>
      </w:r>
      <w:r w:rsidRPr="0064650F">
        <w:t>s</w:t>
      </w:r>
      <w:r w:rsidR="000D7399">
        <w:t>;</w:t>
      </w:r>
      <w:r w:rsidRPr="0064650F">
        <w:t xml:space="preserve"> </w:t>
      </w:r>
      <w:r w:rsidR="00101321">
        <w:t xml:space="preserve">and </w:t>
      </w:r>
      <w:r w:rsidRPr="0064650F">
        <w:t>a healthy sta</w:t>
      </w:r>
      <w:r w:rsidR="00D91EF3">
        <w:t>rt-up</w:t>
      </w:r>
      <w:r w:rsidRPr="0064650F">
        <w:t xml:space="preserve"> </w:t>
      </w:r>
      <w:r w:rsidR="000D7399">
        <w:t xml:space="preserve">community and </w:t>
      </w:r>
      <w:r w:rsidR="00101321">
        <w:t xml:space="preserve">supportive </w:t>
      </w:r>
      <w:r w:rsidR="000D7399">
        <w:t xml:space="preserve">environment </w:t>
      </w:r>
      <w:r w:rsidRPr="0064650F">
        <w:t xml:space="preserve">can rebrand countries’ international </w:t>
      </w:r>
      <w:r w:rsidR="000D7399">
        <w:t xml:space="preserve">image </w:t>
      </w:r>
      <w:r w:rsidRPr="0064650F">
        <w:t>and improve their attractiveness for global flows of financial and human capital.</w:t>
      </w:r>
      <w:r w:rsidR="000D7399">
        <w:t xml:space="preserve"> </w:t>
      </w:r>
      <w:r w:rsidRPr="0064650F">
        <w:t xml:space="preserve">In the ECE region, countries like Italy, Estonia and the Netherlands have embarked in successful national reform processes to </w:t>
      </w:r>
      <w:r w:rsidR="000D7399">
        <w:t>encourage s</w:t>
      </w:r>
      <w:r w:rsidRPr="0064650F">
        <w:t>ta</w:t>
      </w:r>
      <w:r w:rsidR="00D91EF3">
        <w:t>rt-up</w:t>
      </w:r>
      <w:r w:rsidRPr="0064650F">
        <w:t>s and the EU launched the “Sta</w:t>
      </w:r>
      <w:r w:rsidR="00D91EF3">
        <w:t>rt-up</w:t>
      </w:r>
      <w:r w:rsidRPr="0064650F">
        <w:t xml:space="preserve"> Europe” </w:t>
      </w:r>
      <w:r w:rsidR="000D7399">
        <w:t xml:space="preserve">initiative </w:t>
      </w:r>
      <w:r w:rsidRPr="0064650F">
        <w:t>as part of its Digital Agenda and Entrepreneurship 2020 Action Plan.</w:t>
      </w:r>
    </w:p>
    <w:p w:rsidR="005F6C8E" w:rsidRPr="0064650F" w:rsidRDefault="003E7C8C" w:rsidP="00F31969">
      <w:pPr>
        <w:pStyle w:val="SingleTxtG"/>
        <w:spacing w:after="240"/>
      </w:pPr>
      <w:r w:rsidRPr="0064650F">
        <w:t>89</w:t>
      </w:r>
      <w:r w:rsidR="005F6C8E" w:rsidRPr="0064650F">
        <w:t>.</w:t>
      </w:r>
      <w:r w:rsidR="005F6C8E" w:rsidRPr="0064650F">
        <w:tab/>
        <w:t xml:space="preserve">In order to thrive and be successful, </w:t>
      </w:r>
      <w:r w:rsidR="000D7399">
        <w:t>s</w:t>
      </w:r>
      <w:r w:rsidR="005F6C8E" w:rsidRPr="0064650F">
        <w:t>ta</w:t>
      </w:r>
      <w:r w:rsidR="00D91EF3">
        <w:t>rt-up</w:t>
      </w:r>
      <w:r w:rsidR="005F6C8E" w:rsidRPr="0064650F">
        <w:t xml:space="preserve">s need a </w:t>
      </w:r>
      <w:r w:rsidR="00AD3215">
        <w:t xml:space="preserve">supportive </w:t>
      </w:r>
      <w:r w:rsidR="000D7399">
        <w:t>environment</w:t>
      </w:r>
      <w:r w:rsidR="005F6C8E" w:rsidRPr="0064650F">
        <w:t xml:space="preserve">, providing </w:t>
      </w:r>
      <w:r w:rsidR="00AD3215">
        <w:t>assistance</w:t>
      </w:r>
      <w:r w:rsidR="005F6C8E" w:rsidRPr="0064650F">
        <w:t xml:space="preserve">, funding and mentoring to eager entrepreneurs. This involves putting in place tax incentives, providing for innovative funding and remuneration schemes </w:t>
      </w:r>
      <w:proofErr w:type="gramStart"/>
      <w:r w:rsidR="005F6C8E" w:rsidRPr="0064650F">
        <w:t>It</w:t>
      </w:r>
      <w:proofErr w:type="gramEnd"/>
      <w:r w:rsidR="005F6C8E" w:rsidRPr="0064650F">
        <w:t xml:space="preserve"> also requires </w:t>
      </w:r>
      <w:r w:rsidR="00AD3215">
        <w:t xml:space="preserve">the </w:t>
      </w:r>
      <w:r w:rsidR="005F6C8E" w:rsidRPr="0064650F">
        <w:t xml:space="preserve">exchange of best practices and </w:t>
      </w:r>
      <w:r w:rsidR="00805F8B">
        <w:t>cooperation</w:t>
      </w:r>
      <w:r w:rsidR="007C121B" w:rsidRPr="0064650F">
        <w:t xml:space="preserve"> between countries.</w:t>
      </w:r>
    </w:p>
    <w:tbl>
      <w:tblPr>
        <w:tblW w:w="0" w:type="auto"/>
        <w:jc w:val="center"/>
        <w:tblInd w:w="213"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41"/>
      </w:tblGrid>
      <w:tr w:rsidR="005F48C8" w:rsidRPr="0064650F" w:rsidTr="006503C8">
        <w:trPr>
          <w:trHeight w:hRule="exact" w:val="240"/>
          <w:jc w:val="center"/>
        </w:trPr>
        <w:tc>
          <w:tcPr>
            <w:tcW w:w="7441" w:type="dxa"/>
            <w:tcBorders>
              <w:top w:val="single" w:sz="4" w:space="0" w:color="auto"/>
            </w:tcBorders>
            <w:shd w:val="clear" w:color="auto" w:fill="auto"/>
          </w:tcPr>
          <w:p w:rsidR="005F48C8" w:rsidRPr="0064650F" w:rsidRDefault="005F48C8" w:rsidP="00F31969">
            <w:pPr>
              <w:suppressAutoHyphens w:val="0"/>
              <w:spacing w:line="240" w:lineRule="auto"/>
              <w:ind w:left="482" w:right="482"/>
            </w:pPr>
          </w:p>
        </w:tc>
      </w:tr>
      <w:tr w:rsidR="005F48C8" w:rsidRPr="0064650F" w:rsidTr="006503C8">
        <w:trPr>
          <w:jc w:val="center"/>
        </w:trPr>
        <w:tc>
          <w:tcPr>
            <w:tcW w:w="7441" w:type="dxa"/>
            <w:tcBorders>
              <w:bottom w:val="nil"/>
            </w:tcBorders>
            <w:shd w:val="clear" w:color="auto" w:fill="auto"/>
            <w:tcMar>
              <w:left w:w="142" w:type="dxa"/>
              <w:right w:w="142" w:type="dxa"/>
            </w:tcMar>
          </w:tcPr>
          <w:p w:rsidR="005F48C8" w:rsidRPr="0064650F" w:rsidRDefault="005F48C8" w:rsidP="00F31969">
            <w:pPr>
              <w:spacing w:after="120"/>
              <w:ind w:left="482" w:right="482"/>
              <w:rPr>
                <w:b/>
              </w:rPr>
            </w:pPr>
            <w:r w:rsidRPr="0064650F">
              <w:t>Box 3</w:t>
            </w:r>
            <w:r w:rsidRPr="0064650F">
              <w:rPr>
                <w:b/>
              </w:rPr>
              <w:br/>
            </w:r>
            <w:r w:rsidR="000E4DF9">
              <w:rPr>
                <w:b/>
              </w:rPr>
              <w:t xml:space="preserve">Enabling conditions </w:t>
            </w:r>
            <w:r w:rsidR="006503C8" w:rsidRPr="0064650F">
              <w:rPr>
                <w:b/>
              </w:rPr>
              <w:t xml:space="preserve">for innovative  </w:t>
            </w:r>
            <w:r w:rsidR="00EE11A9">
              <w:rPr>
                <w:b/>
              </w:rPr>
              <w:t>s</w:t>
            </w:r>
            <w:r w:rsidR="006503C8" w:rsidRPr="0064650F">
              <w:rPr>
                <w:b/>
              </w:rPr>
              <w:t>ta</w:t>
            </w:r>
            <w:r w:rsidR="00D91EF3">
              <w:rPr>
                <w:b/>
              </w:rPr>
              <w:t>rt-up</w:t>
            </w:r>
            <w:r w:rsidR="006503C8" w:rsidRPr="0064650F">
              <w:rPr>
                <w:b/>
              </w:rPr>
              <w:t>s: the case of Italy</w:t>
            </w:r>
          </w:p>
          <w:p w:rsidR="006503C8" w:rsidRPr="0064650F" w:rsidRDefault="006503C8" w:rsidP="00F31969">
            <w:pPr>
              <w:spacing w:after="120"/>
              <w:ind w:left="482" w:right="482"/>
              <w:jc w:val="both"/>
            </w:pPr>
            <w:r w:rsidRPr="0064650F">
              <w:t xml:space="preserve">In late 2012, Italy launched a thorough reform in support of </w:t>
            </w:r>
            <w:r w:rsidR="00AD3215">
              <w:t>s</w:t>
            </w:r>
            <w:r w:rsidRPr="0064650F">
              <w:t>ta</w:t>
            </w:r>
            <w:r w:rsidR="00D91EF3">
              <w:t>rt-up</w:t>
            </w:r>
            <w:r w:rsidRPr="0064650F">
              <w:t>s, which culminated in the adoption of the Italian Sta</w:t>
            </w:r>
            <w:r w:rsidR="00D91EF3">
              <w:t>rt-up</w:t>
            </w:r>
            <w:r w:rsidRPr="0064650F">
              <w:t xml:space="preserve"> Act, a package of tools affecting all stages of </w:t>
            </w:r>
            <w:r w:rsidR="00AD3215">
              <w:t xml:space="preserve">the </w:t>
            </w:r>
            <w:r w:rsidRPr="0064650F">
              <w:t xml:space="preserve">business life cycle, and creating the enabling conditions for </w:t>
            </w:r>
            <w:r w:rsidR="00AD3215">
              <w:t xml:space="preserve">the rapid establishment and </w:t>
            </w:r>
            <w:r w:rsidRPr="0064650F">
              <w:t>scaling</w:t>
            </w:r>
            <w:r w:rsidR="00AD3215">
              <w:t>-</w:t>
            </w:r>
            <w:r w:rsidRPr="0064650F">
              <w:t>up</w:t>
            </w:r>
            <w:r w:rsidR="00AD3215">
              <w:t xml:space="preserve"> of s</w:t>
            </w:r>
            <w:r w:rsidR="00AD3215" w:rsidRPr="0064650F">
              <w:t>ta</w:t>
            </w:r>
            <w:r w:rsidR="00AD3215">
              <w:t>rt-up</w:t>
            </w:r>
            <w:r w:rsidR="00AD3215" w:rsidRPr="0064650F">
              <w:t>s</w:t>
            </w:r>
            <w:r w:rsidRPr="0064650F">
              <w:t xml:space="preserve">. </w:t>
            </w:r>
          </w:p>
          <w:p w:rsidR="006503C8" w:rsidRPr="0064650F" w:rsidRDefault="006503C8" w:rsidP="00F31969">
            <w:pPr>
              <w:spacing w:after="120"/>
              <w:ind w:left="482" w:right="482"/>
              <w:jc w:val="both"/>
            </w:pPr>
            <w:r w:rsidRPr="0064650F">
              <w:t xml:space="preserve">The Act provides robust </w:t>
            </w:r>
            <w:r w:rsidR="004E4580">
              <w:t xml:space="preserve">financial </w:t>
            </w:r>
            <w:r w:rsidRPr="0064650F">
              <w:t xml:space="preserve">incentives </w:t>
            </w:r>
            <w:r w:rsidR="00003E71">
              <w:t xml:space="preserve">for start-ups, including: </w:t>
            </w:r>
            <w:r w:rsidRPr="0064650F">
              <w:t>up to 27</w:t>
            </w:r>
            <w:r w:rsidR="004E4580">
              <w:t> </w:t>
            </w:r>
            <w:r w:rsidR="00E94AB0">
              <w:t>per cent</w:t>
            </w:r>
            <w:r w:rsidRPr="0064650F">
              <w:t xml:space="preserve"> </w:t>
            </w:r>
            <w:r w:rsidR="00101321">
              <w:t xml:space="preserve">reductions </w:t>
            </w:r>
            <w:r w:rsidRPr="0064650F">
              <w:t xml:space="preserve">on </w:t>
            </w:r>
            <w:r w:rsidR="004E4580">
              <w:t xml:space="preserve">taxes for </w:t>
            </w:r>
            <w:r w:rsidRPr="0064650F">
              <w:t>seed and early-stage investment</w:t>
            </w:r>
            <w:r w:rsidR="00003E71">
              <w:t>s,</w:t>
            </w:r>
            <w:r w:rsidRPr="0064650F">
              <w:t xml:space="preserve"> amounting </w:t>
            </w:r>
            <w:r w:rsidR="00003E71">
              <w:t xml:space="preserve">to </w:t>
            </w:r>
            <w:r w:rsidRPr="0064650F">
              <w:t xml:space="preserve">up to </w:t>
            </w:r>
            <w:r w:rsidR="00003E71">
              <w:t>€</w:t>
            </w:r>
            <w:r w:rsidRPr="0064650F">
              <w:t xml:space="preserve">1.8 million; streamlined, free-of-charge access to </w:t>
            </w:r>
            <w:r w:rsidRPr="0064650F">
              <w:lastRenderedPageBreak/>
              <w:t xml:space="preserve">guarantees </w:t>
            </w:r>
            <w:r w:rsidR="00003E71">
              <w:t xml:space="preserve">of </w:t>
            </w:r>
            <w:r w:rsidRPr="0064650F">
              <w:t>80</w:t>
            </w:r>
            <w:r w:rsidR="00E94AB0">
              <w:t xml:space="preserve"> per cent</w:t>
            </w:r>
            <w:r w:rsidRPr="0064650F">
              <w:t xml:space="preserve"> on bank loans amounting to </w:t>
            </w:r>
            <w:r w:rsidR="00003E71">
              <w:t>up to €</w:t>
            </w:r>
            <w:r w:rsidRPr="0064650F">
              <w:t xml:space="preserve">2.5 million euro; </w:t>
            </w:r>
            <w:r w:rsidR="004E4580">
              <w:t>e</w:t>
            </w:r>
            <w:r w:rsidR="00396708" w:rsidRPr="0064650F">
              <w:t xml:space="preserve">xemption </w:t>
            </w:r>
            <w:r w:rsidR="00396708">
              <w:t xml:space="preserve">on </w:t>
            </w:r>
            <w:r w:rsidR="00396708" w:rsidRPr="0064650F">
              <w:t>fees</w:t>
            </w:r>
            <w:r w:rsidR="00396708">
              <w:t>;</w:t>
            </w:r>
            <w:r w:rsidR="00A51983">
              <w:t xml:space="preserve"> </w:t>
            </w:r>
            <w:r w:rsidRPr="0064650F">
              <w:t>ground</w:t>
            </w:r>
            <w:r w:rsidR="00EE11A9">
              <w:t>-</w:t>
            </w:r>
            <w:r w:rsidRPr="0064650F">
              <w:t>breaking remuneration tools</w:t>
            </w:r>
            <w:r w:rsidR="00A51983">
              <w:t>,</w:t>
            </w:r>
            <w:r w:rsidRPr="0064650F">
              <w:t xml:space="preserve"> </w:t>
            </w:r>
            <w:r w:rsidR="00A51983">
              <w:t xml:space="preserve">making it </w:t>
            </w:r>
            <w:r w:rsidRPr="0064650F">
              <w:t>possibl</w:t>
            </w:r>
            <w:r w:rsidR="00A51983">
              <w:t>e</w:t>
            </w:r>
            <w:r w:rsidRPr="0064650F">
              <w:t xml:space="preserve"> to </w:t>
            </w:r>
            <w:r w:rsidR="00A51983">
              <w:t xml:space="preserve">pay </w:t>
            </w:r>
            <w:r w:rsidRPr="0064650F">
              <w:t>workers and consultants through stock options and work</w:t>
            </w:r>
            <w:r w:rsidR="00A51983">
              <w:t>-</w:t>
            </w:r>
            <w:r w:rsidRPr="0064650F">
              <w:t>for</w:t>
            </w:r>
            <w:r w:rsidR="00A51983">
              <w:t>-</w:t>
            </w:r>
            <w:r w:rsidRPr="0064650F">
              <w:t xml:space="preserve">equity schemes, which are tax deductible for both fiscal and contributory purposes; </w:t>
            </w:r>
            <w:r w:rsidR="00A51983">
              <w:t xml:space="preserve">and the possibility to use </w:t>
            </w:r>
            <w:r w:rsidRPr="0064650F">
              <w:t>innovative funding instrument</w:t>
            </w:r>
            <w:r w:rsidR="00A51983">
              <w:t>s</w:t>
            </w:r>
            <w:r w:rsidRPr="0064650F">
              <w:t xml:space="preserve">, </w:t>
            </w:r>
            <w:r w:rsidR="00A51983">
              <w:t xml:space="preserve">that allow </w:t>
            </w:r>
            <w:r w:rsidRPr="0064650F">
              <w:t xml:space="preserve">capital </w:t>
            </w:r>
            <w:r w:rsidR="00A51983">
              <w:t xml:space="preserve">to be raised </w:t>
            </w:r>
            <w:r w:rsidRPr="0064650F">
              <w:t xml:space="preserve">in exchange for shares through equity crowd-funding portals. </w:t>
            </w:r>
          </w:p>
          <w:p w:rsidR="006503C8" w:rsidRPr="0064650F" w:rsidRDefault="006503C8" w:rsidP="00F31969">
            <w:pPr>
              <w:spacing w:after="240"/>
              <w:ind w:left="482" w:right="482"/>
              <w:jc w:val="both"/>
              <w:rPr>
                <w:b/>
              </w:rPr>
            </w:pPr>
            <w:r w:rsidRPr="0064650F">
              <w:t>As a result, today the country counts more than 3,700 highly</w:t>
            </w:r>
            <w:r w:rsidR="00A51983">
              <w:t xml:space="preserve"> </w:t>
            </w:r>
            <w:r w:rsidRPr="0064650F">
              <w:t>innovative tech</w:t>
            </w:r>
            <w:r w:rsidR="00A51983">
              <w:t>nology</w:t>
            </w:r>
            <w:r w:rsidRPr="0064650F">
              <w:t xml:space="preserve"> </w:t>
            </w:r>
            <w:r w:rsidR="00A51983">
              <w:t>s</w:t>
            </w:r>
            <w:r w:rsidRPr="0064650F">
              <w:t>ta</w:t>
            </w:r>
            <w:r w:rsidR="00D91EF3">
              <w:t>rt-up</w:t>
            </w:r>
            <w:r w:rsidRPr="0064650F">
              <w:t xml:space="preserve">s with about 19,000 partners and employees, and about </w:t>
            </w:r>
            <w:r w:rsidR="00A51983">
              <w:t>€</w:t>
            </w:r>
            <w:r w:rsidRPr="0064650F">
              <w:t xml:space="preserve">150 million have been lent to more than 320 </w:t>
            </w:r>
            <w:r w:rsidR="00A51983">
              <w:t>s</w:t>
            </w:r>
            <w:r w:rsidRPr="0064650F">
              <w:t>ta</w:t>
            </w:r>
            <w:r w:rsidR="00D91EF3">
              <w:t>rt-up</w:t>
            </w:r>
            <w:r w:rsidRPr="0064650F">
              <w:t xml:space="preserve">s during </w:t>
            </w:r>
            <w:r w:rsidR="00A51983">
              <w:t xml:space="preserve">the period </w:t>
            </w:r>
            <w:r w:rsidRPr="0064650F">
              <w:t>2014</w:t>
            </w:r>
            <w:r w:rsidR="00A51983">
              <w:t>–</w:t>
            </w:r>
            <w:r w:rsidRPr="0064650F">
              <w:t>2015.</w:t>
            </w:r>
          </w:p>
        </w:tc>
      </w:tr>
      <w:tr w:rsidR="005F48C8" w:rsidRPr="0064650F" w:rsidTr="006503C8">
        <w:trPr>
          <w:trHeight w:hRule="exact" w:val="20"/>
          <w:jc w:val="center"/>
        </w:trPr>
        <w:tc>
          <w:tcPr>
            <w:tcW w:w="7441" w:type="dxa"/>
            <w:tcBorders>
              <w:bottom w:val="single" w:sz="4" w:space="0" w:color="auto"/>
            </w:tcBorders>
            <w:shd w:val="clear" w:color="auto" w:fill="auto"/>
          </w:tcPr>
          <w:p w:rsidR="005F48C8" w:rsidRPr="0064650F" w:rsidRDefault="005F48C8" w:rsidP="005F48C8">
            <w:pPr>
              <w:suppressAutoHyphens w:val="0"/>
              <w:spacing w:line="240" w:lineRule="auto"/>
            </w:pPr>
          </w:p>
        </w:tc>
      </w:tr>
    </w:tbl>
    <w:p w:rsidR="005F6C8E" w:rsidRPr="0064650F" w:rsidRDefault="005F6C8E" w:rsidP="006503C8">
      <w:pPr>
        <w:pStyle w:val="HChG"/>
        <w:rPr>
          <w:rFonts w:eastAsia="SimSun"/>
          <w:lang w:eastAsia="en-GB"/>
        </w:rPr>
      </w:pPr>
      <w:r w:rsidRPr="0064650F">
        <w:rPr>
          <w:rFonts w:eastAsia="SimSun"/>
          <w:lang w:eastAsia="en-GB"/>
        </w:rPr>
        <w:tab/>
        <w:t>IV</w:t>
      </w:r>
      <w:r w:rsidR="00984D27" w:rsidRPr="0064650F">
        <w:rPr>
          <w:rFonts w:eastAsia="SimSun"/>
          <w:lang w:eastAsia="en-GB"/>
        </w:rPr>
        <w:t>.</w:t>
      </w:r>
      <w:r w:rsidR="00984D27" w:rsidRPr="0064650F">
        <w:rPr>
          <w:rFonts w:eastAsia="SimSun"/>
          <w:lang w:eastAsia="en-GB"/>
        </w:rPr>
        <w:tab/>
        <w:t>Cooperation</w:t>
      </w:r>
    </w:p>
    <w:tbl>
      <w:tblPr>
        <w:tblW w:w="0" w:type="auto"/>
        <w:jc w:val="center"/>
        <w:tblInd w:w="213"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41"/>
      </w:tblGrid>
      <w:tr w:rsidR="005F6C8E" w:rsidRPr="0064650F" w:rsidTr="006503C8">
        <w:trPr>
          <w:trHeight w:hRule="exact" w:val="240"/>
          <w:jc w:val="center"/>
        </w:trPr>
        <w:tc>
          <w:tcPr>
            <w:tcW w:w="7441" w:type="dxa"/>
            <w:tcBorders>
              <w:top w:val="single" w:sz="4" w:space="0" w:color="auto"/>
            </w:tcBorders>
            <w:shd w:val="clear" w:color="auto" w:fill="auto"/>
          </w:tcPr>
          <w:p w:rsidR="005F6C8E" w:rsidRPr="0064650F" w:rsidRDefault="005F6C8E" w:rsidP="005F6C8E">
            <w:pPr>
              <w:suppressAutoHyphens w:val="0"/>
              <w:spacing w:line="240" w:lineRule="auto"/>
              <w:rPr>
                <w:rFonts w:eastAsia="SimSun"/>
                <w:lang w:eastAsia="en-GB"/>
              </w:rPr>
            </w:pPr>
          </w:p>
        </w:tc>
      </w:tr>
      <w:tr w:rsidR="005F6C8E" w:rsidRPr="0064650F" w:rsidTr="006503C8">
        <w:trPr>
          <w:jc w:val="center"/>
        </w:trPr>
        <w:tc>
          <w:tcPr>
            <w:tcW w:w="7441" w:type="dxa"/>
            <w:tcBorders>
              <w:bottom w:val="nil"/>
            </w:tcBorders>
            <w:shd w:val="clear" w:color="auto" w:fill="auto"/>
            <w:tcMar>
              <w:left w:w="142" w:type="dxa"/>
              <w:right w:w="142" w:type="dxa"/>
            </w:tcMar>
          </w:tcPr>
          <w:p w:rsidR="005F6C8E" w:rsidRPr="0064650F" w:rsidRDefault="005F6C8E" w:rsidP="005F6C8E">
            <w:pPr>
              <w:spacing w:after="120"/>
              <w:jc w:val="both"/>
              <w:rPr>
                <w:rFonts w:eastAsia="SimSun"/>
                <w:i/>
                <w:lang w:eastAsia="en-GB"/>
              </w:rPr>
            </w:pPr>
            <w:r w:rsidRPr="004B29C9">
              <w:rPr>
                <w:rFonts w:eastAsia="SimSun"/>
                <w:b/>
                <w:lang w:eastAsia="en-GB"/>
              </w:rPr>
              <w:t>Questions for discussion</w:t>
            </w:r>
            <w:r w:rsidRPr="004B29C9">
              <w:rPr>
                <w:rFonts w:eastAsia="SimSun"/>
                <w:lang w:eastAsia="en-GB"/>
              </w:rPr>
              <w:t>:</w:t>
            </w:r>
            <w:r w:rsidRPr="0064650F">
              <w:rPr>
                <w:rFonts w:eastAsia="SimSun"/>
                <w:i/>
                <w:lang w:eastAsia="en-GB"/>
              </w:rPr>
              <w:t xml:space="preserve"> what steps could be taken to further promote cooperation among countries in the pan-European region to facilitate the transition to a green economy, including in the context of the post-2015 development agenda?</w:t>
            </w:r>
          </w:p>
        </w:tc>
      </w:tr>
      <w:tr w:rsidR="005F6C8E" w:rsidRPr="0064650F" w:rsidTr="006503C8">
        <w:trPr>
          <w:trHeight w:hRule="exact" w:val="20"/>
          <w:jc w:val="center"/>
        </w:trPr>
        <w:tc>
          <w:tcPr>
            <w:tcW w:w="7441" w:type="dxa"/>
            <w:tcBorders>
              <w:bottom w:val="single" w:sz="4" w:space="0" w:color="auto"/>
            </w:tcBorders>
            <w:shd w:val="clear" w:color="auto" w:fill="auto"/>
          </w:tcPr>
          <w:p w:rsidR="005F6C8E" w:rsidRPr="0064650F" w:rsidRDefault="005F6C8E" w:rsidP="005F6C8E">
            <w:pPr>
              <w:suppressAutoHyphens w:val="0"/>
              <w:spacing w:line="240" w:lineRule="auto"/>
              <w:rPr>
                <w:rFonts w:eastAsia="SimSun"/>
                <w:lang w:eastAsia="en-GB"/>
              </w:rPr>
            </w:pPr>
          </w:p>
        </w:tc>
      </w:tr>
    </w:tbl>
    <w:p w:rsidR="005F6C8E" w:rsidRPr="0064650F" w:rsidRDefault="003E7C8C" w:rsidP="004B29C9">
      <w:pPr>
        <w:pStyle w:val="SingleTxtG"/>
        <w:spacing w:before="240"/>
        <w:rPr>
          <w:rFonts w:eastAsia="SimSun"/>
          <w:lang w:eastAsia="en-GB"/>
        </w:rPr>
      </w:pPr>
      <w:r w:rsidRPr="0064650F">
        <w:rPr>
          <w:rFonts w:eastAsia="SimSun"/>
          <w:lang w:eastAsia="en-GB"/>
        </w:rPr>
        <w:t>90</w:t>
      </w:r>
      <w:r w:rsidR="005F6C8E" w:rsidRPr="0064650F">
        <w:rPr>
          <w:rFonts w:eastAsia="SimSun"/>
          <w:lang w:eastAsia="en-GB"/>
        </w:rPr>
        <w:t>.</w:t>
      </w:r>
      <w:r w:rsidR="005F6C8E" w:rsidRPr="0064650F">
        <w:rPr>
          <w:rFonts w:eastAsia="SimSun"/>
          <w:lang w:eastAsia="en-GB"/>
        </w:rPr>
        <w:tab/>
        <w:t xml:space="preserve">Cooperation among countries is crucial for advancing the green economy transition. Certain instruments, in particular market-based instruments, deliver better results if they are implemented in a coordinated manner by countries. Cooperation also allows building on each other’s knowledge, experience and practices in elaborating and implementing strategies, action plans or road maps for the green transition. The sharing of practices and experience is particularly helpful for engaging the private sector and civil society </w:t>
      </w:r>
      <w:r w:rsidR="00733FAA" w:rsidRPr="0064650F">
        <w:rPr>
          <w:rFonts w:eastAsia="SimSun"/>
          <w:lang w:eastAsia="en-GB"/>
        </w:rPr>
        <w:t xml:space="preserve">more effectively </w:t>
      </w:r>
      <w:r w:rsidR="005F6C8E" w:rsidRPr="0064650F">
        <w:rPr>
          <w:rFonts w:eastAsia="SimSun"/>
          <w:lang w:eastAsia="en-GB"/>
        </w:rPr>
        <w:t>in this work. International organizations play a central role in facilitating cooperation among countries.</w:t>
      </w:r>
    </w:p>
    <w:p w:rsidR="005F6C8E" w:rsidRPr="0064650F" w:rsidRDefault="005F6C8E" w:rsidP="006503C8">
      <w:pPr>
        <w:pStyle w:val="SingleTxtG"/>
        <w:rPr>
          <w:rFonts w:eastAsia="SimSun"/>
          <w:lang w:eastAsia="en-GB"/>
        </w:rPr>
      </w:pPr>
      <w:r w:rsidRPr="0064650F">
        <w:rPr>
          <w:rFonts w:eastAsia="SimSun"/>
          <w:lang w:eastAsia="en-GB"/>
        </w:rPr>
        <w:t>9</w:t>
      </w:r>
      <w:r w:rsidR="003E7C8C" w:rsidRPr="0064650F">
        <w:rPr>
          <w:rFonts w:eastAsia="SimSun"/>
          <w:lang w:eastAsia="en-GB"/>
        </w:rPr>
        <w:t>1</w:t>
      </w:r>
      <w:r w:rsidRPr="0064650F">
        <w:rPr>
          <w:rFonts w:eastAsia="SimSun"/>
          <w:lang w:eastAsia="en-GB"/>
        </w:rPr>
        <w:t>.</w:t>
      </w:r>
      <w:r w:rsidRPr="0064650F">
        <w:rPr>
          <w:rFonts w:eastAsia="SimSun"/>
          <w:lang w:eastAsia="en-GB"/>
        </w:rPr>
        <w:tab/>
        <w:t>Market-based instruments encourage the private sector, through price signals, to move to more socially and environmentally</w:t>
      </w:r>
      <w:r w:rsidR="00CC7D1A">
        <w:rPr>
          <w:rFonts w:eastAsia="SimSun"/>
          <w:lang w:eastAsia="en-GB"/>
        </w:rPr>
        <w:t xml:space="preserve"> </w:t>
      </w:r>
      <w:r w:rsidRPr="0064650F">
        <w:rPr>
          <w:rFonts w:eastAsia="SimSun"/>
          <w:lang w:eastAsia="en-GB"/>
        </w:rPr>
        <w:t xml:space="preserve">sound production processes and thus to invest in technology transfer or in research and development. If, however, an enterprise has direct competitors operating from countries without or with only weak social or environmental price signals, it may decide to relocate its production activities to keep operational costs low and so stay competitive on price regionally or globally. Coordination among countries and </w:t>
      </w:r>
      <w:r w:rsidR="00CC7D1A">
        <w:rPr>
          <w:rFonts w:eastAsia="SimSun"/>
          <w:lang w:eastAsia="en-GB"/>
        </w:rPr>
        <w:t xml:space="preserve">the </w:t>
      </w:r>
      <w:r w:rsidRPr="0064650F">
        <w:rPr>
          <w:rFonts w:eastAsia="SimSun"/>
          <w:lang w:eastAsia="en-GB"/>
        </w:rPr>
        <w:t>implementation of similar types of price signals may therefore be important in preventing relocation of industrial operati</w:t>
      </w:r>
      <w:r w:rsidR="006731C3" w:rsidRPr="0064650F">
        <w:rPr>
          <w:rFonts w:eastAsia="SimSun"/>
          <w:lang w:eastAsia="en-GB"/>
        </w:rPr>
        <w:t>ons between countries.</w:t>
      </w:r>
    </w:p>
    <w:p w:rsidR="005F6C8E" w:rsidRPr="0064650F" w:rsidRDefault="005F6C8E" w:rsidP="006503C8">
      <w:pPr>
        <w:pStyle w:val="SingleTxtG"/>
        <w:rPr>
          <w:rFonts w:eastAsia="SimSun"/>
          <w:lang w:eastAsia="en-GB"/>
        </w:rPr>
      </w:pPr>
      <w:r w:rsidRPr="0064650F">
        <w:rPr>
          <w:rFonts w:eastAsia="SimSun"/>
          <w:lang w:eastAsia="en-GB"/>
        </w:rPr>
        <w:t>9</w:t>
      </w:r>
      <w:r w:rsidR="003E7C8C" w:rsidRPr="0064650F">
        <w:rPr>
          <w:rFonts w:eastAsia="SimSun"/>
          <w:lang w:eastAsia="en-GB"/>
        </w:rPr>
        <w:t>2</w:t>
      </w:r>
      <w:r w:rsidRPr="0064650F">
        <w:rPr>
          <w:rFonts w:eastAsia="SimSun"/>
          <w:lang w:eastAsia="en-GB"/>
        </w:rPr>
        <w:t>.</w:t>
      </w:r>
      <w:r w:rsidRPr="0064650F">
        <w:rPr>
          <w:rFonts w:eastAsia="SimSun"/>
          <w:lang w:eastAsia="en-GB"/>
        </w:rPr>
        <w:tab/>
        <w:t>There is evidence that, by cooperating and learning from each other, countries have been able to advance faster, which applies also to the green economy transition. Through working together, often facilitated by international organizations, countries have been able to identify and address knowledge gaps in putting in place instruments or approaches to support the green economy transition. The cooperation of countries facilitate</w:t>
      </w:r>
      <w:r w:rsidR="00B403DC" w:rsidRPr="0064650F">
        <w:rPr>
          <w:rFonts w:eastAsia="SimSun"/>
          <w:lang w:eastAsia="en-GB"/>
        </w:rPr>
        <w:t>d under GGKP is a good example.</w:t>
      </w:r>
    </w:p>
    <w:p w:rsidR="005F6C8E" w:rsidRPr="0064650F" w:rsidRDefault="005F6C8E" w:rsidP="006503C8">
      <w:pPr>
        <w:pStyle w:val="SingleTxtG"/>
        <w:rPr>
          <w:rFonts w:eastAsia="SimSun"/>
          <w:lang w:eastAsia="en-GB"/>
        </w:rPr>
      </w:pPr>
      <w:r w:rsidRPr="0064650F">
        <w:rPr>
          <w:rFonts w:eastAsia="SimSun"/>
          <w:lang w:eastAsia="en-GB"/>
        </w:rPr>
        <w:t>9</w:t>
      </w:r>
      <w:r w:rsidR="003E7C8C" w:rsidRPr="0064650F">
        <w:rPr>
          <w:rFonts w:eastAsia="SimSun"/>
          <w:lang w:eastAsia="en-GB"/>
        </w:rPr>
        <w:t>3</w:t>
      </w:r>
      <w:r w:rsidRPr="0064650F">
        <w:rPr>
          <w:rFonts w:eastAsia="SimSun"/>
          <w:lang w:eastAsia="en-GB"/>
        </w:rPr>
        <w:t>.</w:t>
      </w:r>
      <w:r w:rsidRPr="0064650F">
        <w:rPr>
          <w:rFonts w:eastAsia="SimSun"/>
          <w:lang w:eastAsia="en-GB"/>
        </w:rPr>
        <w:tab/>
        <w:t>Furthermore, by sharing success stories in putting in place specific instruments or approaches, countries can help each other to be more effective in managing their green economy transition. In particular, countries with limited capacity for managing the change can benefi</w:t>
      </w:r>
      <w:r w:rsidR="006731C3" w:rsidRPr="0064650F">
        <w:rPr>
          <w:rFonts w:eastAsia="SimSun"/>
          <w:lang w:eastAsia="en-GB"/>
        </w:rPr>
        <w:t>t from such sharing.</w:t>
      </w:r>
    </w:p>
    <w:p w:rsidR="005F6C8E" w:rsidRPr="0064650F" w:rsidRDefault="005F6C8E" w:rsidP="006503C8">
      <w:pPr>
        <w:pStyle w:val="SingleTxtG"/>
        <w:rPr>
          <w:rFonts w:eastAsia="SimSun"/>
          <w:lang w:eastAsia="en-GB"/>
        </w:rPr>
      </w:pPr>
      <w:r w:rsidRPr="0064650F">
        <w:rPr>
          <w:rFonts w:eastAsia="SimSun"/>
          <w:lang w:eastAsia="en-GB"/>
        </w:rPr>
        <w:lastRenderedPageBreak/>
        <w:t>9</w:t>
      </w:r>
      <w:r w:rsidR="003E7C8C" w:rsidRPr="0064650F">
        <w:rPr>
          <w:rFonts w:eastAsia="SimSun"/>
          <w:lang w:eastAsia="en-GB"/>
        </w:rPr>
        <w:t>4</w:t>
      </w:r>
      <w:r w:rsidRPr="0064650F">
        <w:rPr>
          <w:rFonts w:eastAsia="SimSun"/>
          <w:lang w:eastAsia="en-GB"/>
        </w:rPr>
        <w:t>.</w:t>
      </w:r>
      <w:r w:rsidRPr="0064650F">
        <w:rPr>
          <w:rFonts w:eastAsia="SimSun"/>
          <w:lang w:eastAsia="en-GB"/>
        </w:rPr>
        <w:tab/>
        <w:t>Clearinghouse mechanisms have sometimes proved useful in supporting the sharing of good practice and success stories. For example, the Aarhus Clearinghouse</w:t>
      </w:r>
      <w:r w:rsidR="007C121B" w:rsidRPr="0064650F">
        <w:rPr>
          <w:rStyle w:val="FootnoteReference"/>
          <w:rFonts w:eastAsia="SimSun"/>
          <w:lang w:eastAsia="en-GB"/>
        </w:rPr>
        <w:footnoteReference w:id="21"/>
      </w:r>
      <w:r w:rsidRPr="0064650F">
        <w:rPr>
          <w:rFonts w:eastAsia="SimSun"/>
          <w:lang w:eastAsia="en-GB"/>
        </w:rPr>
        <w:t xml:space="preserve"> showcases information on laws and practices relevant to ensuring </w:t>
      </w:r>
      <w:r w:rsidR="00CC7D1A">
        <w:rPr>
          <w:rFonts w:eastAsia="SimSun"/>
          <w:lang w:eastAsia="en-GB"/>
        </w:rPr>
        <w:t xml:space="preserve">the </w:t>
      </w:r>
      <w:r w:rsidRPr="0064650F">
        <w:rPr>
          <w:rFonts w:eastAsia="SimSun"/>
          <w:lang w:eastAsia="en-GB"/>
        </w:rPr>
        <w:t>meaningful engagement of civil society in environmental decision-making at all levels</w:t>
      </w:r>
      <w:r w:rsidR="00CC7D1A">
        <w:rPr>
          <w:rFonts w:eastAsia="SimSun"/>
          <w:lang w:eastAsia="en-GB"/>
        </w:rPr>
        <w:t>,</w:t>
      </w:r>
      <w:r w:rsidRPr="0064650F">
        <w:rPr>
          <w:rFonts w:eastAsia="SimSun"/>
          <w:lang w:eastAsia="en-GB"/>
        </w:rPr>
        <w:t xml:space="preserve"> and thus implementing Principle 10 of the Rio Declaration</w:t>
      </w:r>
      <w:r w:rsidR="00CC7D1A">
        <w:rPr>
          <w:rFonts w:eastAsia="SimSun"/>
          <w:lang w:eastAsia="en-GB"/>
        </w:rPr>
        <w:t xml:space="preserve"> on Environment and Development</w:t>
      </w:r>
      <w:r w:rsidRPr="0064650F">
        <w:rPr>
          <w:rFonts w:eastAsia="SimSun"/>
          <w:lang w:eastAsia="en-GB"/>
        </w:rPr>
        <w:t xml:space="preserve">. </w:t>
      </w:r>
      <w:r w:rsidR="00CC7D1A">
        <w:rPr>
          <w:rFonts w:eastAsia="SimSun"/>
          <w:lang w:eastAsia="en-GB"/>
        </w:rPr>
        <w:t>T</w:t>
      </w:r>
      <w:r w:rsidRPr="0064650F">
        <w:rPr>
          <w:rFonts w:eastAsia="SimSun"/>
          <w:lang w:eastAsia="en-GB"/>
        </w:rPr>
        <w:t xml:space="preserve">he </w:t>
      </w:r>
      <w:r w:rsidR="007B1B92">
        <w:rPr>
          <w:rFonts w:eastAsia="SimSun"/>
          <w:lang w:eastAsia="en-GB"/>
        </w:rPr>
        <w:t>Global SCP C</w:t>
      </w:r>
      <w:r w:rsidRPr="0064650F">
        <w:rPr>
          <w:rFonts w:eastAsia="SimSun"/>
          <w:lang w:eastAsia="en-GB"/>
        </w:rPr>
        <w:t>learinghouse</w:t>
      </w:r>
      <w:r w:rsidR="007B1B92">
        <w:rPr>
          <w:rFonts w:eastAsia="SimSun"/>
          <w:lang w:eastAsia="en-GB"/>
        </w:rPr>
        <w:t xml:space="preserve"> under </w:t>
      </w:r>
      <w:r w:rsidRPr="0064650F">
        <w:rPr>
          <w:rFonts w:eastAsia="SimSun"/>
          <w:lang w:eastAsia="en-GB"/>
        </w:rPr>
        <w:t xml:space="preserve">the </w:t>
      </w:r>
      <w:r w:rsidR="007B1B92">
        <w:rPr>
          <w:rFonts w:eastAsia="SimSun"/>
          <w:lang w:eastAsia="en-GB"/>
        </w:rPr>
        <w:t xml:space="preserve">UNEP </w:t>
      </w:r>
      <w:r w:rsidRPr="0064650F">
        <w:rPr>
          <w:rFonts w:eastAsia="SimSun"/>
          <w:lang w:eastAsia="en-GB"/>
        </w:rPr>
        <w:t>10</w:t>
      </w:r>
      <w:r w:rsidR="00CC7D1A">
        <w:rPr>
          <w:rFonts w:eastAsia="SimSun"/>
          <w:lang w:eastAsia="en-GB"/>
        </w:rPr>
        <w:noBreakHyphen/>
      </w:r>
      <w:r w:rsidR="007B1B92">
        <w:rPr>
          <w:rFonts w:eastAsia="SimSun"/>
          <w:lang w:eastAsia="en-GB"/>
        </w:rPr>
        <w:t>y</w:t>
      </w:r>
      <w:r w:rsidRPr="0064650F">
        <w:rPr>
          <w:rFonts w:eastAsia="SimSun"/>
          <w:lang w:eastAsia="en-GB"/>
        </w:rPr>
        <w:t xml:space="preserve">ear </w:t>
      </w:r>
      <w:r w:rsidR="007B1B92">
        <w:rPr>
          <w:rFonts w:eastAsia="SimSun"/>
          <w:lang w:eastAsia="en-GB"/>
        </w:rPr>
        <w:t>f</w:t>
      </w:r>
      <w:r w:rsidRPr="0064650F">
        <w:rPr>
          <w:rFonts w:eastAsia="SimSun"/>
          <w:lang w:eastAsia="en-GB"/>
        </w:rPr>
        <w:t xml:space="preserve">ramework </w:t>
      </w:r>
      <w:r w:rsidR="007B1B92">
        <w:rPr>
          <w:rFonts w:eastAsia="SimSun"/>
          <w:lang w:eastAsia="en-GB"/>
        </w:rPr>
        <w:t>of p</w:t>
      </w:r>
      <w:r w:rsidRPr="0064650F">
        <w:rPr>
          <w:rFonts w:eastAsia="SimSun"/>
          <w:lang w:eastAsia="en-GB"/>
        </w:rPr>
        <w:t>rogramme</w:t>
      </w:r>
      <w:r w:rsidR="007B1B92">
        <w:rPr>
          <w:rFonts w:eastAsia="SimSun"/>
          <w:lang w:eastAsia="en-GB"/>
        </w:rPr>
        <w:t>s</w:t>
      </w:r>
      <w:r w:rsidRPr="0064650F">
        <w:rPr>
          <w:rFonts w:eastAsia="SimSun"/>
          <w:lang w:eastAsia="en-GB"/>
        </w:rPr>
        <w:t xml:space="preserve"> on </w:t>
      </w:r>
      <w:r w:rsidR="007B1B92">
        <w:rPr>
          <w:rFonts w:eastAsia="SimSun"/>
          <w:lang w:eastAsia="en-GB"/>
        </w:rPr>
        <w:t xml:space="preserve">SCP will </w:t>
      </w:r>
      <w:r w:rsidR="00CC7D1A">
        <w:rPr>
          <w:rFonts w:eastAsia="SimSun"/>
          <w:lang w:eastAsia="en-GB"/>
        </w:rPr>
        <w:t>also h</w:t>
      </w:r>
      <w:r w:rsidR="007B1B92">
        <w:rPr>
          <w:rFonts w:eastAsia="SimSun"/>
          <w:lang w:eastAsia="en-GB"/>
        </w:rPr>
        <w:t>ost</w:t>
      </w:r>
      <w:r w:rsidR="00CC7D1A">
        <w:rPr>
          <w:rFonts w:eastAsia="SimSun"/>
          <w:lang w:eastAsia="en-GB"/>
        </w:rPr>
        <w:t xml:space="preserve"> </w:t>
      </w:r>
      <w:r w:rsidRPr="0064650F">
        <w:rPr>
          <w:rFonts w:eastAsia="SimSun"/>
          <w:lang w:eastAsia="en-GB"/>
        </w:rPr>
        <w:t>a wealth of innovative good practices</w:t>
      </w:r>
      <w:r w:rsidR="007C121B" w:rsidRPr="0064650F">
        <w:rPr>
          <w:rFonts w:eastAsia="SimSun"/>
          <w:lang w:eastAsia="en-GB"/>
        </w:rPr>
        <w:t>.</w:t>
      </w:r>
      <w:r w:rsidR="006731C3" w:rsidRPr="0064650F">
        <w:rPr>
          <w:rStyle w:val="FootnoteReference"/>
          <w:rFonts w:eastAsia="SimSun"/>
          <w:lang w:eastAsia="en-GB"/>
        </w:rPr>
        <w:footnoteReference w:id="22"/>
      </w:r>
    </w:p>
    <w:p w:rsidR="005F6C8E" w:rsidRPr="0064650F" w:rsidRDefault="005F6C8E" w:rsidP="005F6C8E">
      <w:pPr>
        <w:spacing w:after="120"/>
        <w:ind w:left="1134" w:right="1134"/>
        <w:jc w:val="both"/>
        <w:rPr>
          <w:rFonts w:eastAsia="SimSun"/>
          <w:lang w:eastAsia="en-GB"/>
        </w:rPr>
      </w:pPr>
      <w:r w:rsidRPr="0064650F">
        <w:rPr>
          <w:rFonts w:eastAsia="SimSun"/>
          <w:lang w:eastAsia="en-GB"/>
        </w:rPr>
        <w:t>9</w:t>
      </w:r>
      <w:r w:rsidR="003E7C8C" w:rsidRPr="0064650F">
        <w:rPr>
          <w:rFonts w:eastAsia="SimSun"/>
          <w:lang w:eastAsia="en-GB"/>
        </w:rPr>
        <w:t>5</w:t>
      </w:r>
      <w:r w:rsidRPr="0064650F">
        <w:rPr>
          <w:rFonts w:eastAsia="SimSun"/>
          <w:lang w:eastAsia="en-GB"/>
        </w:rPr>
        <w:t>.</w:t>
      </w:r>
      <w:r w:rsidRPr="0064650F">
        <w:rPr>
          <w:rFonts w:eastAsia="SimSun"/>
          <w:lang w:eastAsia="en-GB"/>
        </w:rPr>
        <w:tab/>
        <w:t xml:space="preserve">A menu of green economy actions developed by ECE and UNEP in cooperation with OECD, EEA and other partners, as part of </w:t>
      </w:r>
      <w:r w:rsidR="008C77C6">
        <w:rPr>
          <w:rFonts w:eastAsia="SimSun"/>
          <w:lang w:eastAsia="en-GB"/>
        </w:rPr>
        <w:t>the s</w:t>
      </w:r>
      <w:r w:rsidRPr="0064650F">
        <w:rPr>
          <w:rFonts w:eastAsia="SimSun"/>
          <w:lang w:eastAsia="en-GB"/>
        </w:rPr>
        <w:t xml:space="preserve">trategic </w:t>
      </w:r>
      <w:r w:rsidR="008C77C6">
        <w:rPr>
          <w:rFonts w:eastAsia="SimSun"/>
          <w:lang w:eastAsia="en-GB"/>
        </w:rPr>
        <w:t>f</w:t>
      </w:r>
      <w:r w:rsidRPr="0064650F">
        <w:rPr>
          <w:rFonts w:eastAsia="SimSun"/>
          <w:lang w:eastAsia="en-GB"/>
        </w:rPr>
        <w:t xml:space="preserve">ramework for </w:t>
      </w:r>
      <w:r w:rsidR="008C77C6">
        <w:rPr>
          <w:rFonts w:eastAsia="SimSun"/>
          <w:lang w:eastAsia="en-GB"/>
        </w:rPr>
        <w:t>g</w:t>
      </w:r>
      <w:r w:rsidRPr="0064650F">
        <w:rPr>
          <w:rFonts w:eastAsia="SimSun"/>
          <w:lang w:eastAsia="en-GB"/>
        </w:rPr>
        <w:t xml:space="preserve">reening the </w:t>
      </w:r>
      <w:r w:rsidR="008C77C6">
        <w:rPr>
          <w:rFonts w:eastAsia="SimSun"/>
          <w:lang w:eastAsia="en-GB"/>
        </w:rPr>
        <w:t>e</w:t>
      </w:r>
      <w:r w:rsidRPr="0064650F">
        <w:rPr>
          <w:rFonts w:eastAsia="SimSun"/>
          <w:lang w:eastAsia="en-GB"/>
        </w:rPr>
        <w:t>conomy in the pan-European region</w:t>
      </w:r>
      <w:r w:rsidR="008C77C6">
        <w:rPr>
          <w:rFonts w:eastAsia="SimSun"/>
          <w:lang w:eastAsia="en-GB"/>
        </w:rPr>
        <w:t xml:space="preserve"> (</w:t>
      </w:r>
      <w:r w:rsidR="008C77C6" w:rsidRPr="00CC4DE6">
        <w:rPr>
          <w:rFonts w:eastAsia="SimSun"/>
          <w:lang w:eastAsia="en-GB"/>
        </w:rPr>
        <w:t>ECE/CEP/2015/L.4</w:t>
      </w:r>
      <w:r w:rsidR="008C77C6">
        <w:rPr>
          <w:rFonts w:eastAsia="SimSun"/>
          <w:lang w:eastAsia="en-GB"/>
        </w:rPr>
        <w:t>)</w:t>
      </w:r>
      <w:r w:rsidRPr="0064650F">
        <w:rPr>
          <w:rFonts w:eastAsia="SimSun"/>
          <w:lang w:eastAsia="en-GB"/>
        </w:rPr>
        <w:t xml:space="preserve">, </w:t>
      </w:r>
      <w:r w:rsidR="007B1B92">
        <w:rPr>
          <w:rFonts w:eastAsia="SimSun"/>
          <w:lang w:eastAsia="en-GB"/>
        </w:rPr>
        <w:t xml:space="preserve">could </w:t>
      </w:r>
      <w:r w:rsidRPr="0064650F">
        <w:rPr>
          <w:rFonts w:eastAsia="SimSun"/>
          <w:lang w:eastAsia="en-GB"/>
        </w:rPr>
        <w:t xml:space="preserve">serve as a </w:t>
      </w:r>
      <w:r w:rsidR="007B1B92">
        <w:rPr>
          <w:rFonts w:eastAsia="SimSun"/>
          <w:lang w:eastAsia="en-GB"/>
        </w:rPr>
        <w:t>g</w:t>
      </w:r>
      <w:r w:rsidRPr="0064650F">
        <w:rPr>
          <w:rFonts w:eastAsia="SimSun"/>
          <w:lang w:eastAsia="en-GB"/>
        </w:rPr>
        <w:t xml:space="preserve">reen </w:t>
      </w:r>
      <w:r w:rsidR="007B1B92">
        <w:rPr>
          <w:rFonts w:eastAsia="SimSun"/>
          <w:lang w:eastAsia="en-GB"/>
        </w:rPr>
        <w:t>e</w:t>
      </w:r>
      <w:r w:rsidRPr="0064650F">
        <w:rPr>
          <w:rFonts w:eastAsia="SimSun"/>
          <w:lang w:eastAsia="en-GB"/>
        </w:rPr>
        <w:t xml:space="preserve">conomy </w:t>
      </w:r>
      <w:r w:rsidR="007B1B92">
        <w:rPr>
          <w:rFonts w:eastAsia="SimSun"/>
          <w:lang w:eastAsia="en-GB"/>
        </w:rPr>
        <w:t>c</w:t>
      </w:r>
      <w:r w:rsidRPr="0064650F">
        <w:rPr>
          <w:rFonts w:eastAsia="SimSun"/>
          <w:lang w:eastAsia="en-GB"/>
        </w:rPr>
        <w:t xml:space="preserve">learinghouse, integrated into the GGKP platform. Cooperation with the Partnership for Action on a Green Economy (PAGE) </w:t>
      </w:r>
      <w:r w:rsidR="007B1B92">
        <w:rPr>
          <w:rFonts w:eastAsia="SimSun"/>
          <w:lang w:eastAsia="en-GB"/>
        </w:rPr>
        <w:t>—</w:t>
      </w:r>
      <w:r w:rsidRPr="0064650F">
        <w:rPr>
          <w:rFonts w:eastAsia="SimSun"/>
          <w:lang w:eastAsia="en-GB"/>
        </w:rPr>
        <w:t xml:space="preserve"> </w:t>
      </w:r>
      <w:r w:rsidR="007B1B92">
        <w:rPr>
          <w:rFonts w:eastAsia="SimSun"/>
          <w:lang w:eastAsia="en-GB"/>
        </w:rPr>
        <w:t xml:space="preserve">hosted by UNEP, and </w:t>
      </w:r>
      <w:r w:rsidRPr="0064650F">
        <w:rPr>
          <w:rFonts w:eastAsia="SimSun"/>
          <w:lang w:eastAsia="en-GB"/>
        </w:rPr>
        <w:t xml:space="preserve">bringing together ILO, UNDP </w:t>
      </w:r>
      <w:r w:rsidR="007B1B92">
        <w:rPr>
          <w:rFonts w:eastAsia="SimSun"/>
          <w:lang w:eastAsia="en-GB"/>
        </w:rPr>
        <w:t xml:space="preserve">UNEP, </w:t>
      </w:r>
      <w:r w:rsidR="008C77C6">
        <w:rPr>
          <w:rFonts w:eastAsia="SimSun"/>
          <w:lang w:eastAsia="en-GB"/>
        </w:rPr>
        <w:t>the United Nations Industrial Development Organization (</w:t>
      </w:r>
      <w:r w:rsidR="007B1B92">
        <w:rPr>
          <w:rFonts w:eastAsia="SimSun"/>
          <w:lang w:eastAsia="en-GB"/>
        </w:rPr>
        <w:t>UNIDO</w:t>
      </w:r>
      <w:r w:rsidR="008C77C6">
        <w:rPr>
          <w:rFonts w:eastAsia="SimSun"/>
          <w:lang w:eastAsia="en-GB"/>
        </w:rPr>
        <w:t>)</w:t>
      </w:r>
      <w:r w:rsidR="007B1B92">
        <w:rPr>
          <w:rFonts w:eastAsia="SimSun"/>
          <w:lang w:eastAsia="en-GB"/>
        </w:rPr>
        <w:t xml:space="preserve"> </w:t>
      </w:r>
      <w:r w:rsidRPr="0064650F">
        <w:rPr>
          <w:rFonts w:eastAsia="SimSun"/>
          <w:lang w:eastAsia="en-GB"/>
        </w:rPr>
        <w:t xml:space="preserve">and </w:t>
      </w:r>
      <w:r w:rsidR="008C77C6">
        <w:rPr>
          <w:rFonts w:eastAsia="SimSun"/>
          <w:lang w:eastAsia="en-GB"/>
        </w:rPr>
        <w:t>the United Nations Institute for Training and Research (</w:t>
      </w:r>
      <w:r w:rsidRPr="0064650F">
        <w:rPr>
          <w:rFonts w:eastAsia="SimSun"/>
          <w:lang w:eastAsia="en-GB"/>
        </w:rPr>
        <w:t>UNITAR</w:t>
      </w:r>
      <w:r w:rsidR="008C77C6">
        <w:rPr>
          <w:rFonts w:eastAsia="SimSun"/>
          <w:lang w:eastAsia="en-GB"/>
        </w:rPr>
        <w:t>)</w:t>
      </w:r>
      <w:r w:rsidRPr="0064650F">
        <w:rPr>
          <w:rFonts w:eastAsia="SimSun"/>
          <w:lang w:eastAsia="en-GB"/>
        </w:rPr>
        <w:t xml:space="preserve"> </w:t>
      </w:r>
      <w:r w:rsidR="007B1B92">
        <w:rPr>
          <w:rFonts w:eastAsia="SimSun"/>
          <w:lang w:eastAsia="en-GB"/>
        </w:rPr>
        <w:t>—</w:t>
      </w:r>
      <w:r w:rsidR="008C77C6">
        <w:rPr>
          <w:rFonts w:eastAsia="SimSun"/>
          <w:lang w:eastAsia="en-GB"/>
        </w:rPr>
        <w:t xml:space="preserve"> </w:t>
      </w:r>
      <w:r w:rsidRPr="0064650F">
        <w:rPr>
          <w:rFonts w:eastAsia="SimSun"/>
          <w:lang w:eastAsia="en-GB"/>
        </w:rPr>
        <w:t>would further strengthen the actions.</w:t>
      </w:r>
      <w:r w:rsidR="007C121B" w:rsidRPr="0064650F">
        <w:rPr>
          <w:rStyle w:val="FootnoteReference"/>
          <w:rFonts w:eastAsia="SimSun"/>
          <w:lang w:eastAsia="en-GB"/>
        </w:rPr>
        <w:footnoteReference w:id="23"/>
      </w:r>
    </w:p>
    <w:p w:rsidR="005F6C8E" w:rsidRPr="0064650F" w:rsidRDefault="005F6C8E" w:rsidP="005F6C8E">
      <w:pPr>
        <w:spacing w:after="120"/>
        <w:ind w:left="1134" w:right="1134"/>
        <w:jc w:val="both"/>
        <w:rPr>
          <w:rFonts w:eastAsia="SimSun"/>
          <w:lang w:eastAsia="en-GB"/>
        </w:rPr>
      </w:pPr>
      <w:r w:rsidRPr="0064650F">
        <w:rPr>
          <w:rFonts w:eastAsia="SimSun"/>
          <w:lang w:eastAsia="en-GB"/>
        </w:rPr>
        <w:t>9</w:t>
      </w:r>
      <w:r w:rsidR="003E7C8C" w:rsidRPr="0064650F">
        <w:rPr>
          <w:rFonts w:eastAsia="SimSun"/>
          <w:lang w:eastAsia="en-GB"/>
        </w:rPr>
        <w:t>6</w:t>
      </w:r>
      <w:r w:rsidRPr="0064650F">
        <w:rPr>
          <w:rFonts w:eastAsia="SimSun"/>
          <w:lang w:eastAsia="en-GB"/>
        </w:rPr>
        <w:t>.</w:t>
      </w:r>
      <w:r w:rsidRPr="0064650F">
        <w:rPr>
          <w:rFonts w:eastAsia="SimSun"/>
          <w:lang w:eastAsia="en-GB"/>
        </w:rPr>
        <w:tab/>
        <w:t xml:space="preserve">The </w:t>
      </w:r>
      <w:r w:rsidR="008C77C6">
        <w:rPr>
          <w:rFonts w:eastAsia="SimSun"/>
          <w:lang w:eastAsia="en-GB"/>
        </w:rPr>
        <w:t>s</w:t>
      </w:r>
      <w:r w:rsidRPr="0064650F">
        <w:rPr>
          <w:rFonts w:eastAsia="SimSun"/>
          <w:lang w:eastAsia="en-GB"/>
        </w:rPr>
        <w:t xml:space="preserve">trategic </w:t>
      </w:r>
      <w:r w:rsidR="008C77C6">
        <w:rPr>
          <w:rFonts w:eastAsia="SimSun"/>
          <w:lang w:eastAsia="en-GB"/>
        </w:rPr>
        <w:t>f</w:t>
      </w:r>
      <w:r w:rsidRPr="0064650F">
        <w:rPr>
          <w:rFonts w:eastAsia="SimSun"/>
          <w:lang w:eastAsia="en-GB"/>
        </w:rPr>
        <w:t>ramework link</w:t>
      </w:r>
      <w:r w:rsidR="008C77C6">
        <w:rPr>
          <w:rFonts w:eastAsia="SimSun"/>
          <w:lang w:eastAsia="en-GB"/>
        </w:rPr>
        <w:t>s</w:t>
      </w:r>
      <w:r w:rsidRPr="0064650F">
        <w:rPr>
          <w:rFonts w:eastAsia="SimSun"/>
          <w:lang w:eastAsia="en-GB"/>
        </w:rPr>
        <w:t xml:space="preserve"> possible actions to green economy priorities and focus areas, which are further associated with the relevant SDGs. The use of the action menu </w:t>
      </w:r>
      <w:r w:rsidR="00047B29">
        <w:rPr>
          <w:rFonts w:eastAsia="SimSun"/>
          <w:lang w:eastAsia="en-GB"/>
        </w:rPr>
        <w:t xml:space="preserve">linked to </w:t>
      </w:r>
      <w:r w:rsidRPr="0064650F">
        <w:rPr>
          <w:rFonts w:eastAsia="SimSun"/>
          <w:lang w:eastAsia="en-GB"/>
        </w:rPr>
        <w:t xml:space="preserve">the </w:t>
      </w:r>
      <w:r w:rsidR="008C77C6">
        <w:rPr>
          <w:rFonts w:eastAsia="SimSun"/>
          <w:lang w:eastAsia="en-GB"/>
        </w:rPr>
        <w:t>s</w:t>
      </w:r>
      <w:r w:rsidRPr="0064650F">
        <w:rPr>
          <w:rFonts w:eastAsia="SimSun"/>
          <w:lang w:eastAsia="en-GB"/>
        </w:rPr>
        <w:t xml:space="preserve">trategic </w:t>
      </w:r>
      <w:r w:rsidR="008C77C6">
        <w:rPr>
          <w:rFonts w:eastAsia="SimSun"/>
          <w:lang w:eastAsia="en-GB"/>
        </w:rPr>
        <w:t>f</w:t>
      </w:r>
      <w:r w:rsidRPr="0064650F">
        <w:rPr>
          <w:rFonts w:eastAsia="SimSun"/>
          <w:lang w:eastAsia="en-GB"/>
        </w:rPr>
        <w:t xml:space="preserve">ramework </w:t>
      </w:r>
      <w:r w:rsidR="008C77C6">
        <w:rPr>
          <w:rFonts w:eastAsia="SimSun"/>
          <w:lang w:eastAsia="en-GB"/>
        </w:rPr>
        <w:t xml:space="preserve">can </w:t>
      </w:r>
      <w:r w:rsidRPr="0064650F">
        <w:rPr>
          <w:rFonts w:eastAsia="SimSun"/>
          <w:lang w:eastAsia="en-GB"/>
        </w:rPr>
        <w:t xml:space="preserve">thus help the countries both to manage the transition to green economy and to progress towards the attainment of many SDGs. </w:t>
      </w:r>
    </w:p>
    <w:p w:rsidR="005F6C8E" w:rsidRPr="0064650F" w:rsidRDefault="005F6C8E" w:rsidP="005F6C8E">
      <w:pPr>
        <w:spacing w:after="120"/>
        <w:ind w:left="1134" w:right="1134"/>
        <w:jc w:val="both"/>
        <w:rPr>
          <w:rFonts w:eastAsia="SimSun"/>
          <w:lang w:eastAsia="en-GB"/>
        </w:rPr>
      </w:pPr>
      <w:r w:rsidRPr="0064650F">
        <w:rPr>
          <w:rFonts w:eastAsia="SimSun"/>
          <w:lang w:eastAsia="en-GB"/>
        </w:rPr>
        <w:t>9</w:t>
      </w:r>
      <w:r w:rsidR="003E7C8C" w:rsidRPr="0064650F">
        <w:rPr>
          <w:rFonts w:eastAsia="SimSun"/>
          <w:lang w:eastAsia="en-GB"/>
        </w:rPr>
        <w:t>7</w:t>
      </w:r>
      <w:r w:rsidRPr="0064650F">
        <w:rPr>
          <w:rFonts w:eastAsia="SimSun"/>
          <w:lang w:eastAsia="en-GB"/>
        </w:rPr>
        <w:t>.</w:t>
      </w:r>
      <w:r w:rsidRPr="0064650F">
        <w:rPr>
          <w:rFonts w:eastAsia="SimSun"/>
          <w:lang w:eastAsia="en-GB"/>
        </w:rPr>
        <w:tab/>
        <w:t>Cooperation between countries also leads to the development of open access policies for data and information. The development of SEIS –– linking open data and information produced and shared by countries –– would not be possible without the countries needing to work together for reciprocal benefits. In the context of green economy, such access contributes to improving the efficiency of green governance.</w:t>
      </w:r>
    </w:p>
    <w:p w:rsidR="005F6C8E" w:rsidRPr="0064650F" w:rsidRDefault="005F6C8E" w:rsidP="005F6C8E">
      <w:pPr>
        <w:spacing w:after="120"/>
        <w:ind w:left="1134" w:right="1134"/>
        <w:jc w:val="both"/>
        <w:rPr>
          <w:rFonts w:eastAsia="SimSun"/>
          <w:lang w:eastAsia="en-GB"/>
        </w:rPr>
      </w:pPr>
      <w:r w:rsidRPr="0064650F">
        <w:rPr>
          <w:rFonts w:eastAsia="SimSun"/>
          <w:lang w:eastAsia="en-GB"/>
        </w:rPr>
        <w:t>9</w:t>
      </w:r>
      <w:r w:rsidR="003E7C8C" w:rsidRPr="0064650F">
        <w:rPr>
          <w:rFonts w:eastAsia="SimSun"/>
          <w:lang w:eastAsia="en-GB"/>
        </w:rPr>
        <w:t>8</w:t>
      </w:r>
      <w:r w:rsidRPr="0064650F">
        <w:rPr>
          <w:rFonts w:eastAsia="SimSun"/>
          <w:lang w:eastAsia="en-GB"/>
        </w:rPr>
        <w:t>.</w:t>
      </w:r>
      <w:r w:rsidRPr="0064650F">
        <w:rPr>
          <w:rFonts w:eastAsia="SimSun"/>
          <w:lang w:eastAsia="en-GB"/>
        </w:rPr>
        <w:tab/>
        <w:t>International organizations support countries in their joint efforts for the green transition in the region through a wide range of regional cooperation activities. These include organizing meetings and workshops to strengthen leadership for green economy</w:t>
      </w:r>
      <w:r w:rsidR="008C77C6">
        <w:rPr>
          <w:rFonts w:eastAsia="SimSun"/>
          <w:lang w:eastAsia="en-GB"/>
        </w:rPr>
        <w:t>,</w:t>
      </w:r>
      <w:r w:rsidRPr="0064650F">
        <w:rPr>
          <w:rFonts w:eastAsia="SimSun"/>
          <w:lang w:eastAsia="en-GB"/>
        </w:rPr>
        <w:t xml:space="preserve"> as well as to enable peer</w:t>
      </w:r>
      <w:r w:rsidR="008C77C6">
        <w:rPr>
          <w:rFonts w:eastAsia="SimSun"/>
          <w:lang w:eastAsia="en-GB"/>
        </w:rPr>
        <w:t xml:space="preserve"> </w:t>
      </w:r>
      <w:r w:rsidRPr="0064650F">
        <w:rPr>
          <w:rFonts w:eastAsia="SimSun"/>
          <w:lang w:eastAsia="en-GB"/>
        </w:rPr>
        <w:t>learning or to develop and share green econo</w:t>
      </w:r>
      <w:r w:rsidR="006731C3" w:rsidRPr="0064650F">
        <w:rPr>
          <w:rFonts w:eastAsia="SimSun"/>
          <w:lang w:eastAsia="en-GB"/>
        </w:rPr>
        <w:t>my knowledge or establish SEIS.</w:t>
      </w:r>
    </w:p>
    <w:p w:rsidR="005F6C8E" w:rsidRPr="0064650F" w:rsidRDefault="003E7C8C" w:rsidP="005F6C8E">
      <w:pPr>
        <w:spacing w:after="120"/>
        <w:ind w:left="1134" w:right="1134"/>
        <w:jc w:val="both"/>
        <w:rPr>
          <w:rFonts w:eastAsia="SimSun"/>
          <w:lang w:eastAsia="en-GB"/>
        </w:rPr>
      </w:pPr>
      <w:r w:rsidRPr="0064650F">
        <w:rPr>
          <w:rFonts w:eastAsia="SimSun"/>
          <w:lang w:eastAsia="en-GB"/>
        </w:rPr>
        <w:t>99</w:t>
      </w:r>
      <w:r w:rsidR="005F6C8E" w:rsidRPr="0064650F">
        <w:rPr>
          <w:rFonts w:eastAsia="SimSun"/>
          <w:lang w:eastAsia="en-GB"/>
        </w:rPr>
        <w:t>.</w:t>
      </w:r>
      <w:r w:rsidR="005F6C8E" w:rsidRPr="0064650F">
        <w:rPr>
          <w:rFonts w:eastAsia="SimSun"/>
          <w:lang w:eastAsia="en-GB"/>
        </w:rPr>
        <w:tab/>
        <w:t>International organizations also facilitate pilot projects on green economy for the application of appropriate instruments, or for the development and implementation of various national green economy strategies, road maps or action plans. They support joint effort</w:t>
      </w:r>
      <w:r w:rsidR="0002187B">
        <w:rPr>
          <w:rFonts w:eastAsia="SimSun"/>
          <w:lang w:eastAsia="en-GB"/>
        </w:rPr>
        <w:t>s</w:t>
      </w:r>
      <w:r w:rsidR="005F6C8E" w:rsidRPr="0064650F">
        <w:rPr>
          <w:rFonts w:eastAsia="SimSun"/>
          <w:lang w:eastAsia="en-GB"/>
        </w:rPr>
        <w:t xml:space="preserve"> to introduce measurement approaches</w:t>
      </w:r>
      <w:r w:rsidR="008C77C6">
        <w:rPr>
          <w:rFonts w:eastAsia="SimSun"/>
          <w:lang w:eastAsia="en-GB"/>
        </w:rPr>
        <w:t>,</w:t>
      </w:r>
      <w:r w:rsidR="005F6C8E" w:rsidRPr="0064650F">
        <w:rPr>
          <w:rFonts w:eastAsia="SimSun"/>
          <w:lang w:eastAsia="en-GB"/>
        </w:rPr>
        <w:t xml:space="preserve"> including indicators for measuring th</w:t>
      </w:r>
      <w:r w:rsidR="00AA5640" w:rsidRPr="0064650F">
        <w:rPr>
          <w:rFonts w:eastAsia="SimSun"/>
          <w:lang w:eastAsia="en-GB"/>
        </w:rPr>
        <w:t>e green transition. For example</w:t>
      </w:r>
      <w:r w:rsidR="008C77C6">
        <w:rPr>
          <w:rFonts w:eastAsia="SimSun"/>
          <w:lang w:eastAsia="en-GB"/>
        </w:rPr>
        <w:t>,</w:t>
      </w:r>
      <w:r w:rsidR="005F6C8E" w:rsidRPr="0064650F">
        <w:rPr>
          <w:rFonts w:eastAsia="SimSun"/>
          <w:lang w:eastAsia="en-GB"/>
        </w:rPr>
        <w:t xml:space="preserve"> </w:t>
      </w:r>
      <w:r w:rsidR="008C77C6">
        <w:rPr>
          <w:rFonts w:eastAsia="SimSun"/>
          <w:lang w:eastAsia="en-GB"/>
        </w:rPr>
        <w:t xml:space="preserve">under the </w:t>
      </w:r>
      <w:r w:rsidR="008C77C6" w:rsidRPr="0064650F">
        <w:rPr>
          <w:rFonts w:eastAsia="SimSun"/>
          <w:lang w:eastAsia="en-GB"/>
        </w:rPr>
        <w:t>Greening Economies in the Eastern Neighbourhood (EaP GREEN) programme</w:t>
      </w:r>
      <w:r w:rsidR="0002187B">
        <w:rPr>
          <w:rFonts w:eastAsia="SimSun"/>
          <w:lang w:eastAsia="en-GB"/>
        </w:rPr>
        <w:t>,</w:t>
      </w:r>
      <w:r w:rsidR="008C77C6">
        <w:rPr>
          <w:rFonts w:eastAsia="SimSun"/>
          <w:lang w:eastAsia="en-GB"/>
        </w:rPr>
        <w:t xml:space="preserve"> the EU</w:t>
      </w:r>
      <w:r w:rsidR="00AA5640" w:rsidRPr="0064650F">
        <w:rPr>
          <w:rFonts w:eastAsia="SimSun"/>
          <w:lang w:eastAsia="en-GB"/>
        </w:rPr>
        <w:t xml:space="preserve">, ECE, </w:t>
      </w:r>
      <w:r w:rsidR="008C77C6">
        <w:rPr>
          <w:rFonts w:eastAsia="SimSun"/>
          <w:lang w:eastAsia="en-GB"/>
        </w:rPr>
        <w:t xml:space="preserve">OECD, </w:t>
      </w:r>
      <w:r w:rsidR="00AA5640" w:rsidRPr="0064650F">
        <w:rPr>
          <w:rFonts w:eastAsia="SimSun"/>
          <w:lang w:eastAsia="en-GB"/>
        </w:rPr>
        <w:t>UNEP</w:t>
      </w:r>
      <w:r w:rsidR="008C77C6">
        <w:rPr>
          <w:rFonts w:eastAsia="SimSun"/>
          <w:lang w:eastAsia="en-GB"/>
        </w:rPr>
        <w:t xml:space="preserve"> and</w:t>
      </w:r>
      <w:r w:rsidR="00AA5640" w:rsidRPr="0064650F">
        <w:rPr>
          <w:rFonts w:eastAsia="SimSun"/>
          <w:lang w:eastAsia="en-GB"/>
        </w:rPr>
        <w:t xml:space="preserve"> UNIDO </w:t>
      </w:r>
      <w:r w:rsidR="005F6C8E" w:rsidRPr="0064650F">
        <w:rPr>
          <w:rFonts w:eastAsia="SimSun"/>
          <w:lang w:eastAsia="en-GB"/>
        </w:rPr>
        <w:t>are supporting six Eastern European countries</w:t>
      </w:r>
      <w:r w:rsidR="00675CDE" w:rsidRPr="0064650F">
        <w:rPr>
          <w:rFonts w:eastAsia="SimSun"/>
          <w:lang w:eastAsia="en-GB"/>
        </w:rPr>
        <w:t>’</w:t>
      </w:r>
      <w:r w:rsidR="005F6C8E" w:rsidRPr="0064650F">
        <w:rPr>
          <w:rFonts w:eastAsia="SimSun"/>
          <w:lang w:eastAsia="en-GB"/>
        </w:rPr>
        <w:t xml:space="preserve"> transition to green economy </w:t>
      </w:r>
      <w:r w:rsidR="0002187B">
        <w:rPr>
          <w:rFonts w:eastAsia="SimSun"/>
          <w:lang w:eastAsia="en-GB"/>
        </w:rPr>
        <w:t xml:space="preserve">by </w:t>
      </w:r>
      <w:r w:rsidR="005F6C8E" w:rsidRPr="0064650F">
        <w:rPr>
          <w:rFonts w:eastAsia="SimSun"/>
          <w:lang w:eastAsia="en-GB"/>
        </w:rPr>
        <w:t xml:space="preserve">assisting their development of strategic plans and policies and </w:t>
      </w:r>
      <w:r w:rsidR="0002187B">
        <w:rPr>
          <w:rFonts w:eastAsia="SimSun"/>
          <w:lang w:eastAsia="en-GB"/>
        </w:rPr>
        <w:t xml:space="preserve">the </w:t>
      </w:r>
      <w:r w:rsidR="005F6C8E" w:rsidRPr="0064650F">
        <w:rPr>
          <w:rFonts w:eastAsia="SimSun"/>
          <w:lang w:eastAsia="en-GB"/>
        </w:rPr>
        <w:t xml:space="preserve">implementation of demonstration activities on </w:t>
      </w:r>
      <w:r w:rsidR="0002187B" w:rsidRPr="0064650F">
        <w:rPr>
          <w:rFonts w:eastAsia="SimSun"/>
          <w:lang w:eastAsia="en-GB"/>
        </w:rPr>
        <w:t>resource</w:t>
      </w:r>
      <w:r w:rsidR="0002187B">
        <w:rPr>
          <w:rFonts w:eastAsia="SimSun"/>
          <w:lang w:eastAsia="en-GB"/>
        </w:rPr>
        <w:t>-</w:t>
      </w:r>
      <w:r w:rsidR="0002187B" w:rsidRPr="0064650F">
        <w:rPr>
          <w:rFonts w:eastAsia="SimSun"/>
          <w:lang w:eastAsia="en-GB"/>
        </w:rPr>
        <w:t>efficient and cleaner production, organic agriculture and sustainable public procurement</w:t>
      </w:r>
      <w:r w:rsidR="0002187B">
        <w:rPr>
          <w:rFonts w:eastAsia="SimSun"/>
          <w:lang w:eastAsia="en-GB"/>
        </w:rPr>
        <w:t>.</w:t>
      </w:r>
      <w:r w:rsidR="00DA101F" w:rsidRPr="0064650F">
        <w:rPr>
          <w:rFonts w:eastAsia="SimSun"/>
          <w:lang w:eastAsia="en-GB"/>
        </w:rPr>
        <w:t xml:space="preserve"> </w:t>
      </w:r>
      <w:r w:rsidR="0002187B">
        <w:rPr>
          <w:rFonts w:eastAsia="SimSun"/>
          <w:lang w:eastAsia="en-GB"/>
        </w:rPr>
        <w:t xml:space="preserve">Other examples of such projects include support from </w:t>
      </w:r>
      <w:r w:rsidR="00DA101F" w:rsidRPr="0064650F">
        <w:rPr>
          <w:rFonts w:eastAsia="SimSun"/>
          <w:lang w:eastAsia="en-GB"/>
        </w:rPr>
        <w:t xml:space="preserve">UNDP </w:t>
      </w:r>
      <w:r w:rsidR="0002187B">
        <w:rPr>
          <w:rFonts w:eastAsia="SimSun"/>
          <w:lang w:eastAsia="en-GB"/>
        </w:rPr>
        <w:t xml:space="preserve">and </w:t>
      </w:r>
      <w:r w:rsidR="00DA101F" w:rsidRPr="0064650F">
        <w:rPr>
          <w:rFonts w:eastAsia="SimSun"/>
          <w:lang w:eastAsia="en-GB"/>
        </w:rPr>
        <w:t xml:space="preserve">OECD </w:t>
      </w:r>
      <w:r w:rsidR="0002187B">
        <w:rPr>
          <w:rFonts w:eastAsia="SimSun"/>
          <w:lang w:eastAsia="en-GB"/>
        </w:rPr>
        <w:t xml:space="preserve">to a </w:t>
      </w:r>
      <w:r w:rsidR="00DA101F" w:rsidRPr="0064650F">
        <w:rPr>
          <w:rFonts w:eastAsia="SimSun"/>
          <w:lang w:eastAsia="en-GB"/>
        </w:rPr>
        <w:t>pilot</w:t>
      </w:r>
      <w:r w:rsidR="0002187B">
        <w:rPr>
          <w:rFonts w:eastAsia="SimSun"/>
          <w:lang w:eastAsia="en-GB"/>
        </w:rPr>
        <w:t xml:space="preserve"> project on</w:t>
      </w:r>
      <w:r w:rsidR="00DA101F" w:rsidRPr="0064650F">
        <w:rPr>
          <w:rFonts w:eastAsia="SimSun"/>
          <w:lang w:eastAsia="en-GB"/>
        </w:rPr>
        <w:t xml:space="preserve"> the integration of </w:t>
      </w:r>
      <w:r w:rsidR="0002187B">
        <w:rPr>
          <w:rFonts w:eastAsia="SimSun"/>
          <w:lang w:eastAsia="en-GB"/>
        </w:rPr>
        <w:t>g</w:t>
      </w:r>
      <w:r w:rsidR="00DA101F" w:rsidRPr="0064650F">
        <w:rPr>
          <w:rFonts w:eastAsia="SimSun"/>
          <w:lang w:eastAsia="en-GB"/>
        </w:rPr>
        <w:t xml:space="preserve">reen </w:t>
      </w:r>
      <w:r w:rsidR="0002187B">
        <w:rPr>
          <w:rFonts w:eastAsia="SimSun"/>
          <w:lang w:eastAsia="en-GB"/>
        </w:rPr>
        <w:t>g</w:t>
      </w:r>
      <w:r w:rsidR="00DA101F" w:rsidRPr="0064650F">
        <w:rPr>
          <w:rFonts w:eastAsia="SimSun"/>
          <w:lang w:eastAsia="en-GB"/>
        </w:rPr>
        <w:t xml:space="preserve">rowth </w:t>
      </w:r>
      <w:r w:rsidR="0002187B">
        <w:rPr>
          <w:rFonts w:eastAsia="SimSun"/>
          <w:lang w:eastAsia="en-GB"/>
        </w:rPr>
        <w:t>i</w:t>
      </w:r>
      <w:r w:rsidR="00DA101F" w:rsidRPr="0064650F">
        <w:rPr>
          <w:rFonts w:eastAsia="SimSun"/>
          <w:lang w:eastAsia="en-GB"/>
        </w:rPr>
        <w:t>ndicators</w:t>
      </w:r>
      <w:r w:rsidR="00AA5640" w:rsidRPr="0064650F">
        <w:rPr>
          <w:rFonts w:eastAsia="SimSun"/>
          <w:lang w:eastAsia="en-GB"/>
        </w:rPr>
        <w:t xml:space="preserve"> in Kyrgyzstan; ILO, </w:t>
      </w:r>
      <w:r w:rsidR="0002187B">
        <w:rPr>
          <w:rFonts w:eastAsia="SimSun"/>
          <w:lang w:eastAsia="en-GB"/>
        </w:rPr>
        <w:t xml:space="preserve">UNDP, UNEP, </w:t>
      </w:r>
      <w:r w:rsidR="00AA5640" w:rsidRPr="0064650F">
        <w:rPr>
          <w:rFonts w:eastAsia="SimSun"/>
          <w:lang w:eastAsia="en-GB"/>
        </w:rPr>
        <w:t xml:space="preserve">UNIDO </w:t>
      </w:r>
      <w:r w:rsidR="0002187B">
        <w:rPr>
          <w:rFonts w:eastAsia="SimSun"/>
          <w:lang w:eastAsia="en-GB"/>
        </w:rPr>
        <w:t xml:space="preserve">and </w:t>
      </w:r>
      <w:r w:rsidR="00AA5640" w:rsidRPr="0064650F">
        <w:rPr>
          <w:rFonts w:eastAsia="SimSun"/>
          <w:lang w:eastAsia="en-GB"/>
        </w:rPr>
        <w:t xml:space="preserve">UNITAR work with countries under the PAGE project; </w:t>
      </w:r>
      <w:r w:rsidR="0002187B">
        <w:rPr>
          <w:rFonts w:eastAsia="SimSun"/>
          <w:lang w:eastAsia="en-GB"/>
        </w:rPr>
        <w:t xml:space="preserve">and </w:t>
      </w:r>
      <w:r w:rsidR="00AA5640" w:rsidRPr="0064650F">
        <w:rPr>
          <w:rFonts w:eastAsia="SimSun"/>
          <w:lang w:eastAsia="en-GB"/>
        </w:rPr>
        <w:t>the Rovaniemi Action Plan for the Forest Sector in a Green Economy</w:t>
      </w:r>
      <w:r w:rsidR="0002187B">
        <w:rPr>
          <w:rFonts w:eastAsia="SimSun"/>
          <w:lang w:eastAsia="en-GB"/>
        </w:rPr>
        <w:t xml:space="preserve"> developed by ECE</w:t>
      </w:r>
      <w:r w:rsidR="00733237" w:rsidRPr="0064650F">
        <w:rPr>
          <w:rFonts w:eastAsia="SimSun"/>
          <w:lang w:eastAsia="en-GB"/>
        </w:rPr>
        <w:t>.</w:t>
      </w:r>
    </w:p>
    <w:p w:rsidR="005F6C8E" w:rsidRPr="0064650F" w:rsidRDefault="005F6C8E" w:rsidP="005F6C8E">
      <w:pPr>
        <w:spacing w:after="120"/>
        <w:ind w:left="1134" w:right="1134"/>
        <w:jc w:val="both"/>
        <w:rPr>
          <w:rFonts w:eastAsia="SimSun"/>
          <w:lang w:eastAsia="en-GB"/>
        </w:rPr>
      </w:pPr>
      <w:r w:rsidRPr="0064650F">
        <w:rPr>
          <w:rFonts w:eastAsia="SimSun"/>
          <w:lang w:eastAsia="en-GB"/>
        </w:rPr>
        <w:lastRenderedPageBreak/>
        <w:t>10</w:t>
      </w:r>
      <w:r w:rsidR="003E7C8C" w:rsidRPr="0064650F">
        <w:rPr>
          <w:rFonts w:eastAsia="SimSun"/>
          <w:lang w:eastAsia="en-GB"/>
        </w:rPr>
        <w:t>0</w:t>
      </w:r>
      <w:r w:rsidRPr="0064650F">
        <w:rPr>
          <w:rFonts w:eastAsia="SimSun"/>
          <w:lang w:eastAsia="en-GB"/>
        </w:rPr>
        <w:t>.</w:t>
      </w:r>
      <w:r w:rsidRPr="0064650F">
        <w:rPr>
          <w:rFonts w:eastAsia="SimSun"/>
          <w:lang w:eastAsia="en-GB"/>
        </w:rPr>
        <w:tab/>
        <w:t>Cooperation between countries on green economy and the support of international organizations should continue and could be further strengthened for managing the transition effectively. Tools, instruments and other mechanisms made available by them should be actively used in this work to address gaps.</w:t>
      </w:r>
    </w:p>
    <w:p w:rsidR="005F6C8E" w:rsidRPr="0064650F" w:rsidRDefault="005F6C8E" w:rsidP="00DE35A7">
      <w:pPr>
        <w:pStyle w:val="HChG"/>
        <w:rPr>
          <w:rFonts w:eastAsia="SimSun"/>
          <w:lang w:eastAsia="en-GB"/>
        </w:rPr>
      </w:pPr>
      <w:r w:rsidRPr="0064650F">
        <w:rPr>
          <w:rFonts w:eastAsia="SimSun"/>
          <w:lang w:eastAsia="en-GB"/>
        </w:rPr>
        <w:tab/>
        <w:t>V.</w:t>
      </w:r>
      <w:r w:rsidRPr="0064650F">
        <w:rPr>
          <w:rFonts w:eastAsia="SimSun"/>
          <w:lang w:eastAsia="en-GB"/>
        </w:rPr>
        <w:tab/>
        <w:t xml:space="preserve">Conclusions and </w:t>
      </w:r>
      <w:r w:rsidR="0002187B">
        <w:rPr>
          <w:rFonts w:eastAsia="SimSun"/>
          <w:lang w:eastAsia="en-GB"/>
        </w:rPr>
        <w:t xml:space="preserve">the </w:t>
      </w:r>
      <w:r w:rsidRPr="0064650F">
        <w:rPr>
          <w:rFonts w:eastAsia="SimSun"/>
          <w:lang w:eastAsia="en-GB"/>
        </w:rPr>
        <w:t>way forward</w:t>
      </w:r>
    </w:p>
    <w:p w:rsidR="005F6C8E" w:rsidRPr="0064650F" w:rsidRDefault="005F6C8E" w:rsidP="00DE35A7">
      <w:pPr>
        <w:pStyle w:val="SingleTxtG"/>
        <w:rPr>
          <w:rFonts w:eastAsia="SimSun"/>
        </w:rPr>
      </w:pPr>
      <w:r w:rsidRPr="0064650F">
        <w:rPr>
          <w:rStyle w:val="SingleTxtGChar"/>
          <w:rFonts w:eastAsia="SimSun"/>
        </w:rPr>
        <w:t>10</w:t>
      </w:r>
      <w:r w:rsidR="003E7C8C" w:rsidRPr="0064650F">
        <w:rPr>
          <w:rStyle w:val="SingleTxtGChar"/>
          <w:rFonts w:eastAsia="SimSun"/>
        </w:rPr>
        <w:t>1</w:t>
      </w:r>
      <w:r w:rsidRPr="0064650F">
        <w:rPr>
          <w:rStyle w:val="SingleTxtGChar"/>
          <w:rFonts w:eastAsia="SimSun"/>
        </w:rPr>
        <w:t>.</w:t>
      </w:r>
      <w:r w:rsidRPr="0064650F">
        <w:rPr>
          <w:rStyle w:val="SingleTxtGChar"/>
          <w:rFonts w:eastAsia="SimSun"/>
        </w:rPr>
        <w:tab/>
        <w:t>Countries in the region are undertaking efforts to green their econom</w:t>
      </w:r>
      <w:r w:rsidR="00163141" w:rsidRPr="0064650F">
        <w:rPr>
          <w:rStyle w:val="SingleTxtGChar"/>
          <w:rFonts w:eastAsia="SimSun"/>
        </w:rPr>
        <w:t>ies</w:t>
      </w:r>
      <w:r w:rsidRPr="0064650F">
        <w:rPr>
          <w:rStyle w:val="SingleTxtGChar"/>
          <w:rFonts w:eastAsia="SimSun"/>
        </w:rPr>
        <w:t xml:space="preserve">. </w:t>
      </w:r>
      <w:r w:rsidR="0002187B">
        <w:rPr>
          <w:rStyle w:val="SingleTxtGChar"/>
          <w:rFonts w:eastAsia="SimSun"/>
        </w:rPr>
        <w:t xml:space="preserve">They also face </w:t>
      </w:r>
      <w:r w:rsidRPr="0064650F">
        <w:rPr>
          <w:rStyle w:val="SingleTxtGChar"/>
          <w:rFonts w:eastAsia="SimSun"/>
        </w:rPr>
        <w:t xml:space="preserve">various challenges </w:t>
      </w:r>
      <w:r w:rsidR="0002187B">
        <w:rPr>
          <w:rStyle w:val="SingleTxtGChar"/>
          <w:rFonts w:eastAsia="SimSun"/>
        </w:rPr>
        <w:t xml:space="preserve">in </w:t>
      </w:r>
      <w:r w:rsidRPr="0064650F">
        <w:rPr>
          <w:rStyle w:val="SingleTxtGChar"/>
          <w:rFonts w:eastAsia="SimSun"/>
        </w:rPr>
        <w:t xml:space="preserve">pursuing green economy policies. Those challenges may be related, but are not limited, to </w:t>
      </w:r>
      <w:r w:rsidR="001571C3">
        <w:rPr>
          <w:rStyle w:val="SingleTxtGChar"/>
          <w:rFonts w:eastAsia="SimSun"/>
        </w:rPr>
        <w:t xml:space="preserve">the </w:t>
      </w:r>
      <w:r w:rsidRPr="0064650F">
        <w:rPr>
          <w:rStyle w:val="SingleTxtGChar"/>
          <w:rFonts w:eastAsia="SimSun"/>
        </w:rPr>
        <w:t xml:space="preserve">adequate application of policy impact analysis, </w:t>
      </w:r>
      <w:r w:rsidR="001571C3">
        <w:rPr>
          <w:rStyle w:val="SingleTxtGChar"/>
          <w:rFonts w:eastAsia="SimSun"/>
        </w:rPr>
        <w:t xml:space="preserve">the </w:t>
      </w:r>
      <w:r w:rsidRPr="0064650F">
        <w:rPr>
          <w:rStyle w:val="SingleTxtGChar"/>
          <w:rFonts w:eastAsia="SimSun"/>
        </w:rPr>
        <w:t xml:space="preserve">absence of strategies and stable green development conditions, </w:t>
      </w:r>
      <w:r w:rsidR="001571C3">
        <w:rPr>
          <w:rStyle w:val="SingleTxtGChar"/>
          <w:rFonts w:eastAsia="SimSun"/>
        </w:rPr>
        <w:t xml:space="preserve">pressures created by the </w:t>
      </w:r>
      <w:r w:rsidRPr="0064650F">
        <w:rPr>
          <w:rStyle w:val="SingleTxtGChar"/>
          <w:rFonts w:eastAsia="SimSun"/>
        </w:rPr>
        <w:t>economic</w:t>
      </w:r>
      <w:r w:rsidRPr="0064650F">
        <w:rPr>
          <w:rFonts w:eastAsia="SimSun"/>
        </w:rPr>
        <w:t xml:space="preserve"> downturn and related </w:t>
      </w:r>
      <w:r w:rsidR="001571C3">
        <w:rPr>
          <w:rFonts w:eastAsia="SimSun"/>
        </w:rPr>
        <w:t xml:space="preserve">difficulties in </w:t>
      </w:r>
      <w:r w:rsidRPr="0064650F">
        <w:rPr>
          <w:rFonts w:eastAsia="SimSun"/>
        </w:rPr>
        <w:t>mobiliz</w:t>
      </w:r>
      <w:r w:rsidR="001571C3">
        <w:rPr>
          <w:rFonts w:eastAsia="SimSun"/>
        </w:rPr>
        <w:t>ing</w:t>
      </w:r>
      <w:r w:rsidRPr="0064650F">
        <w:rPr>
          <w:rFonts w:eastAsia="SimSun"/>
        </w:rPr>
        <w:t xml:space="preserve"> capital</w:t>
      </w:r>
      <w:r w:rsidR="008E3531" w:rsidRPr="0064650F">
        <w:rPr>
          <w:rFonts w:eastAsia="SimSun"/>
        </w:rPr>
        <w:t>,</w:t>
      </w:r>
      <w:r w:rsidRPr="0064650F">
        <w:rPr>
          <w:rFonts w:eastAsia="SimSun"/>
        </w:rPr>
        <w:t xml:space="preserve"> </w:t>
      </w:r>
      <w:r w:rsidR="001571C3">
        <w:rPr>
          <w:rFonts w:eastAsia="SimSun"/>
        </w:rPr>
        <w:t xml:space="preserve">a </w:t>
      </w:r>
      <w:r w:rsidRPr="0064650F">
        <w:rPr>
          <w:rFonts w:eastAsia="SimSun"/>
        </w:rPr>
        <w:t xml:space="preserve">lack of necessary green skills and knowledge </w:t>
      </w:r>
      <w:r w:rsidR="008E3531" w:rsidRPr="0064650F">
        <w:rPr>
          <w:rFonts w:eastAsia="SimSun"/>
        </w:rPr>
        <w:t xml:space="preserve">and </w:t>
      </w:r>
      <w:r w:rsidRPr="0064650F">
        <w:rPr>
          <w:rFonts w:eastAsia="SimSun"/>
        </w:rPr>
        <w:t>pressures from interest groups or lobbies. At the same time, there are good examples in the region of the successful implementation of green economy policy packages, in particular sectoral ones, which showcase how countries can green or start to green their economies. Nevertheless, the opportunities that the green economy</w:t>
      </w:r>
      <w:r w:rsidR="00DE35A7" w:rsidRPr="0064650F">
        <w:rPr>
          <w:rFonts w:eastAsia="SimSun"/>
        </w:rPr>
        <w:t xml:space="preserve"> brings can be further tapped.</w:t>
      </w:r>
    </w:p>
    <w:p w:rsidR="005F6C8E" w:rsidRPr="0064650F" w:rsidRDefault="005F6C8E" w:rsidP="00DE35A7">
      <w:pPr>
        <w:pStyle w:val="SingleTxtG"/>
        <w:rPr>
          <w:rFonts w:eastAsia="SimSun"/>
        </w:rPr>
      </w:pPr>
      <w:r w:rsidRPr="0064650F">
        <w:rPr>
          <w:rFonts w:eastAsia="SimSun"/>
        </w:rPr>
        <w:t>10</w:t>
      </w:r>
      <w:r w:rsidR="003E7C8C" w:rsidRPr="0064650F">
        <w:rPr>
          <w:rFonts w:eastAsia="SimSun"/>
        </w:rPr>
        <w:t>2</w:t>
      </w:r>
      <w:r w:rsidRPr="0064650F">
        <w:rPr>
          <w:rFonts w:eastAsia="SimSun"/>
        </w:rPr>
        <w:t>.</w:t>
      </w:r>
      <w:r w:rsidRPr="0064650F">
        <w:rPr>
          <w:rFonts w:eastAsia="SimSun"/>
        </w:rPr>
        <w:tab/>
        <w:t xml:space="preserve">Countries have developed a number of approaches, programmes and initiatives to foster the more efficient use of natural resources and lessen the burden on ecosystems and the natural asset base. Among them </w:t>
      </w:r>
      <w:proofErr w:type="gramStart"/>
      <w:r w:rsidRPr="0064650F">
        <w:rPr>
          <w:rFonts w:eastAsia="SimSun"/>
        </w:rPr>
        <w:t>are the circular economy</w:t>
      </w:r>
      <w:proofErr w:type="gramEnd"/>
      <w:r w:rsidRPr="0064650F">
        <w:rPr>
          <w:rFonts w:eastAsia="SimSun"/>
        </w:rPr>
        <w:t>, sustainable ecosystem or natural resource management frameworks</w:t>
      </w:r>
      <w:r w:rsidR="001571C3">
        <w:rPr>
          <w:rFonts w:eastAsia="SimSun"/>
        </w:rPr>
        <w:t>,</w:t>
      </w:r>
      <w:r w:rsidRPr="0064650F">
        <w:rPr>
          <w:rFonts w:eastAsia="SimSun"/>
        </w:rPr>
        <w:t xml:space="preserve"> environmentally sustainable sectoral approaches, nexus</w:t>
      </w:r>
      <w:r w:rsidR="001571C3">
        <w:rPr>
          <w:rFonts w:eastAsia="SimSun"/>
        </w:rPr>
        <w:t xml:space="preserve"> </w:t>
      </w:r>
      <w:r w:rsidRPr="0064650F">
        <w:rPr>
          <w:rFonts w:eastAsia="SimSun"/>
        </w:rPr>
        <w:t>approaches</w:t>
      </w:r>
      <w:r w:rsidR="001571C3">
        <w:rPr>
          <w:rFonts w:eastAsia="SimSun"/>
        </w:rPr>
        <w:t xml:space="preserve"> to resource management</w:t>
      </w:r>
      <w:r w:rsidRPr="0064650F">
        <w:rPr>
          <w:rFonts w:eastAsia="SimSun"/>
        </w:rPr>
        <w:t xml:space="preserve">, ESD, spatial planning, public spending </w:t>
      </w:r>
      <w:r w:rsidR="00E8592C" w:rsidRPr="0064650F">
        <w:rPr>
          <w:rFonts w:eastAsia="SimSun"/>
        </w:rPr>
        <w:t xml:space="preserve">on </w:t>
      </w:r>
      <w:r w:rsidRPr="0064650F">
        <w:rPr>
          <w:rFonts w:eastAsia="SimSun"/>
        </w:rPr>
        <w:t xml:space="preserve">science and research, access to good practice and monitoring frameworks. </w:t>
      </w:r>
      <w:r w:rsidR="001571C3">
        <w:rPr>
          <w:rFonts w:eastAsia="SimSun"/>
        </w:rPr>
        <w:t>S</w:t>
      </w:r>
      <w:r w:rsidRPr="0064650F">
        <w:rPr>
          <w:rFonts w:eastAsia="SimSun"/>
        </w:rPr>
        <w:t xml:space="preserve">uccess in pursuing </w:t>
      </w:r>
      <w:r w:rsidR="001571C3">
        <w:rPr>
          <w:rFonts w:eastAsia="SimSun"/>
        </w:rPr>
        <w:t xml:space="preserve">such </w:t>
      </w:r>
      <w:r w:rsidRPr="0064650F">
        <w:rPr>
          <w:rFonts w:eastAsia="SimSun"/>
        </w:rPr>
        <w:t xml:space="preserve">programmes and initiatives </w:t>
      </w:r>
      <w:r w:rsidR="001571C3">
        <w:rPr>
          <w:rFonts w:eastAsia="SimSun"/>
        </w:rPr>
        <w:t xml:space="preserve">often </w:t>
      </w:r>
      <w:r w:rsidRPr="0064650F">
        <w:rPr>
          <w:rFonts w:eastAsia="SimSun"/>
        </w:rPr>
        <w:t>depends on the introduction and enforcement of clear rules and regulations, the application of price signals discouraging environment</w:t>
      </w:r>
      <w:r w:rsidR="001571C3">
        <w:rPr>
          <w:rFonts w:eastAsia="SimSun"/>
        </w:rPr>
        <w:t>al</w:t>
      </w:r>
      <w:r w:rsidRPr="0064650F">
        <w:rPr>
          <w:rFonts w:eastAsia="SimSun"/>
        </w:rPr>
        <w:t xml:space="preserve"> pollution and resource depletion, transparency, effective engagement of civil society and the private sector, and close </w:t>
      </w:r>
      <w:r w:rsidR="006731C3" w:rsidRPr="0064650F">
        <w:rPr>
          <w:rFonts w:eastAsia="SimSun"/>
        </w:rPr>
        <w:t>cooperation between countries.</w:t>
      </w:r>
    </w:p>
    <w:p w:rsidR="005F6C8E" w:rsidRPr="0064650F" w:rsidRDefault="005F6C8E" w:rsidP="00DE35A7">
      <w:pPr>
        <w:pStyle w:val="SingleTxtG"/>
        <w:rPr>
          <w:rFonts w:eastAsia="SimSun"/>
          <w:lang w:eastAsia="en-GB"/>
        </w:rPr>
      </w:pPr>
      <w:r w:rsidRPr="0064650F">
        <w:rPr>
          <w:rFonts w:eastAsia="SimSun"/>
          <w:lang w:eastAsia="en-GB"/>
        </w:rPr>
        <w:t>10</w:t>
      </w:r>
      <w:r w:rsidR="003E7C8C" w:rsidRPr="0064650F">
        <w:rPr>
          <w:rFonts w:eastAsia="SimSun"/>
          <w:lang w:eastAsia="en-GB"/>
        </w:rPr>
        <w:t>3</w:t>
      </w:r>
      <w:r w:rsidRPr="0064650F">
        <w:rPr>
          <w:rFonts w:eastAsia="SimSun"/>
          <w:lang w:eastAsia="en-GB"/>
        </w:rPr>
        <w:t>.</w:t>
      </w:r>
      <w:r w:rsidRPr="0064650F">
        <w:rPr>
          <w:rFonts w:eastAsia="SimSun"/>
          <w:lang w:eastAsia="en-GB"/>
        </w:rPr>
        <w:tab/>
        <w:t>In the region, increased attention is being given to actions and instruments able to incentivi</w:t>
      </w:r>
      <w:r w:rsidR="001571C3">
        <w:rPr>
          <w:rFonts w:eastAsia="SimSun"/>
          <w:lang w:eastAsia="en-GB"/>
        </w:rPr>
        <w:t>z</w:t>
      </w:r>
      <w:r w:rsidRPr="0064650F">
        <w:rPr>
          <w:rFonts w:eastAsia="SimSun"/>
          <w:lang w:eastAsia="en-GB"/>
        </w:rPr>
        <w:t xml:space="preserve">e the private sector to innovate </w:t>
      </w:r>
      <w:r w:rsidR="001571C3">
        <w:rPr>
          <w:rFonts w:eastAsia="SimSun"/>
          <w:lang w:eastAsia="en-GB"/>
        </w:rPr>
        <w:t xml:space="preserve">for </w:t>
      </w:r>
      <w:r w:rsidRPr="0064650F">
        <w:rPr>
          <w:rFonts w:eastAsia="SimSun"/>
          <w:lang w:eastAsia="en-GB"/>
        </w:rPr>
        <w:t xml:space="preserve">and invest </w:t>
      </w:r>
      <w:r w:rsidR="001571C3">
        <w:rPr>
          <w:rFonts w:eastAsia="SimSun"/>
          <w:lang w:eastAsia="en-GB"/>
        </w:rPr>
        <w:t xml:space="preserve">in </w:t>
      </w:r>
      <w:r w:rsidRPr="0064650F">
        <w:rPr>
          <w:rFonts w:eastAsia="SimSun"/>
          <w:lang w:eastAsia="en-GB"/>
        </w:rPr>
        <w:t>greening production processes and to offer green products and services. Sustainable public procurement, market-based instruments and regulatory measures, but also information-based tools, like standards and labelling schemes, are among these. Policy and fiscal measures in support of innovative enterprises (</w:t>
      </w:r>
      <w:r w:rsidR="00E8592C" w:rsidRPr="0064650F">
        <w:rPr>
          <w:rFonts w:eastAsia="SimSun"/>
          <w:lang w:eastAsia="en-GB"/>
        </w:rPr>
        <w:t>s</w:t>
      </w:r>
      <w:r w:rsidRPr="0064650F">
        <w:rPr>
          <w:rFonts w:eastAsia="SimSun"/>
          <w:lang w:eastAsia="en-GB"/>
        </w:rPr>
        <w:t>ta</w:t>
      </w:r>
      <w:r w:rsidR="00D91EF3">
        <w:rPr>
          <w:rFonts w:eastAsia="SimSun"/>
          <w:lang w:eastAsia="en-GB"/>
        </w:rPr>
        <w:t>rt-up</w:t>
      </w:r>
      <w:r w:rsidRPr="0064650F">
        <w:rPr>
          <w:rFonts w:eastAsia="SimSun"/>
          <w:lang w:eastAsia="en-GB"/>
        </w:rPr>
        <w:t xml:space="preserve">s) are also an important driver of private engagement in the development of green technologies. </w:t>
      </w:r>
      <w:r w:rsidR="001571C3">
        <w:rPr>
          <w:rFonts w:eastAsia="SimSun"/>
          <w:lang w:eastAsia="en-GB"/>
        </w:rPr>
        <w:t xml:space="preserve">The effectiveness of </w:t>
      </w:r>
      <w:r w:rsidRPr="0064650F">
        <w:rPr>
          <w:rFonts w:eastAsia="SimSun"/>
          <w:lang w:eastAsia="en-GB"/>
        </w:rPr>
        <w:t>these instruments</w:t>
      </w:r>
      <w:r w:rsidR="001571C3">
        <w:rPr>
          <w:rFonts w:eastAsia="SimSun"/>
          <w:lang w:eastAsia="en-GB"/>
        </w:rPr>
        <w:t>, and the ability to use them</w:t>
      </w:r>
      <w:r w:rsidRPr="0064650F">
        <w:rPr>
          <w:rFonts w:eastAsia="SimSun"/>
          <w:lang w:eastAsia="en-GB"/>
        </w:rPr>
        <w:t xml:space="preserve"> </w:t>
      </w:r>
      <w:r w:rsidR="001571C3">
        <w:rPr>
          <w:rFonts w:eastAsia="SimSun"/>
          <w:lang w:eastAsia="en-GB"/>
        </w:rPr>
        <w:t xml:space="preserve">effectively, </w:t>
      </w:r>
      <w:r w:rsidRPr="0064650F">
        <w:rPr>
          <w:rFonts w:eastAsia="SimSun"/>
          <w:lang w:eastAsia="en-GB"/>
        </w:rPr>
        <w:t xml:space="preserve">should be further enhanced. Some require better design to fit the market conditions, whereas others need good cooperation and communication between various government institutions. Government employees </w:t>
      </w:r>
      <w:r w:rsidR="001571C3">
        <w:rPr>
          <w:rFonts w:eastAsia="SimSun"/>
          <w:lang w:eastAsia="en-GB"/>
        </w:rPr>
        <w:t xml:space="preserve">also </w:t>
      </w:r>
      <w:r w:rsidRPr="0064650F">
        <w:rPr>
          <w:rFonts w:eastAsia="SimSun"/>
          <w:lang w:eastAsia="en-GB"/>
        </w:rPr>
        <w:t>need to be trained in the use and enforcement of the instruments.</w:t>
      </w:r>
    </w:p>
    <w:p w:rsidR="005F6C8E" w:rsidRPr="0064650F" w:rsidRDefault="005F6C8E" w:rsidP="00DE35A7">
      <w:pPr>
        <w:pStyle w:val="SingleTxtG"/>
        <w:rPr>
          <w:rFonts w:eastAsia="SimSun"/>
        </w:rPr>
      </w:pPr>
      <w:r w:rsidRPr="0064650F">
        <w:rPr>
          <w:rFonts w:eastAsia="SimSun"/>
        </w:rPr>
        <w:t>10</w:t>
      </w:r>
      <w:r w:rsidR="003E7C8C" w:rsidRPr="0064650F">
        <w:rPr>
          <w:rFonts w:eastAsia="SimSun"/>
        </w:rPr>
        <w:t>4</w:t>
      </w:r>
      <w:r w:rsidRPr="0064650F">
        <w:rPr>
          <w:rFonts w:eastAsia="SimSun"/>
        </w:rPr>
        <w:t>.</w:t>
      </w:r>
      <w:r w:rsidRPr="0064650F">
        <w:rPr>
          <w:rFonts w:eastAsia="SimSun"/>
        </w:rPr>
        <w:tab/>
        <w:t xml:space="preserve">Countries have fostered a good level of cooperation with the support of international organizations. Continuation of this cooperation, and possibly strengthening it with </w:t>
      </w:r>
      <w:r w:rsidR="001571C3">
        <w:rPr>
          <w:rFonts w:eastAsia="SimSun"/>
        </w:rPr>
        <w:t xml:space="preserve">a </w:t>
      </w:r>
      <w:r w:rsidRPr="0064650F">
        <w:rPr>
          <w:rFonts w:eastAsia="SimSun"/>
        </w:rPr>
        <w:t>focus on seizing the opportunities the green economy brings and addressing existing needs gaps taking into account countries’ priorities, can accelerate the transition.</w:t>
      </w:r>
    </w:p>
    <w:p w:rsidR="005F6C8E" w:rsidRPr="0064650F" w:rsidRDefault="005F6C8E" w:rsidP="00DE35A7">
      <w:pPr>
        <w:pStyle w:val="SingleTxtG"/>
        <w:rPr>
          <w:rFonts w:eastAsia="SimSun"/>
        </w:rPr>
      </w:pPr>
      <w:r w:rsidRPr="0064650F">
        <w:rPr>
          <w:rFonts w:eastAsia="SimSun"/>
        </w:rPr>
        <w:t>10</w:t>
      </w:r>
      <w:r w:rsidR="003E7C8C" w:rsidRPr="0064650F">
        <w:rPr>
          <w:rFonts w:eastAsia="SimSun"/>
        </w:rPr>
        <w:t>5</w:t>
      </w:r>
      <w:r w:rsidRPr="0064650F">
        <w:rPr>
          <w:rFonts w:eastAsia="SimSun"/>
        </w:rPr>
        <w:t>.</w:t>
      </w:r>
      <w:r w:rsidRPr="0064650F">
        <w:rPr>
          <w:rFonts w:eastAsia="SimSun"/>
        </w:rPr>
        <w:tab/>
        <w:t xml:space="preserve">The activities undertaken by countries, and the guidance given by international organizations so far, have been compiled into a common action menu under the </w:t>
      </w:r>
      <w:r w:rsidR="002340A8">
        <w:rPr>
          <w:rFonts w:eastAsia="SimSun"/>
        </w:rPr>
        <w:t>s</w:t>
      </w:r>
      <w:r w:rsidRPr="0064650F">
        <w:rPr>
          <w:rFonts w:eastAsia="SimSun"/>
        </w:rPr>
        <w:t xml:space="preserve">trategic </w:t>
      </w:r>
      <w:r w:rsidR="002340A8">
        <w:rPr>
          <w:rFonts w:eastAsia="SimSun"/>
        </w:rPr>
        <w:t>f</w:t>
      </w:r>
      <w:r w:rsidRPr="0064650F">
        <w:rPr>
          <w:rFonts w:eastAsia="SimSun"/>
        </w:rPr>
        <w:t xml:space="preserve">ramework for </w:t>
      </w:r>
      <w:r w:rsidR="002340A8">
        <w:rPr>
          <w:rFonts w:eastAsia="SimSun"/>
        </w:rPr>
        <w:t>g</w:t>
      </w:r>
      <w:r w:rsidRPr="0064650F">
        <w:rPr>
          <w:rFonts w:eastAsia="SimSun"/>
        </w:rPr>
        <w:t xml:space="preserve">reening the </w:t>
      </w:r>
      <w:r w:rsidR="002340A8">
        <w:rPr>
          <w:rFonts w:eastAsia="SimSun"/>
        </w:rPr>
        <w:t>e</w:t>
      </w:r>
      <w:r w:rsidRPr="0064650F">
        <w:rPr>
          <w:rFonts w:eastAsia="SimSun"/>
        </w:rPr>
        <w:t xml:space="preserve">conomy in the pan-European region, and are expected to help accelerate the transition. The </w:t>
      </w:r>
      <w:r w:rsidR="002340A8">
        <w:rPr>
          <w:rFonts w:eastAsia="SimSun"/>
        </w:rPr>
        <w:t>s</w:t>
      </w:r>
      <w:r w:rsidRPr="0064650F">
        <w:rPr>
          <w:rFonts w:eastAsia="SimSun"/>
        </w:rPr>
        <w:t xml:space="preserve">trategic </w:t>
      </w:r>
      <w:r w:rsidR="002340A8">
        <w:rPr>
          <w:rFonts w:eastAsia="SimSun"/>
        </w:rPr>
        <w:t>f</w:t>
      </w:r>
      <w:r w:rsidRPr="0064650F">
        <w:rPr>
          <w:rFonts w:eastAsia="SimSun"/>
        </w:rPr>
        <w:t xml:space="preserve">ramework </w:t>
      </w:r>
      <w:r w:rsidR="002340A8">
        <w:rPr>
          <w:rFonts w:eastAsia="SimSun"/>
        </w:rPr>
        <w:t xml:space="preserve">will </w:t>
      </w:r>
      <w:r w:rsidRPr="0064650F">
        <w:rPr>
          <w:rFonts w:eastAsia="SimSun"/>
        </w:rPr>
        <w:t>equip countries with the available knowledge on actions and instruments that can be used for pursuing specific green economy focus areas according to their priorities and, at</w:t>
      </w:r>
      <w:r w:rsidR="00A362CE" w:rsidRPr="0064650F">
        <w:rPr>
          <w:rFonts w:eastAsia="SimSun"/>
        </w:rPr>
        <w:t xml:space="preserve"> the same time, attaining SDGs.</w:t>
      </w:r>
    </w:p>
    <w:p w:rsidR="005F6C8E" w:rsidRPr="0064650F" w:rsidRDefault="005F6C8E" w:rsidP="00DE35A7">
      <w:pPr>
        <w:pStyle w:val="SingleTxtG"/>
        <w:rPr>
          <w:rFonts w:eastAsia="SimSun"/>
        </w:rPr>
      </w:pPr>
      <w:r w:rsidRPr="0064650F">
        <w:rPr>
          <w:rFonts w:eastAsia="SimSun"/>
        </w:rPr>
        <w:t>10</w:t>
      </w:r>
      <w:r w:rsidR="003E7C8C" w:rsidRPr="0064650F">
        <w:rPr>
          <w:rFonts w:eastAsia="SimSun"/>
        </w:rPr>
        <w:t>6</w:t>
      </w:r>
      <w:r w:rsidRPr="0064650F">
        <w:rPr>
          <w:rFonts w:eastAsia="SimSun"/>
        </w:rPr>
        <w:t>.</w:t>
      </w:r>
      <w:r w:rsidRPr="0064650F">
        <w:rPr>
          <w:rFonts w:eastAsia="SimSun"/>
        </w:rPr>
        <w:tab/>
        <w:t xml:space="preserve">With the </w:t>
      </w:r>
      <w:r w:rsidR="002340A8">
        <w:rPr>
          <w:rFonts w:eastAsia="SimSun"/>
        </w:rPr>
        <w:t>s</w:t>
      </w:r>
      <w:r w:rsidRPr="0064650F">
        <w:rPr>
          <w:rFonts w:eastAsia="SimSun"/>
        </w:rPr>
        <w:t xml:space="preserve">trategic </w:t>
      </w:r>
      <w:r w:rsidR="002340A8">
        <w:rPr>
          <w:rFonts w:eastAsia="SimSun"/>
        </w:rPr>
        <w:t>f</w:t>
      </w:r>
      <w:r w:rsidRPr="0064650F">
        <w:rPr>
          <w:rFonts w:eastAsia="SimSun"/>
        </w:rPr>
        <w:t xml:space="preserve">ramework in place, ministers of environment </w:t>
      </w:r>
      <w:r w:rsidR="00A50B20">
        <w:rPr>
          <w:rFonts w:eastAsia="SimSun"/>
        </w:rPr>
        <w:t xml:space="preserve">of ECE countries will </w:t>
      </w:r>
      <w:r w:rsidRPr="0064650F">
        <w:rPr>
          <w:rFonts w:eastAsia="SimSun"/>
        </w:rPr>
        <w:t xml:space="preserve">be able to make the case for a green economy transition within their Governments. In </w:t>
      </w:r>
      <w:r w:rsidRPr="0064650F">
        <w:rPr>
          <w:rFonts w:eastAsia="SimSun"/>
        </w:rPr>
        <w:lastRenderedPageBreak/>
        <w:t xml:space="preserve">particular, they </w:t>
      </w:r>
      <w:r w:rsidR="00A50B20">
        <w:rPr>
          <w:rFonts w:eastAsia="SimSun"/>
        </w:rPr>
        <w:t xml:space="preserve">can </w:t>
      </w:r>
      <w:r w:rsidRPr="0064650F">
        <w:rPr>
          <w:rFonts w:eastAsia="SimSun"/>
        </w:rPr>
        <w:t xml:space="preserve">refer to and select actions </w:t>
      </w:r>
      <w:r w:rsidR="00E07331">
        <w:rPr>
          <w:rFonts w:eastAsia="SimSun"/>
        </w:rPr>
        <w:t xml:space="preserve">that are </w:t>
      </w:r>
      <w:r w:rsidRPr="0064650F">
        <w:rPr>
          <w:rFonts w:eastAsia="SimSun"/>
        </w:rPr>
        <w:t>well</w:t>
      </w:r>
      <w:r w:rsidR="00E07331">
        <w:rPr>
          <w:rFonts w:eastAsia="SimSun"/>
        </w:rPr>
        <w:t xml:space="preserve"> </w:t>
      </w:r>
      <w:r w:rsidRPr="0064650F">
        <w:rPr>
          <w:rFonts w:eastAsia="SimSun"/>
        </w:rPr>
        <w:t xml:space="preserve">suited to </w:t>
      </w:r>
      <w:r w:rsidR="00E07331">
        <w:rPr>
          <w:rFonts w:eastAsia="SimSun"/>
        </w:rPr>
        <w:t xml:space="preserve">their </w:t>
      </w:r>
      <w:r w:rsidRPr="0064650F">
        <w:rPr>
          <w:rFonts w:eastAsia="SimSun"/>
        </w:rPr>
        <w:t>national circumstances.</w:t>
      </w:r>
    </w:p>
    <w:p w:rsidR="00F507EC" w:rsidRPr="0064650F" w:rsidRDefault="00DE35A7" w:rsidP="00020D00">
      <w:pPr>
        <w:spacing w:before="240"/>
        <w:ind w:left="1134" w:right="1134"/>
        <w:jc w:val="center"/>
      </w:pPr>
      <w:r w:rsidRPr="0064650F">
        <w:rPr>
          <w:u w:val="single"/>
        </w:rPr>
        <w:tab/>
      </w:r>
      <w:r w:rsidRPr="0064650F">
        <w:rPr>
          <w:u w:val="single"/>
        </w:rPr>
        <w:tab/>
      </w:r>
      <w:r w:rsidRPr="0064650F">
        <w:rPr>
          <w:u w:val="single"/>
        </w:rPr>
        <w:tab/>
      </w:r>
    </w:p>
    <w:sectPr w:rsidR="00F507EC" w:rsidRPr="0064650F" w:rsidSect="00446F54">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65" w:rsidRDefault="00766165"/>
  </w:endnote>
  <w:endnote w:type="continuationSeparator" w:id="0">
    <w:p w:rsidR="00766165" w:rsidRDefault="00766165"/>
  </w:endnote>
  <w:endnote w:type="continuationNotice" w:id="1">
    <w:p w:rsidR="00766165" w:rsidRDefault="00766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T Std">
    <w:altName w:val="MS Mincho"/>
    <w:panose1 w:val="00000000000000000000"/>
    <w:charset w:val="00"/>
    <w:family w:val="roman"/>
    <w:notTrueType/>
    <w:pitch w:val="default"/>
    <w:sig w:usb0="00000000" w:usb1="08070000" w:usb2="00000010" w:usb3="00000000" w:csb0="00020001" w:csb1="00000000"/>
  </w:font>
  <w:font w:name="Myriad Pro">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Oxygen">
    <w:altName w:val="Times New Roman"/>
    <w:charset w:val="00"/>
    <w:family w:val="auto"/>
    <w:pitch w:val="default"/>
  </w:font>
  <w:font w:name="inheri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65" w:rsidRPr="005F6C8E" w:rsidRDefault="00766165" w:rsidP="005F6C8E">
    <w:pPr>
      <w:pStyle w:val="Footer"/>
      <w:tabs>
        <w:tab w:val="right" w:pos="9638"/>
      </w:tabs>
      <w:rPr>
        <w:sz w:val="18"/>
      </w:rPr>
    </w:pPr>
    <w:r w:rsidRPr="005F6C8E">
      <w:rPr>
        <w:b/>
        <w:sz w:val="18"/>
      </w:rPr>
      <w:fldChar w:fldCharType="begin"/>
    </w:r>
    <w:r w:rsidRPr="005F6C8E">
      <w:rPr>
        <w:b/>
        <w:sz w:val="18"/>
      </w:rPr>
      <w:instrText xml:space="preserve"> PAGE  \* MERGEFORMAT </w:instrText>
    </w:r>
    <w:r w:rsidRPr="005F6C8E">
      <w:rPr>
        <w:b/>
        <w:sz w:val="18"/>
      </w:rPr>
      <w:fldChar w:fldCharType="separate"/>
    </w:r>
    <w:r w:rsidR="00577425">
      <w:rPr>
        <w:b/>
        <w:noProof/>
        <w:sz w:val="18"/>
      </w:rPr>
      <w:t>24</w:t>
    </w:r>
    <w:r w:rsidRPr="005F6C8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65" w:rsidRPr="005F6C8E" w:rsidRDefault="00766165" w:rsidP="005F6C8E">
    <w:pPr>
      <w:pStyle w:val="Footer"/>
      <w:tabs>
        <w:tab w:val="right" w:pos="9638"/>
      </w:tabs>
      <w:rPr>
        <w:b/>
        <w:sz w:val="18"/>
      </w:rPr>
    </w:pPr>
    <w:r>
      <w:tab/>
    </w:r>
    <w:r w:rsidRPr="005F6C8E">
      <w:rPr>
        <w:b/>
        <w:sz w:val="18"/>
      </w:rPr>
      <w:fldChar w:fldCharType="begin"/>
    </w:r>
    <w:r w:rsidRPr="005F6C8E">
      <w:rPr>
        <w:b/>
        <w:sz w:val="18"/>
      </w:rPr>
      <w:instrText xml:space="preserve"> PAGE  \* MERGEFORMAT </w:instrText>
    </w:r>
    <w:r w:rsidRPr="005F6C8E">
      <w:rPr>
        <w:b/>
        <w:sz w:val="18"/>
      </w:rPr>
      <w:fldChar w:fldCharType="separate"/>
    </w:r>
    <w:r w:rsidR="00577425">
      <w:rPr>
        <w:b/>
        <w:noProof/>
        <w:sz w:val="18"/>
      </w:rPr>
      <w:t>23</w:t>
    </w:r>
    <w:r w:rsidRPr="005F6C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446F54" w:rsidTr="00446F54">
      <w:tc>
        <w:tcPr>
          <w:tcW w:w="3614" w:type="dxa"/>
          <w:shd w:val="clear" w:color="auto" w:fill="auto"/>
        </w:tcPr>
        <w:p w:rsidR="00446F54" w:rsidRDefault="00446F54" w:rsidP="00446F54">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8" name="Picture 8" descr="http://undocs.org/m2/QRCode2.ashx?DS=ECE/CEP/2015/L.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L.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GE.15-13986(E)</w:t>
          </w:r>
        </w:p>
        <w:p w:rsidR="00446F54" w:rsidRPr="00446F54" w:rsidRDefault="00446F54" w:rsidP="00446F54">
          <w:pPr>
            <w:pStyle w:val="Footer"/>
            <w:rPr>
              <w:rFonts w:ascii="Barcode 3 of 9 by request" w:hAnsi="Barcode 3 of 9 by request"/>
              <w:sz w:val="24"/>
            </w:rPr>
          </w:pPr>
          <w:r>
            <w:rPr>
              <w:rFonts w:ascii="Barcode 3 of 9 by request" w:hAnsi="Barcode 3 of 9 by request"/>
              <w:sz w:val="24"/>
            </w:rPr>
            <w:t>*1513986*</w:t>
          </w:r>
        </w:p>
      </w:tc>
      <w:tc>
        <w:tcPr>
          <w:tcW w:w="4752" w:type="dxa"/>
          <w:shd w:val="clear" w:color="auto" w:fill="auto"/>
        </w:tcPr>
        <w:p w:rsidR="00446F54" w:rsidRDefault="00446F54" w:rsidP="00446F54">
          <w:pPr>
            <w:pStyle w:val="Footer"/>
            <w:spacing w:line="240" w:lineRule="atLeast"/>
            <w:jc w:val="right"/>
            <w:rPr>
              <w:sz w:val="20"/>
            </w:rPr>
          </w:pPr>
          <w:r>
            <w:rPr>
              <w:noProof/>
              <w:sz w:val="20"/>
              <w:lang w:eastAsia="en-GB"/>
            </w:rPr>
            <w:drawing>
              <wp:inline distT="0" distB="0" distL="0" distR="0">
                <wp:extent cx="929642" cy="231648"/>
                <wp:effectExtent l="0" t="0" r="381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46F54" w:rsidRPr="00446F54" w:rsidRDefault="00446F54" w:rsidP="00446F5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65" w:rsidRPr="000B175B" w:rsidRDefault="00766165" w:rsidP="000B175B">
      <w:pPr>
        <w:tabs>
          <w:tab w:val="right" w:pos="2155"/>
        </w:tabs>
        <w:spacing w:after="80"/>
        <w:ind w:left="680"/>
        <w:rPr>
          <w:u w:val="single"/>
        </w:rPr>
      </w:pPr>
      <w:r>
        <w:rPr>
          <w:u w:val="single"/>
        </w:rPr>
        <w:tab/>
      </w:r>
    </w:p>
  </w:footnote>
  <w:footnote w:type="continuationSeparator" w:id="0">
    <w:p w:rsidR="00766165" w:rsidRPr="00FC68B7" w:rsidRDefault="00766165" w:rsidP="00FC68B7">
      <w:pPr>
        <w:tabs>
          <w:tab w:val="left" w:pos="2155"/>
        </w:tabs>
        <w:spacing w:after="80"/>
        <w:ind w:left="680"/>
        <w:rPr>
          <w:u w:val="single"/>
        </w:rPr>
      </w:pPr>
      <w:r>
        <w:rPr>
          <w:u w:val="single"/>
        </w:rPr>
        <w:tab/>
      </w:r>
    </w:p>
  </w:footnote>
  <w:footnote w:type="continuationNotice" w:id="1">
    <w:p w:rsidR="00766165" w:rsidRDefault="00766165"/>
  </w:footnote>
  <w:footnote w:id="2">
    <w:p w:rsidR="00766165" w:rsidRPr="001249ED" w:rsidRDefault="00766165" w:rsidP="001249ED">
      <w:pPr>
        <w:pStyle w:val="FootnoteText"/>
        <w:widowControl w:val="0"/>
        <w:tabs>
          <w:tab w:val="clear" w:pos="1021"/>
          <w:tab w:val="right" w:pos="1020"/>
        </w:tabs>
        <w:rPr>
          <w:lang w:val="en-US"/>
        </w:rPr>
      </w:pPr>
      <w:r>
        <w:tab/>
      </w:r>
      <w:r>
        <w:rPr>
          <w:rStyle w:val="FootnoteReference"/>
        </w:rPr>
        <w:footnoteRef/>
      </w:r>
      <w:r>
        <w:tab/>
        <w:t>The p</w:t>
      </w:r>
      <w:r w:rsidRPr="00B12105">
        <w:t xml:space="preserve">an-European region under the Environment for Europe </w:t>
      </w:r>
      <w:r>
        <w:t>p</w:t>
      </w:r>
      <w:r w:rsidRPr="00B12105">
        <w:t>rocess cover</w:t>
      </w:r>
      <w:r>
        <w:t>s</w:t>
      </w:r>
      <w:r w:rsidRPr="00B12105">
        <w:t xml:space="preserve"> the full membership of </w:t>
      </w:r>
      <w:r>
        <w:t>United Nations Economic Commission for Europe (ECE), i.e., the 56 ECE member States</w:t>
      </w:r>
      <w:r w:rsidRPr="00B12105">
        <w:t>.</w:t>
      </w:r>
    </w:p>
  </w:footnote>
  <w:footnote w:id="3">
    <w:p w:rsidR="00766165" w:rsidRDefault="00766165" w:rsidP="005F6C8E">
      <w:pPr>
        <w:pStyle w:val="FootnoteText"/>
        <w:widowControl w:val="0"/>
        <w:tabs>
          <w:tab w:val="clear" w:pos="1021"/>
          <w:tab w:val="right" w:pos="1020"/>
        </w:tabs>
      </w:pPr>
      <w:r>
        <w:tab/>
      </w:r>
      <w:r>
        <w:rPr>
          <w:rStyle w:val="FootnoteReference"/>
        </w:rPr>
        <w:footnoteRef/>
      </w:r>
      <w:r>
        <w:tab/>
        <w:t>Ministerial Declaration “Save water, grow green” (</w:t>
      </w:r>
      <w:r w:rsidRPr="004F4063">
        <w:t>ECE/ASTANA.CONF/2011/2/Add.1</w:t>
      </w:r>
      <w:r>
        <w:t xml:space="preserve">), available from </w:t>
      </w:r>
      <w:r w:rsidRPr="00CF12F8">
        <w:t>www.unece.o</w:t>
      </w:r>
      <w:r>
        <w:t>rg/env/efe/astana/welcome.</w:t>
      </w:r>
    </w:p>
  </w:footnote>
  <w:footnote w:id="4">
    <w:p w:rsidR="00766165" w:rsidRDefault="00766165" w:rsidP="005F6C8E">
      <w:pPr>
        <w:pStyle w:val="FootnoteText"/>
        <w:widowControl w:val="0"/>
        <w:tabs>
          <w:tab w:val="clear" w:pos="1021"/>
          <w:tab w:val="right" w:pos="1020"/>
        </w:tabs>
      </w:pPr>
      <w:r>
        <w:tab/>
      </w:r>
      <w:r>
        <w:rPr>
          <w:rStyle w:val="FootnoteReference"/>
        </w:rPr>
        <w:footnoteRef/>
      </w:r>
      <w:r>
        <w:tab/>
      </w:r>
      <w:r w:rsidRPr="00BE15F1">
        <w:t>In addition, ministers are expected to discuss green agriculture and environmental risk reduction as well as how subnational and local authorities, business and civil society are involved in greening the economy</w:t>
      </w:r>
      <w:r>
        <w:t>.</w:t>
      </w:r>
    </w:p>
  </w:footnote>
  <w:footnote w:id="5">
    <w:p w:rsidR="00766165" w:rsidRPr="00A14F2D" w:rsidRDefault="00766165" w:rsidP="00A14F2D">
      <w:pPr>
        <w:pStyle w:val="FootnoteText"/>
        <w:widowControl w:val="0"/>
        <w:tabs>
          <w:tab w:val="clear" w:pos="1021"/>
          <w:tab w:val="right" w:pos="1020"/>
        </w:tabs>
        <w:rPr>
          <w:lang w:val="en-US"/>
        </w:rPr>
      </w:pPr>
      <w:r>
        <w:tab/>
      </w:r>
      <w:r>
        <w:rPr>
          <w:rStyle w:val="FootnoteReference"/>
        </w:rPr>
        <w:footnoteRef/>
      </w:r>
      <w:r>
        <w:tab/>
      </w:r>
      <w:proofErr w:type="gramStart"/>
      <w:r>
        <w:t xml:space="preserve">Available from </w:t>
      </w:r>
      <w:r w:rsidRPr="004F4063">
        <w:t>www.unece.org</w:t>
      </w:r>
      <w:r>
        <w:t>/env/efe/Astana/documents.html.</w:t>
      </w:r>
      <w:proofErr w:type="gramEnd"/>
    </w:p>
  </w:footnote>
  <w:footnote w:id="6">
    <w:p w:rsidR="00766165" w:rsidRPr="00944E92" w:rsidRDefault="00766165" w:rsidP="00944E92">
      <w:pPr>
        <w:pStyle w:val="FootnoteText"/>
        <w:widowControl w:val="0"/>
        <w:tabs>
          <w:tab w:val="clear" w:pos="1021"/>
          <w:tab w:val="right" w:pos="1020"/>
        </w:tabs>
        <w:rPr>
          <w:lang w:val="en-US"/>
        </w:rPr>
      </w:pPr>
      <w:r>
        <w:tab/>
      </w:r>
      <w:r>
        <w:rPr>
          <w:rStyle w:val="FootnoteReference"/>
        </w:rPr>
        <w:footnoteRef/>
      </w:r>
      <w:r>
        <w:tab/>
      </w:r>
      <w:proofErr w:type="gramStart"/>
      <w:r>
        <w:t xml:space="preserve">Available from </w:t>
      </w:r>
      <w:hyperlink r:id="rId1" w:history="1">
        <w:r w:rsidRPr="004F4063">
          <w:rPr>
            <w:rStyle w:val="Hyperlink"/>
          </w:rPr>
          <w:t>www.unece.org/index.php?id=32257</w:t>
        </w:r>
      </w:hyperlink>
      <w:r>
        <w:t>.</w:t>
      </w:r>
      <w:proofErr w:type="gramEnd"/>
    </w:p>
  </w:footnote>
  <w:footnote w:id="7">
    <w:p w:rsidR="00766165" w:rsidRPr="00944E92" w:rsidRDefault="00766165" w:rsidP="00944E92">
      <w:pPr>
        <w:pStyle w:val="FootnoteText"/>
        <w:widowControl w:val="0"/>
        <w:tabs>
          <w:tab w:val="clear" w:pos="1021"/>
          <w:tab w:val="right" w:pos="1020"/>
        </w:tabs>
        <w:rPr>
          <w:lang w:val="en-US"/>
        </w:rPr>
      </w:pPr>
      <w:r>
        <w:tab/>
      </w:r>
      <w:r>
        <w:rPr>
          <w:rStyle w:val="FootnoteReference"/>
        </w:rPr>
        <w:footnoteRef/>
      </w:r>
      <w:r>
        <w:tab/>
      </w:r>
      <w:proofErr w:type="gramStart"/>
      <w:r>
        <w:t xml:space="preserve">Available from </w:t>
      </w:r>
      <w:hyperlink r:id="rId2" w:history="1">
        <w:r w:rsidRPr="004F4063">
          <w:rPr>
            <w:rStyle w:val="Hyperlink"/>
          </w:rPr>
          <w:t>www.unece.org/index.php?id=35032</w:t>
        </w:r>
      </w:hyperlink>
      <w:r>
        <w:t>.</w:t>
      </w:r>
      <w:proofErr w:type="gramEnd"/>
    </w:p>
  </w:footnote>
  <w:footnote w:id="8">
    <w:p w:rsidR="00AC1D47" w:rsidRDefault="00AC1D47" w:rsidP="00AC1D47">
      <w:pPr>
        <w:pStyle w:val="FootnoteText"/>
        <w:widowControl w:val="0"/>
        <w:tabs>
          <w:tab w:val="clear" w:pos="1021"/>
          <w:tab w:val="right" w:pos="1020"/>
        </w:tabs>
      </w:pPr>
      <w:r>
        <w:tab/>
      </w:r>
      <w:r>
        <w:rPr>
          <w:rStyle w:val="FootnoteReference"/>
        </w:rPr>
        <w:footnoteRef/>
      </w:r>
      <w:r>
        <w:tab/>
        <w:t xml:space="preserve">Mention in this document of the names of firms and </w:t>
      </w:r>
      <w:proofErr w:type="gramStart"/>
      <w:r>
        <w:t>commercial products does</w:t>
      </w:r>
      <w:proofErr w:type="gramEnd"/>
      <w:r>
        <w:t xml:space="preserve"> not imply the endorsement of the United Nations. </w:t>
      </w:r>
    </w:p>
  </w:footnote>
  <w:footnote w:id="9">
    <w:p w:rsidR="00766165" w:rsidRPr="006C309E" w:rsidRDefault="00766165" w:rsidP="006C309E">
      <w:pPr>
        <w:pStyle w:val="FootnoteText"/>
        <w:widowControl w:val="0"/>
        <w:tabs>
          <w:tab w:val="clear" w:pos="1021"/>
          <w:tab w:val="right" w:pos="1020"/>
        </w:tabs>
        <w:rPr>
          <w:lang w:val="en-US"/>
        </w:rPr>
      </w:pPr>
      <w:r>
        <w:tab/>
      </w:r>
      <w:r>
        <w:rPr>
          <w:rStyle w:val="FootnoteReference"/>
        </w:rPr>
        <w:footnoteRef/>
      </w:r>
      <w:r>
        <w:tab/>
      </w:r>
      <w:r w:rsidRPr="00E771E4">
        <w:rPr>
          <w:rFonts w:eastAsia="SimSun"/>
          <w:lang w:eastAsia="en-GB"/>
        </w:rPr>
        <w:t>To date, behavio</w:t>
      </w:r>
      <w:r>
        <w:rPr>
          <w:rFonts w:eastAsia="SimSun"/>
          <w:lang w:eastAsia="en-GB"/>
        </w:rPr>
        <w:t>u</w:t>
      </w:r>
      <w:r w:rsidRPr="00E771E4">
        <w:rPr>
          <w:rFonts w:eastAsia="SimSun"/>
          <w:lang w:eastAsia="en-GB"/>
        </w:rPr>
        <w:t xml:space="preserve">ral change has not occurred to the extent that </w:t>
      </w:r>
      <w:r>
        <w:rPr>
          <w:rFonts w:eastAsia="SimSun"/>
          <w:lang w:eastAsia="en-GB"/>
        </w:rPr>
        <w:t>would allow c</w:t>
      </w:r>
      <w:r w:rsidRPr="00DC7893">
        <w:rPr>
          <w:rFonts w:eastAsia="SimSun"/>
          <w:lang w:eastAsia="en-GB"/>
        </w:rPr>
        <w:t>ar manufacturers</w:t>
      </w:r>
      <w:r w:rsidRPr="00E771E4">
        <w:rPr>
          <w:rFonts w:eastAsia="SimSun"/>
          <w:lang w:eastAsia="en-GB"/>
        </w:rPr>
        <w:t xml:space="preserve"> to claim the loss of market due to increasing use of public transport in urban areas.</w:t>
      </w:r>
      <w:r>
        <w:rPr>
          <w:rFonts w:eastAsia="SimSun"/>
          <w:lang w:eastAsia="en-GB"/>
        </w:rPr>
        <w:t xml:space="preserve"> At the same time, promotion of intermodal transport solutions — use of cars in combination with public transport as well as walking and cycling for suburban mobility — can accommodate the conflicting interests of various groups. Furthermore, if this is combined with the promotion of fuel-efficient and/or electric cars, </w:t>
      </w:r>
      <w:r>
        <w:t>replacing energy inefficient cars with efficient ones will create a large number of jobs in car manufacturing.</w:t>
      </w:r>
    </w:p>
  </w:footnote>
  <w:footnote w:id="10">
    <w:p w:rsidR="001772F8" w:rsidRPr="002F2291" w:rsidRDefault="001772F8" w:rsidP="001772F8">
      <w:pPr>
        <w:pStyle w:val="FootnoteText"/>
        <w:widowControl w:val="0"/>
        <w:tabs>
          <w:tab w:val="clear" w:pos="1021"/>
          <w:tab w:val="right" w:pos="1020"/>
        </w:tabs>
        <w:rPr>
          <w:lang w:val="en-US"/>
        </w:rPr>
      </w:pPr>
      <w:r>
        <w:tab/>
      </w:r>
      <w:r>
        <w:rPr>
          <w:rStyle w:val="FootnoteReference"/>
        </w:rPr>
        <w:footnoteRef/>
      </w:r>
      <w:r>
        <w:tab/>
      </w:r>
      <w:r>
        <w:rPr>
          <w:rFonts w:eastAsia="SimSun"/>
          <w:lang w:eastAsia="en-GB"/>
        </w:rPr>
        <w:t>Today, the mining industry is affected more by economic downturns and related drop of demand rather than the competition from recovery or recycling activities.</w:t>
      </w:r>
    </w:p>
  </w:footnote>
  <w:footnote w:id="11">
    <w:p w:rsidR="00766165" w:rsidRPr="003F29A0" w:rsidRDefault="00766165" w:rsidP="003F29A0">
      <w:pPr>
        <w:pStyle w:val="FootnoteText"/>
        <w:widowControl w:val="0"/>
        <w:tabs>
          <w:tab w:val="clear" w:pos="1021"/>
          <w:tab w:val="right" w:pos="1020"/>
        </w:tabs>
        <w:rPr>
          <w:lang w:val="en-US"/>
        </w:rPr>
      </w:pPr>
      <w:r>
        <w:tab/>
      </w:r>
      <w:r>
        <w:rPr>
          <w:rStyle w:val="FootnoteReference"/>
        </w:rPr>
        <w:footnoteRef/>
      </w:r>
      <w:r>
        <w:tab/>
      </w:r>
      <w:proofErr w:type="gramStart"/>
      <w:r>
        <w:t xml:space="preserve">The ECE Convention </w:t>
      </w:r>
      <w:r w:rsidRPr="00404969">
        <w:t>on the Protection and Use of Transboundary Watercourses and International Lakes</w:t>
      </w:r>
      <w:r>
        <w:t>.</w:t>
      </w:r>
      <w:proofErr w:type="gramEnd"/>
    </w:p>
  </w:footnote>
  <w:footnote w:id="12">
    <w:p w:rsidR="00766165" w:rsidRPr="00056605" w:rsidRDefault="00766165" w:rsidP="00056605">
      <w:pPr>
        <w:pStyle w:val="FootnoteText"/>
        <w:widowControl w:val="0"/>
        <w:tabs>
          <w:tab w:val="clear" w:pos="1021"/>
          <w:tab w:val="right" w:pos="1020"/>
        </w:tabs>
        <w:rPr>
          <w:lang w:val="en-US"/>
        </w:rPr>
      </w:pPr>
      <w:r>
        <w:tab/>
      </w:r>
      <w:r>
        <w:rPr>
          <w:rStyle w:val="FootnoteReference"/>
        </w:rPr>
        <w:footnoteRef/>
      </w:r>
      <w:r>
        <w:tab/>
      </w:r>
      <w:r>
        <w:rPr>
          <w:lang w:val="en-US"/>
        </w:rPr>
        <w:t>This is a placeholder for a figure presenting developments in the energy sector, which will be added in the next version of the current document to be prepared for the special session of CEP in February 2016.</w:t>
      </w:r>
    </w:p>
  </w:footnote>
  <w:footnote w:id="13">
    <w:p w:rsidR="00766165" w:rsidRPr="005145F1" w:rsidRDefault="00766165" w:rsidP="00A135CF">
      <w:pPr>
        <w:pStyle w:val="FootnoteText"/>
        <w:widowControl w:val="0"/>
        <w:tabs>
          <w:tab w:val="clear" w:pos="1021"/>
          <w:tab w:val="right" w:pos="1020"/>
        </w:tabs>
        <w:rPr>
          <w:lang w:val="en-US"/>
        </w:rPr>
      </w:pPr>
      <w:r>
        <w:tab/>
      </w:r>
      <w:r>
        <w:rPr>
          <w:rStyle w:val="FootnoteReference"/>
        </w:rPr>
        <w:footnoteRef/>
      </w:r>
      <w:r>
        <w:tab/>
        <w:t xml:space="preserve">See methodology for assessing the water-food-energy-ecosystems nexus in transboundary basins (ECE/MP.WAT/WG.1/2015/8), available from </w:t>
      </w:r>
      <w:hyperlink r:id="rId3" w:history="1">
        <w:r w:rsidRPr="00A135CF">
          <w:rPr>
            <w:rStyle w:val="Hyperlink"/>
          </w:rPr>
          <w:t>www.unece.org/index.php?id=38163</w:t>
        </w:r>
      </w:hyperlink>
      <w:r>
        <w:t>.</w:t>
      </w:r>
    </w:p>
  </w:footnote>
  <w:footnote w:id="14">
    <w:p w:rsidR="00766165" w:rsidRPr="00704543" w:rsidRDefault="00766165" w:rsidP="00704543">
      <w:pPr>
        <w:pStyle w:val="FootnoteText"/>
        <w:widowControl w:val="0"/>
        <w:tabs>
          <w:tab w:val="clear" w:pos="1021"/>
          <w:tab w:val="right" w:pos="1020"/>
        </w:tabs>
        <w:rPr>
          <w:lang w:val="en-US"/>
        </w:rPr>
      </w:pPr>
      <w:r>
        <w:tab/>
      </w:r>
      <w:r>
        <w:rPr>
          <w:rStyle w:val="FootnoteReference"/>
        </w:rPr>
        <w:footnoteRef/>
      </w:r>
      <w:r>
        <w:tab/>
      </w:r>
      <w:r>
        <w:rPr>
          <w:lang w:val="en-US"/>
        </w:rPr>
        <w:t xml:space="preserve">This is a placeholder for a figure presenting </w:t>
      </w:r>
      <w:r w:rsidRPr="002162BE">
        <w:rPr>
          <w:lang w:val="en-US"/>
        </w:rPr>
        <w:t>rate</w:t>
      </w:r>
      <w:r>
        <w:rPr>
          <w:lang w:val="en-US"/>
        </w:rPr>
        <w:t>s</w:t>
      </w:r>
      <w:r w:rsidRPr="002162BE">
        <w:rPr>
          <w:lang w:val="en-US"/>
        </w:rPr>
        <w:t xml:space="preserve"> of recovery of minerals, rare metals, etc. from products across the pan-European region</w:t>
      </w:r>
      <w:r>
        <w:rPr>
          <w:lang w:val="en-US"/>
        </w:rPr>
        <w:t>, which will be added in the next version of the current document to be prepared for the special session of CEP in February 2016.</w:t>
      </w:r>
    </w:p>
  </w:footnote>
  <w:footnote w:id="15">
    <w:p w:rsidR="00766165" w:rsidRPr="007261E3" w:rsidRDefault="00766165" w:rsidP="007261E3">
      <w:pPr>
        <w:pStyle w:val="FootnoteText"/>
        <w:widowControl w:val="0"/>
        <w:tabs>
          <w:tab w:val="clear" w:pos="1021"/>
          <w:tab w:val="right" w:pos="1020"/>
        </w:tabs>
        <w:rPr>
          <w:lang w:val="en-US"/>
        </w:rPr>
      </w:pPr>
      <w:r>
        <w:tab/>
      </w:r>
      <w:r>
        <w:rPr>
          <w:rStyle w:val="FootnoteReference"/>
        </w:rPr>
        <w:footnoteRef/>
      </w:r>
      <w:r>
        <w:tab/>
        <w:t>S</w:t>
      </w:r>
      <w:r w:rsidRPr="00327648">
        <w:t>ee</w:t>
      </w:r>
      <w:r>
        <w:t xml:space="preserve"> </w:t>
      </w:r>
      <w:r w:rsidRPr="00FA7387">
        <w:t>www.greengrowthknowledge.org</w:t>
      </w:r>
      <w:r>
        <w:t>.</w:t>
      </w:r>
    </w:p>
  </w:footnote>
  <w:footnote w:id="16">
    <w:p w:rsidR="00477600" w:rsidRDefault="00477600" w:rsidP="00CC4DE6">
      <w:pPr>
        <w:pStyle w:val="FootnoteText"/>
        <w:widowControl w:val="0"/>
        <w:tabs>
          <w:tab w:val="clear" w:pos="1021"/>
          <w:tab w:val="right" w:pos="1020"/>
        </w:tabs>
      </w:pPr>
      <w:r>
        <w:tab/>
      </w:r>
      <w:r>
        <w:rPr>
          <w:rStyle w:val="FootnoteReference"/>
        </w:rPr>
        <w:footnoteRef/>
      </w:r>
      <w:r>
        <w:tab/>
      </w:r>
      <w:proofErr w:type="gramStart"/>
      <w:r>
        <w:t xml:space="preserve">Organization for Economic Cooperation and Development, </w:t>
      </w:r>
      <w:r w:rsidRPr="00CC4DE6">
        <w:rPr>
          <w:i/>
        </w:rPr>
        <w:t>Taxation, Innovation and the Environment</w:t>
      </w:r>
      <w:r>
        <w:t xml:space="preserve"> </w:t>
      </w:r>
      <w:r w:rsidR="001772F8">
        <w:t>(Paris, 2010), box 4.1.</w:t>
      </w:r>
      <w:proofErr w:type="gramEnd"/>
      <w:r w:rsidR="001772F8">
        <w:t xml:space="preserve"> </w:t>
      </w:r>
      <w:proofErr w:type="gramStart"/>
      <w:r w:rsidR="001772F8">
        <w:t xml:space="preserve">Available </w:t>
      </w:r>
      <w:r w:rsidR="001772F8" w:rsidRPr="00F04F9C">
        <w:t xml:space="preserve">from </w:t>
      </w:r>
      <w:hyperlink r:id="rId4" w:tgtFrame="_blank" w:tooltip="http://dx.doi.org/10.1787/9789264087637-en" w:history="1">
        <w:r w:rsidR="001772F8" w:rsidRPr="00CC4DE6">
          <w:rPr>
            <w:rStyle w:val="Hyperlink"/>
            <w:rFonts w:ascii="inherit" w:hAnsi="inherit" w:cs="Arial"/>
            <w:szCs w:val="18"/>
            <w:bdr w:val="none" w:sz="0" w:space="0" w:color="auto" w:frame="1"/>
            <w:shd w:val="clear" w:color="auto" w:fill="FFFFFF"/>
          </w:rPr>
          <w:t>http://dx.doi.org/10.1787/9789264087637-en</w:t>
        </w:r>
      </w:hyperlink>
      <w:r w:rsidR="001772F8">
        <w:t>.</w:t>
      </w:r>
      <w:proofErr w:type="gramEnd"/>
    </w:p>
  </w:footnote>
  <w:footnote w:id="17">
    <w:p w:rsidR="00766165" w:rsidRPr="007C391A" w:rsidRDefault="00766165" w:rsidP="007C391A">
      <w:pPr>
        <w:pStyle w:val="FootnoteText"/>
        <w:widowControl w:val="0"/>
        <w:tabs>
          <w:tab w:val="clear" w:pos="1021"/>
          <w:tab w:val="right" w:pos="1020"/>
        </w:tabs>
        <w:rPr>
          <w:lang w:val="en-US"/>
        </w:rPr>
      </w:pPr>
      <w:r>
        <w:tab/>
      </w:r>
      <w:r>
        <w:rPr>
          <w:rStyle w:val="FootnoteReference"/>
        </w:rPr>
        <w:footnoteRef/>
      </w:r>
      <w:r>
        <w:tab/>
        <w:t xml:space="preserve">These instruments or procedures are regulated, among others, by ECE treaties. For details, please see </w:t>
      </w:r>
      <w:hyperlink r:id="rId5" w:history="1">
        <w:r w:rsidRPr="00DD1B95">
          <w:rPr>
            <w:rStyle w:val="Hyperlink"/>
          </w:rPr>
          <w:t>www.unece.org/env/treaties/welcome.</w:t>
        </w:r>
      </w:hyperlink>
    </w:p>
  </w:footnote>
  <w:footnote w:id="18">
    <w:p w:rsidR="00766165" w:rsidRPr="00C87002" w:rsidRDefault="00766165" w:rsidP="00C87002">
      <w:pPr>
        <w:pStyle w:val="FootnoteText"/>
        <w:widowControl w:val="0"/>
        <w:tabs>
          <w:tab w:val="clear" w:pos="1021"/>
          <w:tab w:val="right" w:pos="1020"/>
        </w:tabs>
        <w:rPr>
          <w:lang w:val="en-US"/>
        </w:rPr>
      </w:pPr>
      <w:r>
        <w:tab/>
      </w:r>
      <w:r>
        <w:rPr>
          <w:rStyle w:val="FootnoteReference"/>
        </w:rPr>
        <w:footnoteRef/>
      </w:r>
      <w:r>
        <w:tab/>
      </w:r>
      <w:r>
        <w:rPr>
          <w:lang w:val="en-US"/>
        </w:rPr>
        <w:t>This is a placeholder for a figure illustrating the increase in the number of EIA applications, which will be added in the next version of the document to be prepared for the special session of CEP in February 2016.</w:t>
      </w:r>
    </w:p>
  </w:footnote>
  <w:footnote w:id="19">
    <w:p w:rsidR="00766165" w:rsidRPr="00A91F70" w:rsidRDefault="00766165" w:rsidP="00A91F70">
      <w:pPr>
        <w:pStyle w:val="FootnoteText"/>
        <w:widowControl w:val="0"/>
        <w:tabs>
          <w:tab w:val="clear" w:pos="1021"/>
          <w:tab w:val="right" w:pos="1020"/>
        </w:tabs>
        <w:rPr>
          <w:lang w:val="en-US"/>
        </w:rPr>
      </w:pPr>
      <w:r>
        <w:tab/>
      </w:r>
      <w:r>
        <w:rPr>
          <w:rStyle w:val="FootnoteReference"/>
        </w:rPr>
        <w:footnoteRef/>
      </w:r>
      <w:r>
        <w:tab/>
      </w:r>
      <w:r w:rsidRPr="00327648">
        <w:t xml:space="preserve">For details </w:t>
      </w:r>
      <w:r>
        <w:t xml:space="preserve">please </w:t>
      </w:r>
      <w:r w:rsidRPr="00327648">
        <w:t>see eippcb.jrc.ec.europa.eu/reference</w:t>
      </w:r>
      <w:r>
        <w:t>.</w:t>
      </w:r>
    </w:p>
  </w:footnote>
  <w:footnote w:id="20">
    <w:p w:rsidR="00766165" w:rsidRDefault="00766165" w:rsidP="00ED625C">
      <w:pPr>
        <w:pStyle w:val="FootnoteText"/>
        <w:widowControl w:val="0"/>
      </w:pPr>
      <w:r>
        <w:tab/>
      </w:r>
      <w:r>
        <w:rPr>
          <w:rStyle w:val="FootnoteReference"/>
        </w:rPr>
        <w:footnoteRef/>
      </w:r>
      <w:r>
        <w:tab/>
        <w:t>Directive 2010/75/EU of the European Parliament and of the Council of 24 November 2010 on industrial emissions (integrated po</w:t>
      </w:r>
      <w:r w:rsidR="00ED625C">
        <w:t>llution prevention and control)</w:t>
      </w:r>
      <w:r>
        <w:t xml:space="preserve">. </w:t>
      </w:r>
    </w:p>
  </w:footnote>
  <w:footnote w:id="21">
    <w:p w:rsidR="00766165" w:rsidRPr="007C121B" w:rsidRDefault="00766165" w:rsidP="007C121B">
      <w:pPr>
        <w:pStyle w:val="FootnoteText"/>
        <w:widowControl w:val="0"/>
        <w:tabs>
          <w:tab w:val="clear" w:pos="1021"/>
          <w:tab w:val="right" w:pos="1020"/>
        </w:tabs>
        <w:rPr>
          <w:lang w:val="en-US"/>
        </w:rPr>
      </w:pPr>
      <w:r>
        <w:tab/>
      </w:r>
      <w:r>
        <w:rPr>
          <w:rStyle w:val="FootnoteReference"/>
        </w:rPr>
        <w:footnoteRef/>
      </w:r>
      <w:r>
        <w:tab/>
        <w:t xml:space="preserve">Clearinghouse of the </w:t>
      </w:r>
      <w:r w:rsidRPr="00CB30F2">
        <w:t>ECE Convention on Access to Information, Public Participation in Decision-making and Access to J</w:t>
      </w:r>
      <w:r>
        <w:t xml:space="preserve">ustice in Environmental Matters (Aarhus Convention), available from </w:t>
      </w:r>
      <w:r w:rsidRPr="00CC7D1A">
        <w:t>http://aarhusclearinghouse.unece.org/</w:t>
      </w:r>
      <w:r>
        <w:t>.</w:t>
      </w:r>
    </w:p>
  </w:footnote>
  <w:footnote w:id="22">
    <w:p w:rsidR="00766165" w:rsidRPr="006731C3" w:rsidRDefault="00766165" w:rsidP="006731C3">
      <w:pPr>
        <w:pStyle w:val="FootnoteText"/>
        <w:widowControl w:val="0"/>
        <w:tabs>
          <w:tab w:val="clear" w:pos="1021"/>
          <w:tab w:val="right" w:pos="1020"/>
        </w:tabs>
        <w:rPr>
          <w:lang w:val="en-US"/>
        </w:rPr>
      </w:pPr>
      <w:r>
        <w:tab/>
      </w:r>
      <w:r>
        <w:rPr>
          <w:rStyle w:val="FootnoteReference"/>
        </w:rPr>
        <w:footnoteRef/>
      </w:r>
      <w:r>
        <w:tab/>
        <w:t xml:space="preserve">The SCP Clearinghouse is still under construction. </w:t>
      </w:r>
      <w:r w:rsidRPr="00FD7BF8">
        <w:t xml:space="preserve">For details please see </w:t>
      </w:r>
      <w:hyperlink r:id="rId6" w:history="1">
        <w:r w:rsidRPr="00513842">
          <w:rPr>
            <w:rStyle w:val="Hyperlink"/>
            <w:szCs w:val="18"/>
          </w:rPr>
          <w:t>www.unep.org/resourceefficiency/Policy/SCPPoliciesandthe10YFP/The10YearFrameworkProgrammesonSCP/GlobalSCPClearinghouse/tabid/102573/Default.aspx</w:t>
        </w:r>
      </w:hyperlink>
      <w:r>
        <w:rPr>
          <w:rStyle w:val="Hyperlink"/>
          <w:szCs w:val="18"/>
        </w:rPr>
        <w:t>.</w:t>
      </w:r>
    </w:p>
  </w:footnote>
  <w:footnote w:id="23">
    <w:p w:rsidR="00766165" w:rsidRPr="007C121B" w:rsidRDefault="00766165" w:rsidP="007C121B">
      <w:pPr>
        <w:pStyle w:val="FootnoteText"/>
        <w:widowControl w:val="0"/>
        <w:tabs>
          <w:tab w:val="clear" w:pos="1021"/>
          <w:tab w:val="right" w:pos="1020"/>
        </w:tabs>
        <w:rPr>
          <w:lang w:val="en-US"/>
        </w:rPr>
      </w:pPr>
      <w:r>
        <w:tab/>
      </w:r>
      <w:r>
        <w:rPr>
          <w:rStyle w:val="FootnoteReference"/>
        </w:rPr>
        <w:footnoteRef/>
      </w:r>
      <w:r>
        <w:tab/>
      </w:r>
      <w:r w:rsidR="008E2016">
        <w:fldChar w:fldCharType="begin"/>
      </w:r>
      <w:r w:rsidR="008E2016">
        <w:instrText xml:space="preserve"> HYPERLINK </w:instrText>
      </w:r>
      <w:r w:rsidR="008E2016">
        <w:fldChar w:fldCharType="separate"/>
      </w:r>
      <w:r w:rsidR="008E2016">
        <w:rPr>
          <w:b/>
          <w:bCs/>
          <w:lang w:val="en-US"/>
        </w:rPr>
        <w:t xml:space="preserve">Error! </w:t>
      </w:r>
      <w:proofErr w:type="gramStart"/>
      <w:r w:rsidR="008E2016">
        <w:rPr>
          <w:b/>
          <w:bCs/>
          <w:lang w:val="en-US"/>
        </w:rPr>
        <w:t>Hyperlink reference not valid.</w:t>
      </w:r>
      <w:r w:rsidR="008E2016">
        <w:rPr>
          <w:rStyle w:val="Hyperlink"/>
        </w:rPr>
        <w:fldChar w:fldCharType="end"/>
      </w:r>
      <w:r>
        <w:rPr>
          <w:rStyle w:val="Hyperlink"/>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65" w:rsidRPr="005F6C8E" w:rsidRDefault="00766165">
    <w:pPr>
      <w:pStyle w:val="Header"/>
    </w:pPr>
    <w:r>
      <w:t>ECE/CEP/2015/L.2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65" w:rsidRPr="005F6C8E" w:rsidRDefault="00766165" w:rsidP="005F6C8E">
    <w:pPr>
      <w:pStyle w:val="Header"/>
      <w:jc w:val="right"/>
    </w:pPr>
    <w:r>
      <w:t>ECE/CEP/2015/L.2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3527CC"/>
    <w:multiLevelType w:val="hybridMultilevel"/>
    <w:tmpl w:val="9DF42314"/>
    <w:lvl w:ilvl="0" w:tplc="CC2E8032">
      <w:start w:val="80"/>
      <w:numFmt w:val="bullet"/>
      <w:lvlText w:val="-"/>
      <w:lvlJc w:val="left"/>
      <w:pPr>
        <w:ind w:left="1500" w:hanging="360"/>
      </w:pPr>
      <w:rPr>
        <w:rFonts w:ascii="Times New Roman" w:eastAsia="Times New Roman" w:hAnsi="Times New Roman"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nsid w:val="08FA1224"/>
    <w:multiLevelType w:val="hybridMultilevel"/>
    <w:tmpl w:val="60D2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740404"/>
    <w:multiLevelType w:val="hybridMultilevel"/>
    <w:tmpl w:val="75BE82DC"/>
    <w:lvl w:ilvl="0" w:tplc="5AD065B6">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nsid w:val="11E238A4"/>
    <w:multiLevelType w:val="hybridMultilevel"/>
    <w:tmpl w:val="E036F556"/>
    <w:lvl w:ilvl="0" w:tplc="9F76E376">
      <w:start w:val="1"/>
      <w:numFmt w:val="upperLetter"/>
      <w:lvlText w:val="%1."/>
      <w:lvlJc w:val="left"/>
      <w:pPr>
        <w:ind w:left="1140" w:hanging="525"/>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6">
    <w:nsid w:val="125B6D3D"/>
    <w:multiLevelType w:val="hybridMultilevel"/>
    <w:tmpl w:val="409AA49C"/>
    <w:lvl w:ilvl="0" w:tplc="50A2EFCE">
      <w:start w:val="75"/>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144039"/>
    <w:multiLevelType w:val="hybridMultilevel"/>
    <w:tmpl w:val="F92CA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614009C"/>
    <w:multiLevelType w:val="hybridMultilevel"/>
    <w:tmpl w:val="E6E0A0EA"/>
    <w:lvl w:ilvl="0" w:tplc="46045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71E6238"/>
    <w:multiLevelType w:val="hybridMultilevel"/>
    <w:tmpl w:val="021E9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E6D43EA"/>
    <w:multiLevelType w:val="hybridMultilevel"/>
    <w:tmpl w:val="ED4C399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0808E5"/>
    <w:multiLevelType w:val="hybridMultilevel"/>
    <w:tmpl w:val="4176DD28"/>
    <w:lvl w:ilvl="0" w:tplc="0409000F">
      <w:start w:val="1"/>
      <w:numFmt w:val="decimal"/>
      <w:pStyle w:val="ListParagrap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34310684"/>
    <w:multiLevelType w:val="hybridMultilevel"/>
    <w:tmpl w:val="6BFAEA32"/>
    <w:lvl w:ilvl="0" w:tplc="08090005">
      <w:start w:val="1"/>
      <w:numFmt w:val="bullet"/>
      <w:lvlText w:val=""/>
      <w:lvlJc w:val="left"/>
      <w:pPr>
        <w:ind w:left="2214" w:hanging="360"/>
      </w:pPr>
      <w:rPr>
        <w:rFonts w:ascii="Wingdings" w:hAnsi="Wingdings"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6F526B1"/>
    <w:multiLevelType w:val="hybridMultilevel"/>
    <w:tmpl w:val="294A41AA"/>
    <w:lvl w:ilvl="0" w:tplc="98E2B23C">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373659D1"/>
    <w:multiLevelType w:val="hybridMultilevel"/>
    <w:tmpl w:val="F0B6FA76"/>
    <w:lvl w:ilvl="0" w:tplc="45ECCB3A">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3F624C3E"/>
    <w:multiLevelType w:val="hybridMultilevel"/>
    <w:tmpl w:val="F84C2892"/>
    <w:lvl w:ilvl="0" w:tplc="5C9C22DE">
      <w:start w:val="3"/>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nsid w:val="408C066F"/>
    <w:multiLevelType w:val="hybridMultilevel"/>
    <w:tmpl w:val="CF64C5B8"/>
    <w:lvl w:ilvl="0" w:tplc="F86275B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nsid w:val="4B4C72F9"/>
    <w:multiLevelType w:val="hybridMultilevel"/>
    <w:tmpl w:val="CC989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9D34B0"/>
    <w:multiLevelType w:val="hybridMultilevel"/>
    <w:tmpl w:val="BF384F32"/>
    <w:lvl w:ilvl="0" w:tplc="9856C9B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9F4360B"/>
    <w:multiLevelType w:val="hybridMultilevel"/>
    <w:tmpl w:val="06FC70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7467A5"/>
    <w:multiLevelType w:val="hybridMultilevel"/>
    <w:tmpl w:val="08AAC190"/>
    <w:lvl w:ilvl="0" w:tplc="D5500ED2">
      <w:start w:val="1"/>
      <w:numFmt w:val="decimal"/>
      <w:lvlText w:val="%1."/>
      <w:lvlJc w:val="left"/>
      <w:pPr>
        <w:ind w:left="14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C967AE"/>
    <w:multiLevelType w:val="hybridMultilevel"/>
    <w:tmpl w:val="7CC4D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EC324B2"/>
    <w:multiLevelType w:val="hybridMultilevel"/>
    <w:tmpl w:val="BEA2BCCE"/>
    <w:lvl w:ilvl="0" w:tplc="F3B4DC52">
      <w:start w:val="1"/>
      <w:numFmt w:val="decimal"/>
      <w:lvlText w:val="%1."/>
      <w:lvlJc w:val="left"/>
      <w:pPr>
        <w:ind w:left="1140" w:hanging="4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nsid w:val="6044645C"/>
    <w:multiLevelType w:val="hybridMultilevel"/>
    <w:tmpl w:val="6680CD9E"/>
    <w:lvl w:ilvl="0" w:tplc="5DDC286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2692020"/>
    <w:multiLevelType w:val="hybridMultilevel"/>
    <w:tmpl w:val="5A48140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6616176F"/>
    <w:multiLevelType w:val="hybridMultilevel"/>
    <w:tmpl w:val="6DEC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9B108D5"/>
    <w:multiLevelType w:val="hybridMultilevel"/>
    <w:tmpl w:val="2B7C9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E0F5C79"/>
    <w:multiLevelType w:val="hybridMultilevel"/>
    <w:tmpl w:val="4C887664"/>
    <w:lvl w:ilvl="0" w:tplc="DB6E96DE">
      <w:start w:val="28"/>
      <w:numFmt w:val="bullet"/>
      <w:lvlText w:val="-"/>
      <w:lvlJc w:val="left"/>
      <w:pPr>
        <w:ind w:left="720" w:hanging="360"/>
      </w:pPr>
      <w:rPr>
        <w:rFonts w:ascii="Times New Roman" w:eastAsia="SimSu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6820F5"/>
    <w:multiLevelType w:val="hybridMultilevel"/>
    <w:tmpl w:val="1E8887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8">
    <w:nsid w:val="7F5126D1"/>
    <w:multiLevelType w:val="hybridMultilevel"/>
    <w:tmpl w:val="B8F4F078"/>
    <w:lvl w:ilvl="0" w:tplc="D8280E8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1"/>
  </w:num>
  <w:num w:numId="13">
    <w:abstractNumId w:val="10"/>
  </w:num>
  <w:num w:numId="14">
    <w:abstractNumId w:val="19"/>
  </w:num>
  <w:num w:numId="15">
    <w:abstractNumId w:val="28"/>
  </w:num>
  <w:num w:numId="16">
    <w:abstractNumId w:val="20"/>
  </w:num>
  <w:num w:numId="17">
    <w:abstractNumId w:val="42"/>
  </w:num>
  <w:num w:numId="18">
    <w:abstractNumId w:val="45"/>
  </w:num>
  <w:num w:numId="19">
    <w:abstractNumId w:val="40"/>
  </w:num>
  <w:num w:numId="20">
    <w:abstractNumId w:val="17"/>
  </w:num>
  <w:num w:numId="21">
    <w:abstractNumId w:val="12"/>
  </w:num>
  <w:num w:numId="22">
    <w:abstractNumId w:val="34"/>
  </w:num>
  <w:num w:numId="23">
    <w:abstractNumId w:val="14"/>
  </w:num>
  <w:num w:numId="24">
    <w:abstractNumId w:val="29"/>
  </w:num>
  <w:num w:numId="25">
    <w:abstractNumId w:val="33"/>
  </w:num>
  <w:num w:numId="26">
    <w:abstractNumId w:val="26"/>
  </w:num>
  <w:num w:numId="27">
    <w:abstractNumId w:val="30"/>
  </w:num>
  <w:num w:numId="28">
    <w:abstractNumId w:val="41"/>
  </w:num>
  <w:num w:numId="29">
    <w:abstractNumId w:val="16"/>
  </w:num>
  <w:num w:numId="30">
    <w:abstractNumId w:val="15"/>
  </w:num>
  <w:num w:numId="31">
    <w:abstractNumId w:val="38"/>
  </w:num>
  <w:num w:numId="32">
    <w:abstractNumId w:val="11"/>
  </w:num>
  <w:num w:numId="33">
    <w:abstractNumId w:val="43"/>
  </w:num>
  <w:num w:numId="34">
    <w:abstractNumId w:val="37"/>
  </w:num>
  <w:num w:numId="35">
    <w:abstractNumId w:val="23"/>
  </w:num>
  <w:num w:numId="36">
    <w:abstractNumId w:val="44"/>
  </w:num>
  <w:num w:numId="37">
    <w:abstractNumId w:val="18"/>
  </w:num>
  <w:num w:numId="38">
    <w:abstractNumId w:val="48"/>
  </w:num>
  <w:num w:numId="39">
    <w:abstractNumId w:val="22"/>
  </w:num>
  <w:num w:numId="40">
    <w:abstractNumId w:val="35"/>
  </w:num>
  <w:num w:numId="41">
    <w:abstractNumId w:val="46"/>
  </w:num>
  <w:num w:numId="42">
    <w:abstractNumId w:val="36"/>
  </w:num>
  <w:num w:numId="43">
    <w:abstractNumId w:val="27"/>
  </w:num>
  <w:num w:numId="44">
    <w:abstractNumId w:val="13"/>
  </w:num>
  <w:num w:numId="45">
    <w:abstractNumId w:val="31"/>
  </w:num>
  <w:num w:numId="46">
    <w:abstractNumId w:val="39"/>
  </w:num>
  <w:num w:numId="47">
    <w:abstractNumId w:val="32"/>
  </w:num>
  <w:num w:numId="48">
    <w:abstractNumId w:val="24"/>
  </w:num>
  <w:num w:numId="49">
    <w:abstractNumId w:val="4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8E"/>
    <w:rsid w:val="00002A7D"/>
    <w:rsid w:val="000038A8"/>
    <w:rsid w:val="00003E71"/>
    <w:rsid w:val="00006790"/>
    <w:rsid w:val="00016B0D"/>
    <w:rsid w:val="00020D00"/>
    <w:rsid w:val="0002187B"/>
    <w:rsid w:val="0002712E"/>
    <w:rsid w:val="00027624"/>
    <w:rsid w:val="00042B9A"/>
    <w:rsid w:val="00044555"/>
    <w:rsid w:val="00047B29"/>
    <w:rsid w:val="0005074D"/>
    <w:rsid w:val="00050E05"/>
    <w:rsid w:val="00050F6B"/>
    <w:rsid w:val="00056605"/>
    <w:rsid w:val="000678CD"/>
    <w:rsid w:val="00070580"/>
    <w:rsid w:val="00072C8C"/>
    <w:rsid w:val="0007726B"/>
    <w:rsid w:val="00081CE0"/>
    <w:rsid w:val="00084D30"/>
    <w:rsid w:val="00090320"/>
    <w:rsid w:val="000931C0"/>
    <w:rsid w:val="000A2E09"/>
    <w:rsid w:val="000B175B"/>
    <w:rsid w:val="000B3A0F"/>
    <w:rsid w:val="000C46A0"/>
    <w:rsid w:val="000D0B4D"/>
    <w:rsid w:val="000D60FF"/>
    <w:rsid w:val="000D7399"/>
    <w:rsid w:val="000E0415"/>
    <w:rsid w:val="000E276C"/>
    <w:rsid w:val="000E4DF9"/>
    <w:rsid w:val="000F7715"/>
    <w:rsid w:val="00101321"/>
    <w:rsid w:val="001112D5"/>
    <w:rsid w:val="001249ED"/>
    <w:rsid w:val="00132960"/>
    <w:rsid w:val="001422D6"/>
    <w:rsid w:val="00150F8D"/>
    <w:rsid w:val="00153E6E"/>
    <w:rsid w:val="00156B99"/>
    <w:rsid w:val="001571C3"/>
    <w:rsid w:val="00162416"/>
    <w:rsid w:val="00163141"/>
    <w:rsid w:val="00166008"/>
    <w:rsid w:val="00166124"/>
    <w:rsid w:val="001769C8"/>
    <w:rsid w:val="001769E8"/>
    <w:rsid w:val="001771EA"/>
    <w:rsid w:val="001772F8"/>
    <w:rsid w:val="00184DDA"/>
    <w:rsid w:val="001900CD"/>
    <w:rsid w:val="00197C2E"/>
    <w:rsid w:val="001A0452"/>
    <w:rsid w:val="001B4B04"/>
    <w:rsid w:val="001B5875"/>
    <w:rsid w:val="001C4B9C"/>
    <w:rsid w:val="001C5C91"/>
    <w:rsid w:val="001C6663"/>
    <w:rsid w:val="001C7895"/>
    <w:rsid w:val="001D03E4"/>
    <w:rsid w:val="001D26DF"/>
    <w:rsid w:val="001E2173"/>
    <w:rsid w:val="001E4122"/>
    <w:rsid w:val="001E7C6C"/>
    <w:rsid w:val="001F1599"/>
    <w:rsid w:val="001F19C4"/>
    <w:rsid w:val="001F5A46"/>
    <w:rsid w:val="002043F0"/>
    <w:rsid w:val="0021000C"/>
    <w:rsid w:val="002105CC"/>
    <w:rsid w:val="00211E0B"/>
    <w:rsid w:val="002160D3"/>
    <w:rsid w:val="002162BE"/>
    <w:rsid w:val="00221811"/>
    <w:rsid w:val="00230EFC"/>
    <w:rsid w:val="00232575"/>
    <w:rsid w:val="002340A8"/>
    <w:rsid w:val="00247258"/>
    <w:rsid w:val="00255001"/>
    <w:rsid w:val="00257CAC"/>
    <w:rsid w:val="0026187B"/>
    <w:rsid w:val="0027237A"/>
    <w:rsid w:val="002760FF"/>
    <w:rsid w:val="00290650"/>
    <w:rsid w:val="002974E9"/>
    <w:rsid w:val="002A7F94"/>
    <w:rsid w:val="002A7FD2"/>
    <w:rsid w:val="002B0F5B"/>
    <w:rsid w:val="002B109A"/>
    <w:rsid w:val="002B35F1"/>
    <w:rsid w:val="002C354D"/>
    <w:rsid w:val="002C4F55"/>
    <w:rsid w:val="002C5004"/>
    <w:rsid w:val="002C6D45"/>
    <w:rsid w:val="002D36C1"/>
    <w:rsid w:val="002D6615"/>
    <w:rsid w:val="002D6E53"/>
    <w:rsid w:val="002E0253"/>
    <w:rsid w:val="002F046D"/>
    <w:rsid w:val="002F2291"/>
    <w:rsid w:val="002F72C8"/>
    <w:rsid w:val="003008D9"/>
    <w:rsid w:val="00301764"/>
    <w:rsid w:val="00301CA5"/>
    <w:rsid w:val="0031458B"/>
    <w:rsid w:val="00317DD1"/>
    <w:rsid w:val="00321524"/>
    <w:rsid w:val="003225F7"/>
    <w:rsid w:val="003229D8"/>
    <w:rsid w:val="0032409B"/>
    <w:rsid w:val="00330FD0"/>
    <w:rsid w:val="003315FF"/>
    <w:rsid w:val="003327D3"/>
    <w:rsid w:val="00336C97"/>
    <w:rsid w:val="003372AA"/>
    <w:rsid w:val="003376CB"/>
    <w:rsid w:val="00337F88"/>
    <w:rsid w:val="00340F30"/>
    <w:rsid w:val="00342432"/>
    <w:rsid w:val="00347945"/>
    <w:rsid w:val="0035223F"/>
    <w:rsid w:val="00352D4B"/>
    <w:rsid w:val="00354667"/>
    <w:rsid w:val="00354D10"/>
    <w:rsid w:val="0035638C"/>
    <w:rsid w:val="003669DD"/>
    <w:rsid w:val="003672C4"/>
    <w:rsid w:val="00377A6E"/>
    <w:rsid w:val="00384CDD"/>
    <w:rsid w:val="00393AC4"/>
    <w:rsid w:val="00396708"/>
    <w:rsid w:val="003A0821"/>
    <w:rsid w:val="003A36C6"/>
    <w:rsid w:val="003A46BB"/>
    <w:rsid w:val="003A4EC7"/>
    <w:rsid w:val="003A7295"/>
    <w:rsid w:val="003B1F60"/>
    <w:rsid w:val="003C0AB2"/>
    <w:rsid w:val="003C13C0"/>
    <w:rsid w:val="003C2CC4"/>
    <w:rsid w:val="003D4B23"/>
    <w:rsid w:val="003E0A4A"/>
    <w:rsid w:val="003E248A"/>
    <w:rsid w:val="003E278A"/>
    <w:rsid w:val="003E6EFB"/>
    <w:rsid w:val="003E7B4F"/>
    <w:rsid w:val="003E7C8C"/>
    <w:rsid w:val="003F2249"/>
    <w:rsid w:val="003F29A0"/>
    <w:rsid w:val="003F3F9C"/>
    <w:rsid w:val="00413520"/>
    <w:rsid w:val="004216F6"/>
    <w:rsid w:val="004325CB"/>
    <w:rsid w:val="00440A07"/>
    <w:rsid w:val="004420FB"/>
    <w:rsid w:val="00446F54"/>
    <w:rsid w:val="00462880"/>
    <w:rsid w:val="00464C0F"/>
    <w:rsid w:val="00476F24"/>
    <w:rsid w:val="00477600"/>
    <w:rsid w:val="0048660C"/>
    <w:rsid w:val="0049311E"/>
    <w:rsid w:val="00497206"/>
    <w:rsid w:val="004A4AD8"/>
    <w:rsid w:val="004B266A"/>
    <w:rsid w:val="004B29C9"/>
    <w:rsid w:val="004B3E90"/>
    <w:rsid w:val="004C538B"/>
    <w:rsid w:val="004C55B0"/>
    <w:rsid w:val="004E4580"/>
    <w:rsid w:val="004F4063"/>
    <w:rsid w:val="004F488D"/>
    <w:rsid w:val="004F6BA0"/>
    <w:rsid w:val="00503BEA"/>
    <w:rsid w:val="00511975"/>
    <w:rsid w:val="005145F1"/>
    <w:rsid w:val="00533616"/>
    <w:rsid w:val="00535ABA"/>
    <w:rsid w:val="0053768B"/>
    <w:rsid w:val="005402A4"/>
    <w:rsid w:val="005420F2"/>
    <w:rsid w:val="0054285C"/>
    <w:rsid w:val="0055011B"/>
    <w:rsid w:val="00552100"/>
    <w:rsid w:val="00553A3C"/>
    <w:rsid w:val="00561107"/>
    <w:rsid w:val="0056748E"/>
    <w:rsid w:val="00576302"/>
    <w:rsid w:val="00577425"/>
    <w:rsid w:val="00584173"/>
    <w:rsid w:val="00586503"/>
    <w:rsid w:val="00595520"/>
    <w:rsid w:val="005A25EB"/>
    <w:rsid w:val="005A44B9"/>
    <w:rsid w:val="005B1BA0"/>
    <w:rsid w:val="005B3DB3"/>
    <w:rsid w:val="005B7E8D"/>
    <w:rsid w:val="005C2E8A"/>
    <w:rsid w:val="005D15CA"/>
    <w:rsid w:val="005D7560"/>
    <w:rsid w:val="005E1C2B"/>
    <w:rsid w:val="005F063D"/>
    <w:rsid w:val="005F3066"/>
    <w:rsid w:val="005F3E61"/>
    <w:rsid w:val="005F48C8"/>
    <w:rsid w:val="005F6C8E"/>
    <w:rsid w:val="006017BD"/>
    <w:rsid w:val="00604DDD"/>
    <w:rsid w:val="006115CC"/>
    <w:rsid w:val="00611FC4"/>
    <w:rsid w:val="006122F8"/>
    <w:rsid w:val="00612866"/>
    <w:rsid w:val="006141E2"/>
    <w:rsid w:val="006176FB"/>
    <w:rsid w:val="00617FCF"/>
    <w:rsid w:val="00630FCB"/>
    <w:rsid w:val="00631E23"/>
    <w:rsid w:val="00640B26"/>
    <w:rsid w:val="0064650F"/>
    <w:rsid w:val="00646705"/>
    <w:rsid w:val="006503C8"/>
    <w:rsid w:val="00652F03"/>
    <w:rsid w:val="006731C3"/>
    <w:rsid w:val="00675CDE"/>
    <w:rsid w:val="006770B2"/>
    <w:rsid w:val="00683335"/>
    <w:rsid w:val="006859E2"/>
    <w:rsid w:val="006940E1"/>
    <w:rsid w:val="006A3605"/>
    <w:rsid w:val="006A3C72"/>
    <w:rsid w:val="006A7392"/>
    <w:rsid w:val="006B03A1"/>
    <w:rsid w:val="006B0473"/>
    <w:rsid w:val="006B67D9"/>
    <w:rsid w:val="006C309E"/>
    <w:rsid w:val="006C5535"/>
    <w:rsid w:val="006D0589"/>
    <w:rsid w:val="006E4FB9"/>
    <w:rsid w:val="006E564B"/>
    <w:rsid w:val="006E7154"/>
    <w:rsid w:val="007003CD"/>
    <w:rsid w:val="0070326D"/>
    <w:rsid w:val="00704543"/>
    <w:rsid w:val="0070701E"/>
    <w:rsid w:val="00722A28"/>
    <w:rsid w:val="007261E3"/>
    <w:rsid w:val="0072632A"/>
    <w:rsid w:val="00730F0B"/>
    <w:rsid w:val="00733237"/>
    <w:rsid w:val="00733FAA"/>
    <w:rsid w:val="007358E8"/>
    <w:rsid w:val="00736ECE"/>
    <w:rsid w:val="00742EDA"/>
    <w:rsid w:val="0074533B"/>
    <w:rsid w:val="0075504E"/>
    <w:rsid w:val="007643BC"/>
    <w:rsid w:val="00766165"/>
    <w:rsid w:val="00775F87"/>
    <w:rsid w:val="00795611"/>
    <w:rsid w:val="007959FE"/>
    <w:rsid w:val="007A0CF1"/>
    <w:rsid w:val="007A13AB"/>
    <w:rsid w:val="007B1B92"/>
    <w:rsid w:val="007B6BA5"/>
    <w:rsid w:val="007C121B"/>
    <w:rsid w:val="007C3390"/>
    <w:rsid w:val="007C391A"/>
    <w:rsid w:val="007C42D8"/>
    <w:rsid w:val="007C4F4B"/>
    <w:rsid w:val="007D4FC9"/>
    <w:rsid w:val="007D7362"/>
    <w:rsid w:val="007E6535"/>
    <w:rsid w:val="007F5CE2"/>
    <w:rsid w:val="007F6611"/>
    <w:rsid w:val="00805F8B"/>
    <w:rsid w:val="00810BAC"/>
    <w:rsid w:val="008151CA"/>
    <w:rsid w:val="008175E9"/>
    <w:rsid w:val="008242D7"/>
    <w:rsid w:val="0082474F"/>
    <w:rsid w:val="00824F08"/>
    <w:rsid w:val="0082577B"/>
    <w:rsid w:val="00833B80"/>
    <w:rsid w:val="00841760"/>
    <w:rsid w:val="0086163F"/>
    <w:rsid w:val="00866893"/>
    <w:rsid w:val="00866F02"/>
    <w:rsid w:val="00867D18"/>
    <w:rsid w:val="00871F9A"/>
    <w:rsid w:val="00871FD5"/>
    <w:rsid w:val="00873774"/>
    <w:rsid w:val="0088172E"/>
    <w:rsid w:val="00881EFA"/>
    <w:rsid w:val="00882755"/>
    <w:rsid w:val="008879CB"/>
    <w:rsid w:val="008979B1"/>
    <w:rsid w:val="008A031A"/>
    <w:rsid w:val="008A16B2"/>
    <w:rsid w:val="008A6B25"/>
    <w:rsid w:val="008A6C4F"/>
    <w:rsid w:val="008B389E"/>
    <w:rsid w:val="008C3959"/>
    <w:rsid w:val="008C77C6"/>
    <w:rsid w:val="008D045E"/>
    <w:rsid w:val="008D164A"/>
    <w:rsid w:val="008D3F25"/>
    <w:rsid w:val="008D4D82"/>
    <w:rsid w:val="008D50C5"/>
    <w:rsid w:val="008E0E46"/>
    <w:rsid w:val="008E2016"/>
    <w:rsid w:val="008E3531"/>
    <w:rsid w:val="008E514A"/>
    <w:rsid w:val="008E7116"/>
    <w:rsid w:val="008F143B"/>
    <w:rsid w:val="008F3882"/>
    <w:rsid w:val="008F4B7C"/>
    <w:rsid w:val="00905556"/>
    <w:rsid w:val="009071D6"/>
    <w:rsid w:val="00926E47"/>
    <w:rsid w:val="009403BD"/>
    <w:rsid w:val="00944E92"/>
    <w:rsid w:val="009458A8"/>
    <w:rsid w:val="009464A0"/>
    <w:rsid w:val="00947162"/>
    <w:rsid w:val="009610D0"/>
    <w:rsid w:val="0096375C"/>
    <w:rsid w:val="009662E6"/>
    <w:rsid w:val="00966A3B"/>
    <w:rsid w:val="0097055B"/>
    <w:rsid w:val="0097095E"/>
    <w:rsid w:val="00971FB4"/>
    <w:rsid w:val="00980ECA"/>
    <w:rsid w:val="00984D27"/>
    <w:rsid w:val="0098592B"/>
    <w:rsid w:val="00985FC4"/>
    <w:rsid w:val="00990766"/>
    <w:rsid w:val="00991261"/>
    <w:rsid w:val="009964C4"/>
    <w:rsid w:val="009A1D27"/>
    <w:rsid w:val="009A7B81"/>
    <w:rsid w:val="009B7301"/>
    <w:rsid w:val="009D01C0"/>
    <w:rsid w:val="009D4B2A"/>
    <w:rsid w:val="009D6A08"/>
    <w:rsid w:val="009D7DAE"/>
    <w:rsid w:val="009E0A16"/>
    <w:rsid w:val="009E6CB7"/>
    <w:rsid w:val="009E7970"/>
    <w:rsid w:val="009F2EAC"/>
    <w:rsid w:val="009F57E3"/>
    <w:rsid w:val="00A0023A"/>
    <w:rsid w:val="00A014D2"/>
    <w:rsid w:val="00A10F4F"/>
    <w:rsid w:val="00A11067"/>
    <w:rsid w:val="00A135CF"/>
    <w:rsid w:val="00A14F2D"/>
    <w:rsid w:val="00A16270"/>
    <w:rsid w:val="00A1704A"/>
    <w:rsid w:val="00A30ABC"/>
    <w:rsid w:val="00A34B4F"/>
    <w:rsid w:val="00A362CE"/>
    <w:rsid w:val="00A425EB"/>
    <w:rsid w:val="00A50B20"/>
    <w:rsid w:val="00A51983"/>
    <w:rsid w:val="00A60108"/>
    <w:rsid w:val="00A656CF"/>
    <w:rsid w:val="00A72F22"/>
    <w:rsid w:val="00A733BC"/>
    <w:rsid w:val="00A748A6"/>
    <w:rsid w:val="00A75773"/>
    <w:rsid w:val="00A76A69"/>
    <w:rsid w:val="00A879A4"/>
    <w:rsid w:val="00A91F70"/>
    <w:rsid w:val="00AA0FF8"/>
    <w:rsid w:val="00AA5640"/>
    <w:rsid w:val="00AB202D"/>
    <w:rsid w:val="00AB412F"/>
    <w:rsid w:val="00AB638B"/>
    <w:rsid w:val="00AB6C87"/>
    <w:rsid w:val="00AC0F2C"/>
    <w:rsid w:val="00AC1D47"/>
    <w:rsid w:val="00AC502A"/>
    <w:rsid w:val="00AC695E"/>
    <w:rsid w:val="00AD3215"/>
    <w:rsid w:val="00AD3233"/>
    <w:rsid w:val="00AE3542"/>
    <w:rsid w:val="00AF2623"/>
    <w:rsid w:val="00AF58C1"/>
    <w:rsid w:val="00B04A3F"/>
    <w:rsid w:val="00B06643"/>
    <w:rsid w:val="00B15055"/>
    <w:rsid w:val="00B231D2"/>
    <w:rsid w:val="00B30179"/>
    <w:rsid w:val="00B31043"/>
    <w:rsid w:val="00B35B5B"/>
    <w:rsid w:val="00B37B15"/>
    <w:rsid w:val="00B40388"/>
    <w:rsid w:val="00B403DC"/>
    <w:rsid w:val="00B45C02"/>
    <w:rsid w:val="00B57A46"/>
    <w:rsid w:val="00B72A1E"/>
    <w:rsid w:val="00B72A99"/>
    <w:rsid w:val="00B74E6F"/>
    <w:rsid w:val="00B808B1"/>
    <w:rsid w:val="00B81E12"/>
    <w:rsid w:val="00B8667E"/>
    <w:rsid w:val="00BA125B"/>
    <w:rsid w:val="00BA2F0C"/>
    <w:rsid w:val="00BA339B"/>
    <w:rsid w:val="00BA3954"/>
    <w:rsid w:val="00BA3C5D"/>
    <w:rsid w:val="00BA4F83"/>
    <w:rsid w:val="00BB1398"/>
    <w:rsid w:val="00BB37BB"/>
    <w:rsid w:val="00BC1E7E"/>
    <w:rsid w:val="00BC2DE1"/>
    <w:rsid w:val="00BC5A5A"/>
    <w:rsid w:val="00BC74E9"/>
    <w:rsid w:val="00BC7F91"/>
    <w:rsid w:val="00BD10C9"/>
    <w:rsid w:val="00BE36A9"/>
    <w:rsid w:val="00BE618E"/>
    <w:rsid w:val="00BE7BEC"/>
    <w:rsid w:val="00BF0A5A"/>
    <w:rsid w:val="00BF0E63"/>
    <w:rsid w:val="00BF12A3"/>
    <w:rsid w:val="00BF16D7"/>
    <w:rsid w:val="00BF2373"/>
    <w:rsid w:val="00C03F86"/>
    <w:rsid w:val="00C044E2"/>
    <w:rsid w:val="00C047A8"/>
    <w:rsid w:val="00C048CB"/>
    <w:rsid w:val="00C066F3"/>
    <w:rsid w:val="00C27641"/>
    <w:rsid w:val="00C30CD9"/>
    <w:rsid w:val="00C32E32"/>
    <w:rsid w:val="00C3338D"/>
    <w:rsid w:val="00C33FA0"/>
    <w:rsid w:val="00C415F0"/>
    <w:rsid w:val="00C463DD"/>
    <w:rsid w:val="00C542D8"/>
    <w:rsid w:val="00C56908"/>
    <w:rsid w:val="00C63369"/>
    <w:rsid w:val="00C63E44"/>
    <w:rsid w:val="00C7308F"/>
    <w:rsid w:val="00C745C3"/>
    <w:rsid w:val="00C750DD"/>
    <w:rsid w:val="00C84D21"/>
    <w:rsid w:val="00C8584C"/>
    <w:rsid w:val="00C86A6F"/>
    <w:rsid w:val="00C87002"/>
    <w:rsid w:val="00C96D3E"/>
    <w:rsid w:val="00CA24A4"/>
    <w:rsid w:val="00CA419E"/>
    <w:rsid w:val="00CA61F5"/>
    <w:rsid w:val="00CA69FF"/>
    <w:rsid w:val="00CB0903"/>
    <w:rsid w:val="00CB348D"/>
    <w:rsid w:val="00CC4DE6"/>
    <w:rsid w:val="00CC7D1A"/>
    <w:rsid w:val="00CC7FAC"/>
    <w:rsid w:val="00CD2B4C"/>
    <w:rsid w:val="00CD2D82"/>
    <w:rsid w:val="00CD3C32"/>
    <w:rsid w:val="00CD46F5"/>
    <w:rsid w:val="00CE4A8F"/>
    <w:rsid w:val="00CF071D"/>
    <w:rsid w:val="00CF1355"/>
    <w:rsid w:val="00D011EF"/>
    <w:rsid w:val="00D06A8E"/>
    <w:rsid w:val="00D15B04"/>
    <w:rsid w:val="00D2031B"/>
    <w:rsid w:val="00D25FE2"/>
    <w:rsid w:val="00D37DA9"/>
    <w:rsid w:val="00D406A7"/>
    <w:rsid w:val="00D43252"/>
    <w:rsid w:val="00D44D86"/>
    <w:rsid w:val="00D50B7D"/>
    <w:rsid w:val="00D52012"/>
    <w:rsid w:val="00D54DD6"/>
    <w:rsid w:val="00D56B2D"/>
    <w:rsid w:val="00D61275"/>
    <w:rsid w:val="00D65CAD"/>
    <w:rsid w:val="00D704E5"/>
    <w:rsid w:val="00D72727"/>
    <w:rsid w:val="00D75D65"/>
    <w:rsid w:val="00D91EF3"/>
    <w:rsid w:val="00D9732E"/>
    <w:rsid w:val="00D978C6"/>
    <w:rsid w:val="00DA041C"/>
    <w:rsid w:val="00DA0956"/>
    <w:rsid w:val="00DA101F"/>
    <w:rsid w:val="00DA357F"/>
    <w:rsid w:val="00DA3E12"/>
    <w:rsid w:val="00DB59C3"/>
    <w:rsid w:val="00DB5DAA"/>
    <w:rsid w:val="00DC0658"/>
    <w:rsid w:val="00DC18AD"/>
    <w:rsid w:val="00DD5D8B"/>
    <w:rsid w:val="00DE1596"/>
    <w:rsid w:val="00DE35A7"/>
    <w:rsid w:val="00DE3B87"/>
    <w:rsid w:val="00DE71E6"/>
    <w:rsid w:val="00DF1733"/>
    <w:rsid w:val="00DF7CAE"/>
    <w:rsid w:val="00E07331"/>
    <w:rsid w:val="00E2226E"/>
    <w:rsid w:val="00E27CAD"/>
    <w:rsid w:val="00E423C0"/>
    <w:rsid w:val="00E43287"/>
    <w:rsid w:val="00E6414C"/>
    <w:rsid w:val="00E7260F"/>
    <w:rsid w:val="00E74BEB"/>
    <w:rsid w:val="00E85086"/>
    <w:rsid w:val="00E8592C"/>
    <w:rsid w:val="00E86FB7"/>
    <w:rsid w:val="00E8702D"/>
    <w:rsid w:val="00E90FA1"/>
    <w:rsid w:val="00E916A9"/>
    <w:rsid w:val="00E916DE"/>
    <w:rsid w:val="00E925AD"/>
    <w:rsid w:val="00E94AB0"/>
    <w:rsid w:val="00E96630"/>
    <w:rsid w:val="00EB56B4"/>
    <w:rsid w:val="00EC46D9"/>
    <w:rsid w:val="00ED18DC"/>
    <w:rsid w:val="00ED6201"/>
    <w:rsid w:val="00ED625C"/>
    <w:rsid w:val="00ED7A2A"/>
    <w:rsid w:val="00EE11A9"/>
    <w:rsid w:val="00EE597E"/>
    <w:rsid w:val="00EE5E78"/>
    <w:rsid w:val="00EF1D7F"/>
    <w:rsid w:val="00EF4E00"/>
    <w:rsid w:val="00EF74D1"/>
    <w:rsid w:val="00F0137E"/>
    <w:rsid w:val="00F04F9C"/>
    <w:rsid w:val="00F05C87"/>
    <w:rsid w:val="00F21786"/>
    <w:rsid w:val="00F21DAD"/>
    <w:rsid w:val="00F25B7B"/>
    <w:rsid w:val="00F31969"/>
    <w:rsid w:val="00F3742B"/>
    <w:rsid w:val="00F406DE"/>
    <w:rsid w:val="00F41FDB"/>
    <w:rsid w:val="00F47656"/>
    <w:rsid w:val="00F507EC"/>
    <w:rsid w:val="00F52E55"/>
    <w:rsid w:val="00F56D63"/>
    <w:rsid w:val="00F57EE7"/>
    <w:rsid w:val="00F609A9"/>
    <w:rsid w:val="00F613B0"/>
    <w:rsid w:val="00F615FE"/>
    <w:rsid w:val="00F6356D"/>
    <w:rsid w:val="00F66E7B"/>
    <w:rsid w:val="00F80672"/>
    <w:rsid w:val="00F80C99"/>
    <w:rsid w:val="00F867EC"/>
    <w:rsid w:val="00F91B2B"/>
    <w:rsid w:val="00F94694"/>
    <w:rsid w:val="00F95AB1"/>
    <w:rsid w:val="00F96FBD"/>
    <w:rsid w:val="00F97BA9"/>
    <w:rsid w:val="00FA2CB7"/>
    <w:rsid w:val="00FA6F27"/>
    <w:rsid w:val="00FC03CD"/>
    <w:rsid w:val="00FC0646"/>
    <w:rsid w:val="00FC68B7"/>
    <w:rsid w:val="00FD7BF8"/>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E925AD"/>
    <w:pPr>
      <w:numPr>
        <w:numId w:val="21"/>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1"/>
      </w:numPr>
      <w:spacing w:line="240" w:lineRule="auto"/>
      <w:outlineLvl w:val="1"/>
    </w:pPr>
  </w:style>
  <w:style w:type="paragraph" w:styleId="Heading3">
    <w:name w:val="heading 3"/>
    <w:basedOn w:val="Normal"/>
    <w:next w:val="Normal"/>
    <w:link w:val="Heading3Char"/>
    <w:uiPriority w:val="9"/>
    <w:qFormat/>
    <w:rsid w:val="00E925AD"/>
    <w:pPr>
      <w:numPr>
        <w:ilvl w:val="2"/>
        <w:numId w:val="21"/>
      </w:numPr>
      <w:spacing w:line="240" w:lineRule="auto"/>
      <w:outlineLvl w:val="2"/>
    </w:pPr>
  </w:style>
  <w:style w:type="paragraph" w:styleId="Heading4">
    <w:name w:val="heading 4"/>
    <w:basedOn w:val="Normal"/>
    <w:next w:val="Normal"/>
    <w:qFormat/>
    <w:rsid w:val="00E925AD"/>
    <w:pPr>
      <w:numPr>
        <w:ilvl w:val="3"/>
        <w:numId w:val="21"/>
      </w:numPr>
      <w:spacing w:line="240" w:lineRule="auto"/>
      <w:outlineLvl w:val="3"/>
    </w:pPr>
  </w:style>
  <w:style w:type="paragraph" w:styleId="Heading5">
    <w:name w:val="heading 5"/>
    <w:basedOn w:val="Normal"/>
    <w:next w:val="Normal"/>
    <w:qFormat/>
    <w:rsid w:val="00E925AD"/>
    <w:pPr>
      <w:numPr>
        <w:ilvl w:val="4"/>
        <w:numId w:val="21"/>
      </w:numPr>
      <w:spacing w:line="240" w:lineRule="auto"/>
      <w:outlineLvl w:val="4"/>
    </w:pPr>
  </w:style>
  <w:style w:type="paragraph" w:styleId="Heading6">
    <w:name w:val="heading 6"/>
    <w:basedOn w:val="Normal"/>
    <w:next w:val="Normal"/>
    <w:qFormat/>
    <w:rsid w:val="00E925AD"/>
    <w:pPr>
      <w:numPr>
        <w:ilvl w:val="5"/>
        <w:numId w:val="21"/>
      </w:numPr>
      <w:spacing w:line="240" w:lineRule="auto"/>
      <w:outlineLvl w:val="5"/>
    </w:pPr>
  </w:style>
  <w:style w:type="paragraph" w:styleId="Heading7">
    <w:name w:val="heading 7"/>
    <w:basedOn w:val="Normal"/>
    <w:next w:val="Normal"/>
    <w:qFormat/>
    <w:rsid w:val="00E925AD"/>
    <w:pPr>
      <w:numPr>
        <w:ilvl w:val="6"/>
        <w:numId w:val="21"/>
      </w:numPr>
      <w:spacing w:line="240" w:lineRule="auto"/>
      <w:outlineLvl w:val="6"/>
    </w:pPr>
  </w:style>
  <w:style w:type="paragraph" w:styleId="Heading8">
    <w:name w:val="heading 8"/>
    <w:basedOn w:val="Normal"/>
    <w:next w:val="Normal"/>
    <w:qFormat/>
    <w:rsid w:val="00E925AD"/>
    <w:pPr>
      <w:numPr>
        <w:ilvl w:val="7"/>
        <w:numId w:val="21"/>
      </w:numPr>
      <w:spacing w:line="240" w:lineRule="auto"/>
      <w:outlineLvl w:val="7"/>
    </w:pPr>
  </w:style>
  <w:style w:type="paragraph" w:styleId="Heading9">
    <w:name w:val="heading 9"/>
    <w:basedOn w:val="Normal"/>
    <w:next w:val="Normal"/>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uiPriority w:val="99"/>
    <w:rsid w:val="005F6C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F6C8E"/>
    <w:rPr>
      <w:rFonts w:ascii="Tahoma" w:hAnsi="Tahoma" w:cs="Tahoma"/>
      <w:sz w:val="16"/>
      <w:szCs w:val="16"/>
      <w:lang w:eastAsia="en-US"/>
    </w:rPr>
  </w:style>
  <w:style w:type="paragraph" w:styleId="PlainText">
    <w:name w:val="Plain Text"/>
    <w:basedOn w:val="Normal"/>
    <w:link w:val="PlainTextChar"/>
    <w:rsid w:val="005F6C8E"/>
    <w:rPr>
      <w:rFonts w:cs="Courier New"/>
    </w:rPr>
  </w:style>
  <w:style w:type="character" w:customStyle="1" w:styleId="PlainTextChar">
    <w:name w:val="Plain Text Char"/>
    <w:basedOn w:val="DefaultParagraphFont"/>
    <w:link w:val="PlainText"/>
    <w:rsid w:val="005F6C8E"/>
    <w:rPr>
      <w:rFonts w:cs="Courier New"/>
      <w:lang w:eastAsia="en-US"/>
    </w:rPr>
  </w:style>
  <w:style w:type="paragraph" w:styleId="BodyText">
    <w:name w:val="Body Text"/>
    <w:basedOn w:val="Normal"/>
    <w:next w:val="Normal"/>
    <w:link w:val="BodyTextChar"/>
    <w:rsid w:val="005F6C8E"/>
  </w:style>
  <w:style w:type="character" w:customStyle="1" w:styleId="BodyTextChar">
    <w:name w:val="Body Text Char"/>
    <w:basedOn w:val="DefaultParagraphFont"/>
    <w:link w:val="BodyText"/>
    <w:rsid w:val="005F6C8E"/>
    <w:rPr>
      <w:lang w:eastAsia="en-US"/>
    </w:rPr>
  </w:style>
  <w:style w:type="paragraph" w:styleId="BodyTextIndent">
    <w:name w:val="Body Text Indent"/>
    <w:basedOn w:val="Normal"/>
    <w:link w:val="BodyTextIndentChar"/>
    <w:rsid w:val="005F6C8E"/>
    <w:pPr>
      <w:spacing w:after="120"/>
      <w:ind w:left="283"/>
    </w:pPr>
  </w:style>
  <w:style w:type="character" w:customStyle="1" w:styleId="BodyTextIndentChar">
    <w:name w:val="Body Text Indent Char"/>
    <w:basedOn w:val="DefaultParagraphFont"/>
    <w:link w:val="BodyTextIndent"/>
    <w:rsid w:val="005F6C8E"/>
    <w:rPr>
      <w:lang w:eastAsia="en-US"/>
    </w:rPr>
  </w:style>
  <w:style w:type="paragraph" w:styleId="BlockText">
    <w:name w:val="Block Text"/>
    <w:basedOn w:val="Normal"/>
    <w:rsid w:val="005F6C8E"/>
    <w:pPr>
      <w:ind w:left="1440" w:right="1440"/>
    </w:pPr>
  </w:style>
  <w:style w:type="character" w:styleId="CommentReference">
    <w:name w:val="annotation reference"/>
    <w:uiPriority w:val="99"/>
    <w:rsid w:val="005F6C8E"/>
    <w:rPr>
      <w:sz w:val="6"/>
    </w:rPr>
  </w:style>
  <w:style w:type="paragraph" w:styleId="CommentText">
    <w:name w:val="annotation text"/>
    <w:basedOn w:val="Normal"/>
    <w:link w:val="CommentTextChar1"/>
    <w:uiPriority w:val="99"/>
    <w:rsid w:val="005F6C8E"/>
  </w:style>
  <w:style w:type="character" w:customStyle="1" w:styleId="CommentTextChar">
    <w:name w:val="Comment Text Char"/>
    <w:basedOn w:val="DefaultParagraphFont"/>
    <w:uiPriority w:val="99"/>
    <w:rsid w:val="005F6C8E"/>
    <w:rPr>
      <w:lang w:eastAsia="en-US"/>
    </w:rPr>
  </w:style>
  <w:style w:type="character" w:styleId="LineNumber">
    <w:name w:val="line number"/>
    <w:rsid w:val="005F6C8E"/>
    <w:rPr>
      <w:sz w:val="14"/>
    </w:rPr>
  </w:style>
  <w:style w:type="numbering" w:styleId="111111">
    <w:name w:val="Outline List 2"/>
    <w:basedOn w:val="NoList"/>
    <w:rsid w:val="005F6C8E"/>
    <w:pPr>
      <w:numPr>
        <w:numId w:val="19"/>
      </w:numPr>
    </w:pPr>
  </w:style>
  <w:style w:type="numbering" w:styleId="1ai">
    <w:name w:val="Outline List 1"/>
    <w:basedOn w:val="NoList"/>
    <w:rsid w:val="005F6C8E"/>
    <w:pPr>
      <w:numPr>
        <w:numId w:val="20"/>
      </w:numPr>
    </w:pPr>
  </w:style>
  <w:style w:type="numbering" w:styleId="ArticleSection">
    <w:name w:val="Outline List 3"/>
    <w:basedOn w:val="NoList"/>
    <w:rsid w:val="005F6C8E"/>
    <w:pPr>
      <w:numPr>
        <w:numId w:val="21"/>
      </w:numPr>
    </w:pPr>
  </w:style>
  <w:style w:type="paragraph" w:styleId="BodyText2">
    <w:name w:val="Body Text 2"/>
    <w:basedOn w:val="Normal"/>
    <w:link w:val="BodyText2Char"/>
    <w:rsid w:val="005F6C8E"/>
    <w:pPr>
      <w:spacing w:after="120" w:line="480" w:lineRule="auto"/>
    </w:pPr>
  </w:style>
  <w:style w:type="character" w:customStyle="1" w:styleId="BodyText2Char">
    <w:name w:val="Body Text 2 Char"/>
    <w:basedOn w:val="DefaultParagraphFont"/>
    <w:link w:val="BodyText2"/>
    <w:rsid w:val="005F6C8E"/>
    <w:rPr>
      <w:lang w:eastAsia="en-US"/>
    </w:rPr>
  </w:style>
  <w:style w:type="paragraph" w:styleId="BodyText3">
    <w:name w:val="Body Text 3"/>
    <w:basedOn w:val="Normal"/>
    <w:link w:val="BodyText3Char"/>
    <w:rsid w:val="005F6C8E"/>
    <w:pPr>
      <w:spacing w:after="120"/>
    </w:pPr>
    <w:rPr>
      <w:sz w:val="16"/>
      <w:szCs w:val="16"/>
    </w:rPr>
  </w:style>
  <w:style w:type="character" w:customStyle="1" w:styleId="BodyText3Char">
    <w:name w:val="Body Text 3 Char"/>
    <w:basedOn w:val="DefaultParagraphFont"/>
    <w:link w:val="BodyText3"/>
    <w:rsid w:val="005F6C8E"/>
    <w:rPr>
      <w:sz w:val="16"/>
      <w:szCs w:val="16"/>
      <w:lang w:eastAsia="en-US"/>
    </w:rPr>
  </w:style>
  <w:style w:type="paragraph" w:styleId="BodyTextFirstIndent">
    <w:name w:val="Body Text First Indent"/>
    <w:basedOn w:val="BodyText"/>
    <w:link w:val="BodyTextFirstIndentChar"/>
    <w:rsid w:val="005F6C8E"/>
    <w:pPr>
      <w:spacing w:after="120"/>
      <w:ind w:firstLine="210"/>
    </w:pPr>
  </w:style>
  <w:style w:type="character" w:customStyle="1" w:styleId="BodyTextFirstIndentChar">
    <w:name w:val="Body Text First Indent Char"/>
    <w:basedOn w:val="BodyTextChar"/>
    <w:link w:val="BodyTextFirstIndent"/>
    <w:rsid w:val="005F6C8E"/>
    <w:rPr>
      <w:lang w:eastAsia="en-US"/>
    </w:rPr>
  </w:style>
  <w:style w:type="paragraph" w:styleId="BodyTextFirstIndent2">
    <w:name w:val="Body Text First Indent 2"/>
    <w:basedOn w:val="BodyTextIndent"/>
    <w:link w:val="BodyTextFirstIndent2Char"/>
    <w:rsid w:val="005F6C8E"/>
    <w:pPr>
      <w:ind w:firstLine="210"/>
    </w:pPr>
  </w:style>
  <w:style w:type="character" w:customStyle="1" w:styleId="BodyTextFirstIndent2Char">
    <w:name w:val="Body Text First Indent 2 Char"/>
    <w:basedOn w:val="BodyTextIndentChar"/>
    <w:link w:val="BodyTextFirstIndent2"/>
    <w:rsid w:val="005F6C8E"/>
    <w:rPr>
      <w:lang w:eastAsia="en-US"/>
    </w:rPr>
  </w:style>
  <w:style w:type="paragraph" w:styleId="BodyTextIndent2">
    <w:name w:val="Body Text Indent 2"/>
    <w:basedOn w:val="Normal"/>
    <w:link w:val="BodyTextIndent2Char"/>
    <w:rsid w:val="005F6C8E"/>
    <w:pPr>
      <w:spacing w:after="120" w:line="480" w:lineRule="auto"/>
      <w:ind w:left="283"/>
    </w:pPr>
  </w:style>
  <w:style w:type="character" w:customStyle="1" w:styleId="BodyTextIndent2Char">
    <w:name w:val="Body Text Indent 2 Char"/>
    <w:basedOn w:val="DefaultParagraphFont"/>
    <w:link w:val="BodyTextIndent2"/>
    <w:rsid w:val="005F6C8E"/>
    <w:rPr>
      <w:lang w:eastAsia="en-US"/>
    </w:rPr>
  </w:style>
  <w:style w:type="paragraph" w:styleId="BodyTextIndent3">
    <w:name w:val="Body Text Indent 3"/>
    <w:basedOn w:val="Normal"/>
    <w:link w:val="BodyTextIndent3Char"/>
    <w:rsid w:val="005F6C8E"/>
    <w:pPr>
      <w:spacing w:after="120"/>
      <w:ind w:left="283"/>
    </w:pPr>
    <w:rPr>
      <w:sz w:val="16"/>
      <w:szCs w:val="16"/>
    </w:rPr>
  </w:style>
  <w:style w:type="character" w:customStyle="1" w:styleId="BodyTextIndent3Char">
    <w:name w:val="Body Text Indent 3 Char"/>
    <w:basedOn w:val="DefaultParagraphFont"/>
    <w:link w:val="BodyTextIndent3"/>
    <w:rsid w:val="005F6C8E"/>
    <w:rPr>
      <w:sz w:val="16"/>
      <w:szCs w:val="16"/>
      <w:lang w:eastAsia="en-US"/>
    </w:rPr>
  </w:style>
  <w:style w:type="paragraph" w:styleId="Closing">
    <w:name w:val="Closing"/>
    <w:basedOn w:val="Normal"/>
    <w:link w:val="ClosingChar"/>
    <w:rsid w:val="005F6C8E"/>
    <w:pPr>
      <w:ind w:left="4252"/>
    </w:pPr>
  </w:style>
  <w:style w:type="character" w:customStyle="1" w:styleId="ClosingChar">
    <w:name w:val="Closing Char"/>
    <w:basedOn w:val="DefaultParagraphFont"/>
    <w:link w:val="Closing"/>
    <w:rsid w:val="005F6C8E"/>
    <w:rPr>
      <w:lang w:eastAsia="en-US"/>
    </w:rPr>
  </w:style>
  <w:style w:type="paragraph" w:styleId="Date">
    <w:name w:val="Date"/>
    <w:basedOn w:val="Normal"/>
    <w:next w:val="Normal"/>
    <w:link w:val="DateChar"/>
    <w:rsid w:val="005F6C8E"/>
  </w:style>
  <w:style w:type="character" w:customStyle="1" w:styleId="DateChar">
    <w:name w:val="Date Char"/>
    <w:basedOn w:val="DefaultParagraphFont"/>
    <w:link w:val="Date"/>
    <w:rsid w:val="005F6C8E"/>
    <w:rPr>
      <w:lang w:eastAsia="en-US"/>
    </w:rPr>
  </w:style>
  <w:style w:type="paragraph" w:styleId="E-mailSignature">
    <w:name w:val="E-mail Signature"/>
    <w:basedOn w:val="Normal"/>
    <w:link w:val="E-mailSignatureChar"/>
    <w:rsid w:val="005F6C8E"/>
  </w:style>
  <w:style w:type="character" w:customStyle="1" w:styleId="E-mailSignatureChar">
    <w:name w:val="E-mail Signature Char"/>
    <w:basedOn w:val="DefaultParagraphFont"/>
    <w:link w:val="E-mailSignature"/>
    <w:rsid w:val="005F6C8E"/>
    <w:rPr>
      <w:lang w:eastAsia="en-US"/>
    </w:rPr>
  </w:style>
  <w:style w:type="character" w:styleId="Emphasis">
    <w:name w:val="Emphasis"/>
    <w:qFormat/>
    <w:rsid w:val="005F6C8E"/>
    <w:rPr>
      <w:i/>
      <w:iCs/>
    </w:rPr>
  </w:style>
  <w:style w:type="paragraph" w:styleId="EnvelopeReturn">
    <w:name w:val="envelope return"/>
    <w:basedOn w:val="Normal"/>
    <w:rsid w:val="005F6C8E"/>
    <w:rPr>
      <w:rFonts w:ascii="Arial" w:hAnsi="Arial" w:cs="Arial"/>
    </w:rPr>
  </w:style>
  <w:style w:type="character" w:styleId="HTMLAcronym">
    <w:name w:val="HTML Acronym"/>
    <w:basedOn w:val="DefaultParagraphFont"/>
    <w:rsid w:val="005F6C8E"/>
  </w:style>
  <w:style w:type="paragraph" w:styleId="HTMLAddress">
    <w:name w:val="HTML Address"/>
    <w:basedOn w:val="Normal"/>
    <w:link w:val="HTMLAddressChar"/>
    <w:rsid w:val="005F6C8E"/>
    <w:rPr>
      <w:i/>
      <w:iCs/>
    </w:rPr>
  </w:style>
  <w:style w:type="character" w:customStyle="1" w:styleId="HTMLAddressChar">
    <w:name w:val="HTML Address Char"/>
    <w:basedOn w:val="DefaultParagraphFont"/>
    <w:link w:val="HTMLAddress"/>
    <w:rsid w:val="005F6C8E"/>
    <w:rPr>
      <w:i/>
      <w:iCs/>
      <w:lang w:eastAsia="en-US"/>
    </w:rPr>
  </w:style>
  <w:style w:type="character" w:styleId="HTMLCite">
    <w:name w:val="HTML Cite"/>
    <w:rsid w:val="005F6C8E"/>
    <w:rPr>
      <w:i/>
      <w:iCs/>
    </w:rPr>
  </w:style>
  <w:style w:type="character" w:styleId="HTMLCode">
    <w:name w:val="HTML Code"/>
    <w:rsid w:val="005F6C8E"/>
    <w:rPr>
      <w:rFonts w:ascii="Courier New" w:hAnsi="Courier New" w:cs="Courier New"/>
      <w:sz w:val="20"/>
      <w:szCs w:val="20"/>
    </w:rPr>
  </w:style>
  <w:style w:type="character" w:styleId="HTMLDefinition">
    <w:name w:val="HTML Definition"/>
    <w:rsid w:val="005F6C8E"/>
    <w:rPr>
      <w:i/>
      <w:iCs/>
    </w:rPr>
  </w:style>
  <w:style w:type="character" w:styleId="HTMLKeyboard">
    <w:name w:val="HTML Keyboard"/>
    <w:rsid w:val="005F6C8E"/>
    <w:rPr>
      <w:rFonts w:ascii="Courier New" w:hAnsi="Courier New" w:cs="Courier New"/>
      <w:sz w:val="20"/>
      <w:szCs w:val="20"/>
    </w:rPr>
  </w:style>
  <w:style w:type="paragraph" w:styleId="HTMLPreformatted">
    <w:name w:val="HTML Preformatted"/>
    <w:basedOn w:val="Normal"/>
    <w:link w:val="HTMLPreformattedChar"/>
    <w:rsid w:val="005F6C8E"/>
    <w:rPr>
      <w:rFonts w:ascii="Courier New" w:hAnsi="Courier New" w:cs="Courier New"/>
    </w:rPr>
  </w:style>
  <w:style w:type="character" w:customStyle="1" w:styleId="HTMLPreformattedChar">
    <w:name w:val="HTML Preformatted Char"/>
    <w:basedOn w:val="DefaultParagraphFont"/>
    <w:link w:val="HTMLPreformatted"/>
    <w:rsid w:val="005F6C8E"/>
    <w:rPr>
      <w:rFonts w:ascii="Courier New" w:hAnsi="Courier New" w:cs="Courier New"/>
      <w:lang w:eastAsia="en-US"/>
    </w:rPr>
  </w:style>
  <w:style w:type="character" w:styleId="HTMLSample">
    <w:name w:val="HTML Sample"/>
    <w:rsid w:val="005F6C8E"/>
    <w:rPr>
      <w:rFonts w:ascii="Courier New" w:hAnsi="Courier New" w:cs="Courier New"/>
    </w:rPr>
  </w:style>
  <w:style w:type="character" w:styleId="HTMLTypewriter">
    <w:name w:val="HTML Typewriter"/>
    <w:rsid w:val="005F6C8E"/>
    <w:rPr>
      <w:rFonts w:ascii="Courier New" w:hAnsi="Courier New" w:cs="Courier New"/>
      <w:sz w:val="20"/>
      <w:szCs w:val="20"/>
    </w:rPr>
  </w:style>
  <w:style w:type="character" w:styleId="HTMLVariable">
    <w:name w:val="HTML Variable"/>
    <w:rsid w:val="005F6C8E"/>
    <w:rPr>
      <w:i/>
      <w:iCs/>
    </w:rPr>
  </w:style>
  <w:style w:type="paragraph" w:styleId="List">
    <w:name w:val="List"/>
    <w:basedOn w:val="Normal"/>
    <w:rsid w:val="005F6C8E"/>
    <w:pPr>
      <w:ind w:left="283" w:hanging="283"/>
    </w:pPr>
  </w:style>
  <w:style w:type="paragraph" w:styleId="List2">
    <w:name w:val="List 2"/>
    <w:basedOn w:val="Normal"/>
    <w:rsid w:val="005F6C8E"/>
    <w:pPr>
      <w:ind w:left="566" w:hanging="283"/>
    </w:pPr>
  </w:style>
  <w:style w:type="paragraph" w:styleId="List3">
    <w:name w:val="List 3"/>
    <w:basedOn w:val="Normal"/>
    <w:rsid w:val="005F6C8E"/>
    <w:pPr>
      <w:ind w:left="849" w:hanging="283"/>
    </w:pPr>
  </w:style>
  <w:style w:type="paragraph" w:styleId="List4">
    <w:name w:val="List 4"/>
    <w:basedOn w:val="Normal"/>
    <w:rsid w:val="005F6C8E"/>
    <w:pPr>
      <w:ind w:left="1132" w:hanging="283"/>
    </w:pPr>
  </w:style>
  <w:style w:type="paragraph" w:styleId="List5">
    <w:name w:val="List 5"/>
    <w:basedOn w:val="Normal"/>
    <w:rsid w:val="005F6C8E"/>
    <w:pPr>
      <w:ind w:left="1415" w:hanging="283"/>
    </w:pPr>
  </w:style>
  <w:style w:type="paragraph" w:styleId="ListBullet">
    <w:name w:val="List Bullet"/>
    <w:basedOn w:val="Normal"/>
    <w:rsid w:val="005F6C8E"/>
    <w:pPr>
      <w:tabs>
        <w:tab w:val="num" w:pos="360"/>
      </w:tabs>
      <w:ind w:left="360" w:hanging="360"/>
    </w:pPr>
  </w:style>
  <w:style w:type="paragraph" w:styleId="ListBullet2">
    <w:name w:val="List Bullet 2"/>
    <w:basedOn w:val="Normal"/>
    <w:rsid w:val="005F6C8E"/>
    <w:pPr>
      <w:tabs>
        <w:tab w:val="num" w:pos="643"/>
      </w:tabs>
      <w:ind w:left="643" w:hanging="360"/>
    </w:pPr>
  </w:style>
  <w:style w:type="paragraph" w:styleId="ListBullet3">
    <w:name w:val="List Bullet 3"/>
    <w:basedOn w:val="Normal"/>
    <w:rsid w:val="005F6C8E"/>
    <w:pPr>
      <w:tabs>
        <w:tab w:val="num" w:pos="926"/>
      </w:tabs>
      <w:ind w:left="926" w:hanging="360"/>
    </w:pPr>
  </w:style>
  <w:style w:type="paragraph" w:styleId="ListBullet4">
    <w:name w:val="List Bullet 4"/>
    <w:basedOn w:val="Normal"/>
    <w:rsid w:val="005F6C8E"/>
    <w:pPr>
      <w:tabs>
        <w:tab w:val="num" w:pos="1209"/>
      </w:tabs>
      <w:ind w:left="1209" w:hanging="360"/>
    </w:pPr>
  </w:style>
  <w:style w:type="paragraph" w:styleId="ListBullet5">
    <w:name w:val="List Bullet 5"/>
    <w:basedOn w:val="Normal"/>
    <w:rsid w:val="005F6C8E"/>
    <w:pPr>
      <w:tabs>
        <w:tab w:val="num" w:pos="1492"/>
      </w:tabs>
      <w:ind w:left="1492" w:hanging="360"/>
    </w:pPr>
  </w:style>
  <w:style w:type="paragraph" w:styleId="ListContinue">
    <w:name w:val="List Continue"/>
    <w:basedOn w:val="Normal"/>
    <w:rsid w:val="005F6C8E"/>
    <w:pPr>
      <w:spacing w:after="120"/>
      <w:ind w:left="283"/>
    </w:pPr>
  </w:style>
  <w:style w:type="paragraph" w:styleId="ListContinue2">
    <w:name w:val="List Continue 2"/>
    <w:basedOn w:val="Normal"/>
    <w:rsid w:val="005F6C8E"/>
    <w:pPr>
      <w:spacing w:after="120"/>
      <w:ind w:left="566"/>
    </w:pPr>
  </w:style>
  <w:style w:type="paragraph" w:styleId="ListContinue3">
    <w:name w:val="List Continue 3"/>
    <w:basedOn w:val="Normal"/>
    <w:rsid w:val="005F6C8E"/>
    <w:pPr>
      <w:spacing w:after="120"/>
      <w:ind w:left="849"/>
    </w:pPr>
  </w:style>
  <w:style w:type="paragraph" w:styleId="ListContinue4">
    <w:name w:val="List Continue 4"/>
    <w:basedOn w:val="Normal"/>
    <w:rsid w:val="005F6C8E"/>
    <w:pPr>
      <w:spacing w:after="120"/>
      <w:ind w:left="1132"/>
    </w:pPr>
  </w:style>
  <w:style w:type="paragraph" w:styleId="ListContinue5">
    <w:name w:val="List Continue 5"/>
    <w:basedOn w:val="Normal"/>
    <w:rsid w:val="005F6C8E"/>
    <w:pPr>
      <w:spacing w:after="120"/>
      <w:ind w:left="1415"/>
    </w:pPr>
  </w:style>
  <w:style w:type="paragraph" w:styleId="ListNumber">
    <w:name w:val="List Number"/>
    <w:basedOn w:val="Normal"/>
    <w:rsid w:val="005F6C8E"/>
    <w:pPr>
      <w:tabs>
        <w:tab w:val="num" w:pos="360"/>
      </w:tabs>
      <w:ind w:left="360" w:hanging="360"/>
    </w:pPr>
  </w:style>
  <w:style w:type="paragraph" w:styleId="ListNumber2">
    <w:name w:val="List Number 2"/>
    <w:basedOn w:val="Normal"/>
    <w:rsid w:val="005F6C8E"/>
    <w:pPr>
      <w:tabs>
        <w:tab w:val="num" w:pos="643"/>
      </w:tabs>
      <w:ind w:left="643" w:hanging="360"/>
    </w:pPr>
  </w:style>
  <w:style w:type="paragraph" w:styleId="ListNumber3">
    <w:name w:val="List Number 3"/>
    <w:basedOn w:val="Normal"/>
    <w:rsid w:val="005F6C8E"/>
    <w:pPr>
      <w:tabs>
        <w:tab w:val="num" w:pos="926"/>
      </w:tabs>
      <w:ind w:left="926" w:hanging="360"/>
    </w:pPr>
  </w:style>
  <w:style w:type="paragraph" w:styleId="ListNumber4">
    <w:name w:val="List Number 4"/>
    <w:basedOn w:val="Normal"/>
    <w:rsid w:val="005F6C8E"/>
    <w:pPr>
      <w:tabs>
        <w:tab w:val="num" w:pos="1209"/>
      </w:tabs>
      <w:ind w:left="1209" w:hanging="360"/>
    </w:pPr>
  </w:style>
  <w:style w:type="paragraph" w:styleId="ListNumber5">
    <w:name w:val="List Number 5"/>
    <w:basedOn w:val="Normal"/>
    <w:rsid w:val="005F6C8E"/>
    <w:pPr>
      <w:tabs>
        <w:tab w:val="num" w:pos="1492"/>
      </w:tabs>
      <w:ind w:left="1492" w:hanging="360"/>
    </w:pPr>
  </w:style>
  <w:style w:type="paragraph" w:styleId="MessageHeader">
    <w:name w:val="Message Header"/>
    <w:basedOn w:val="Normal"/>
    <w:link w:val="MessageHeaderChar"/>
    <w:rsid w:val="005F6C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5F6C8E"/>
    <w:rPr>
      <w:rFonts w:ascii="Arial" w:hAnsi="Arial" w:cs="Arial"/>
      <w:sz w:val="24"/>
      <w:szCs w:val="24"/>
      <w:shd w:val="pct20" w:color="auto" w:fill="auto"/>
      <w:lang w:eastAsia="en-US"/>
    </w:rPr>
  </w:style>
  <w:style w:type="paragraph" w:styleId="NormalWeb">
    <w:name w:val="Normal (Web)"/>
    <w:basedOn w:val="Normal"/>
    <w:uiPriority w:val="99"/>
    <w:rsid w:val="005F6C8E"/>
    <w:rPr>
      <w:sz w:val="24"/>
      <w:szCs w:val="24"/>
    </w:rPr>
  </w:style>
  <w:style w:type="paragraph" w:styleId="NormalIndent">
    <w:name w:val="Normal Indent"/>
    <w:basedOn w:val="Normal"/>
    <w:rsid w:val="005F6C8E"/>
    <w:pPr>
      <w:ind w:left="567"/>
    </w:pPr>
  </w:style>
  <w:style w:type="paragraph" w:styleId="NoteHeading">
    <w:name w:val="Note Heading"/>
    <w:basedOn w:val="Normal"/>
    <w:next w:val="Normal"/>
    <w:link w:val="NoteHeadingChar"/>
    <w:rsid w:val="005F6C8E"/>
  </w:style>
  <w:style w:type="character" w:customStyle="1" w:styleId="NoteHeadingChar">
    <w:name w:val="Note Heading Char"/>
    <w:basedOn w:val="DefaultParagraphFont"/>
    <w:link w:val="NoteHeading"/>
    <w:rsid w:val="005F6C8E"/>
    <w:rPr>
      <w:lang w:eastAsia="en-US"/>
    </w:rPr>
  </w:style>
  <w:style w:type="paragraph" w:styleId="Salutation">
    <w:name w:val="Salutation"/>
    <w:basedOn w:val="Normal"/>
    <w:next w:val="Normal"/>
    <w:link w:val="SalutationChar"/>
    <w:rsid w:val="005F6C8E"/>
  </w:style>
  <w:style w:type="character" w:customStyle="1" w:styleId="SalutationChar">
    <w:name w:val="Salutation Char"/>
    <w:basedOn w:val="DefaultParagraphFont"/>
    <w:link w:val="Salutation"/>
    <w:rsid w:val="005F6C8E"/>
    <w:rPr>
      <w:lang w:eastAsia="en-US"/>
    </w:rPr>
  </w:style>
  <w:style w:type="paragraph" w:styleId="Signature">
    <w:name w:val="Signature"/>
    <w:basedOn w:val="Normal"/>
    <w:link w:val="SignatureChar"/>
    <w:rsid w:val="005F6C8E"/>
    <w:pPr>
      <w:ind w:left="4252"/>
    </w:pPr>
  </w:style>
  <w:style w:type="character" w:customStyle="1" w:styleId="SignatureChar">
    <w:name w:val="Signature Char"/>
    <w:basedOn w:val="DefaultParagraphFont"/>
    <w:link w:val="Signature"/>
    <w:rsid w:val="005F6C8E"/>
    <w:rPr>
      <w:lang w:eastAsia="en-US"/>
    </w:rPr>
  </w:style>
  <w:style w:type="character" w:styleId="Strong">
    <w:name w:val="Strong"/>
    <w:uiPriority w:val="22"/>
    <w:qFormat/>
    <w:rsid w:val="005F6C8E"/>
    <w:rPr>
      <w:b/>
      <w:bCs/>
    </w:rPr>
  </w:style>
  <w:style w:type="paragraph" w:styleId="Subtitle">
    <w:name w:val="Subtitle"/>
    <w:basedOn w:val="Normal"/>
    <w:link w:val="SubtitleChar"/>
    <w:qFormat/>
    <w:rsid w:val="005F6C8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5F6C8E"/>
    <w:rPr>
      <w:rFonts w:ascii="Arial" w:hAnsi="Arial" w:cs="Arial"/>
      <w:sz w:val="24"/>
      <w:szCs w:val="24"/>
      <w:lang w:eastAsia="en-US"/>
    </w:rPr>
  </w:style>
  <w:style w:type="table" w:styleId="Table3Deffects1">
    <w:name w:val="Table 3D effects 1"/>
    <w:basedOn w:val="TableNormal"/>
    <w:rsid w:val="005F6C8E"/>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F6C8E"/>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F6C8E"/>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F6C8E"/>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F6C8E"/>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F6C8E"/>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F6C8E"/>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F6C8E"/>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F6C8E"/>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F6C8E"/>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F6C8E"/>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F6C8E"/>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F6C8E"/>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F6C8E"/>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F6C8E"/>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F6C8E"/>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F6C8E"/>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F6C8E"/>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F6C8E"/>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F6C8E"/>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F6C8E"/>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F6C8E"/>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F6C8E"/>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F6C8E"/>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F6C8E"/>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F6C8E"/>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F6C8E"/>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F6C8E"/>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F6C8E"/>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F6C8E"/>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F6C8E"/>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F6C8E"/>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F6C8E"/>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F6C8E"/>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F6C8E"/>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F6C8E"/>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F6C8E"/>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F6C8E"/>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F6C8E"/>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F6C8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F6C8E"/>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F6C8E"/>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F6C8E"/>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F6C8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F6C8E"/>
    <w:rPr>
      <w:rFonts w:ascii="Arial" w:hAnsi="Arial" w:cs="Arial"/>
      <w:b/>
      <w:bCs/>
      <w:kern w:val="28"/>
      <w:sz w:val="32"/>
      <w:szCs w:val="32"/>
      <w:lang w:eastAsia="en-US"/>
    </w:rPr>
  </w:style>
  <w:style w:type="paragraph" w:styleId="EnvelopeAddress">
    <w:name w:val="envelope address"/>
    <w:basedOn w:val="Normal"/>
    <w:rsid w:val="005F6C8E"/>
    <w:pPr>
      <w:framePr w:w="7920" w:h="1980" w:hRule="exact" w:hSpace="180" w:wrap="auto" w:hAnchor="page" w:xAlign="center" w:yAlign="bottom"/>
      <w:ind w:left="2880"/>
    </w:pPr>
    <w:rPr>
      <w:rFonts w:ascii="Arial" w:hAnsi="Arial" w:cs="Arial"/>
      <w:sz w:val="24"/>
      <w:szCs w:val="24"/>
    </w:rPr>
  </w:style>
  <w:style w:type="numbering" w:customStyle="1" w:styleId="NoList1">
    <w:name w:val="No List1"/>
    <w:next w:val="NoList"/>
    <w:uiPriority w:val="99"/>
    <w:semiHidden/>
    <w:unhideWhenUsed/>
    <w:rsid w:val="005F6C8E"/>
  </w:style>
  <w:style w:type="character" w:customStyle="1" w:styleId="Heading1Char">
    <w:name w:val="Heading 1 Char"/>
    <w:aliases w:val="Table_G Char"/>
    <w:link w:val="Heading1"/>
    <w:uiPriority w:val="99"/>
    <w:locked/>
    <w:rsid w:val="005F6C8E"/>
    <w:rPr>
      <w:lang w:eastAsia="en-US"/>
    </w:rPr>
  </w:style>
  <w:style w:type="character" w:customStyle="1" w:styleId="Heading2Char">
    <w:name w:val="Heading 2 Char"/>
    <w:link w:val="Heading2"/>
    <w:uiPriority w:val="99"/>
    <w:locked/>
    <w:rsid w:val="005F6C8E"/>
    <w:rPr>
      <w:lang w:eastAsia="en-US"/>
    </w:rPr>
  </w:style>
  <w:style w:type="character" w:customStyle="1" w:styleId="Heading3Char">
    <w:name w:val="Heading 3 Char"/>
    <w:link w:val="Heading3"/>
    <w:uiPriority w:val="9"/>
    <w:locked/>
    <w:rsid w:val="005F6C8E"/>
    <w:rPr>
      <w:lang w:eastAsia="en-US"/>
    </w:rPr>
  </w:style>
  <w:style w:type="paragraph" w:styleId="ListParagraph">
    <w:name w:val="List Paragraph"/>
    <w:basedOn w:val="Normal"/>
    <w:uiPriority w:val="34"/>
    <w:qFormat/>
    <w:rsid w:val="005F6C8E"/>
    <w:pPr>
      <w:numPr>
        <w:numId w:val="26"/>
      </w:numPr>
      <w:ind w:left="720" w:firstLine="0"/>
    </w:pPr>
  </w:style>
  <w:style w:type="paragraph" w:styleId="CommentSubject">
    <w:name w:val="annotation subject"/>
    <w:basedOn w:val="CommentText"/>
    <w:next w:val="CommentText"/>
    <w:link w:val="CommentSubjectChar"/>
    <w:uiPriority w:val="99"/>
    <w:rsid w:val="005F6C8E"/>
    <w:pPr>
      <w:suppressAutoHyphens w:val="0"/>
      <w:spacing w:after="200" w:line="240" w:lineRule="auto"/>
    </w:pPr>
    <w:rPr>
      <w:rFonts w:ascii="Calibri" w:eastAsia="SimSun" w:hAnsi="Calibri"/>
      <w:b/>
      <w:bCs/>
      <w:lang w:eastAsia="en-GB"/>
    </w:rPr>
  </w:style>
  <w:style w:type="character" w:customStyle="1" w:styleId="CommentSubjectChar">
    <w:name w:val="Comment Subject Char"/>
    <w:basedOn w:val="CommentTextChar"/>
    <w:link w:val="CommentSubject"/>
    <w:uiPriority w:val="99"/>
    <w:rsid w:val="005F6C8E"/>
    <w:rPr>
      <w:rFonts w:ascii="Calibri" w:eastAsia="SimSun" w:hAnsi="Calibri"/>
      <w:b/>
      <w:bCs/>
      <w:lang w:eastAsia="en-US"/>
    </w:rPr>
  </w:style>
  <w:style w:type="character" w:customStyle="1" w:styleId="CommentTextChar1">
    <w:name w:val="Comment Text Char1"/>
    <w:link w:val="CommentText"/>
    <w:uiPriority w:val="99"/>
    <w:rsid w:val="005F6C8E"/>
    <w:rPr>
      <w:lang w:eastAsia="en-US"/>
    </w:rPr>
  </w:style>
  <w:style w:type="character" w:customStyle="1" w:styleId="HeaderChar">
    <w:name w:val="Header Char"/>
    <w:aliases w:val="6_G Char"/>
    <w:link w:val="Header"/>
    <w:uiPriority w:val="99"/>
    <w:rsid w:val="005F6C8E"/>
    <w:rPr>
      <w:b/>
      <w:sz w:val="18"/>
      <w:lang w:eastAsia="en-US"/>
    </w:rPr>
  </w:style>
  <w:style w:type="character" w:customStyle="1" w:styleId="FooterChar">
    <w:name w:val="Footer Char"/>
    <w:aliases w:val="3_G Char"/>
    <w:link w:val="Footer"/>
    <w:uiPriority w:val="99"/>
    <w:rsid w:val="005F6C8E"/>
    <w:rPr>
      <w:sz w:val="16"/>
      <w:lang w:eastAsia="en-US"/>
    </w:rPr>
  </w:style>
  <w:style w:type="character" w:customStyle="1" w:styleId="FootnoteTextChar">
    <w:name w:val="Footnote Text Char"/>
    <w:aliases w:val="5_G Char,Fußnote Char,Footnote Text Char Char Char,single space Char,footnote text Char"/>
    <w:link w:val="FootnoteText"/>
    <w:rsid w:val="005F6C8E"/>
    <w:rPr>
      <w:sz w:val="18"/>
      <w:lang w:eastAsia="en-US"/>
    </w:rPr>
  </w:style>
  <w:style w:type="character" w:customStyle="1" w:styleId="hps">
    <w:name w:val="hps"/>
    <w:rsid w:val="005F6C8E"/>
  </w:style>
  <w:style w:type="paragraph" w:styleId="Revision">
    <w:name w:val="Revision"/>
    <w:hidden/>
    <w:uiPriority w:val="99"/>
    <w:semiHidden/>
    <w:rsid w:val="005F6C8E"/>
    <w:rPr>
      <w:rFonts w:ascii="Calibri" w:eastAsia="SimSun" w:hAnsi="Calibri" w:cs="Arial"/>
      <w:sz w:val="22"/>
      <w:szCs w:val="22"/>
    </w:rPr>
  </w:style>
  <w:style w:type="paragraph" w:customStyle="1" w:styleId="Pa14">
    <w:name w:val="Pa14"/>
    <w:basedOn w:val="Normal"/>
    <w:next w:val="Normal"/>
    <w:uiPriority w:val="99"/>
    <w:rsid w:val="005F6C8E"/>
    <w:pPr>
      <w:suppressAutoHyphens w:val="0"/>
      <w:autoSpaceDE w:val="0"/>
      <w:autoSpaceDN w:val="0"/>
      <w:adjustRightInd w:val="0"/>
      <w:spacing w:line="181" w:lineRule="atLeast"/>
    </w:pPr>
    <w:rPr>
      <w:rFonts w:ascii="Palatino LT Std" w:eastAsia="SimSun" w:hAnsi="Palatino LT Std" w:cs="Arial"/>
      <w:sz w:val="24"/>
      <w:szCs w:val="24"/>
      <w:lang w:val="es-ES" w:eastAsia="es-ES"/>
    </w:rPr>
  </w:style>
  <w:style w:type="character" w:customStyle="1" w:styleId="SingleTxtGChar">
    <w:name w:val="_ Single Txt_G Char"/>
    <w:link w:val="SingleTxtG"/>
    <w:rsid w:val="005F6C8E"/>
    <w:rPr>
      <w:lang w:eastAsia="en-US"/>
    </w:rPr>
  </w:style>
  <w:style w:type="paragraph" w:customStyle="1" w:styleId="Default">
    <w:name w:val="Default"/>
    <w:rsid w:val="005F6C8E"/>
    <w:pPr>
      <w:autoSpaceDE w:val="0"/>
      <w:autoSpaceDN w:val="0"/>
      <w:adjustRightInd w:val="0"/>
    </w:pPr>
    <w:rPr>
      <w:rFonts w:ascii="Tahoma" w:hAnsi="Tahoma" w:cs="Tahoma"/>
      <w:color w:val="000000"/>
      <w:sz w:val="24"/>
      <w:szCs w:val="24"/>
      <w:lang w:val="en-US" w:eastAsia="en-US"/>
    </w:rPr>
  </w:style>
  <w:style w:type="character" w:customStyle="1" w:styleId="apple-converted-space">
    <w:name w:val="apple-converted-space"/>
    <w:basedOn w:val="DefaultParagraphFont"/>
    <w:rsid w:val="005F6C8E"/>
  </w:style>
  <w:style w:type="paragraph" w:customStyle="1" w:styleId="style171">
    <w:name w:val="style171"/>
    <w:basedOn w:val="Normal"/>
    <w:rsid w:val="005F6C8E"/>
    <w:pPr>
      <w:suppressAutoHyphens w:val="0"/>
      <w:spacing w:before="100" w:beforeAutospacing="1" w:after="100" w:afterAutospacing="1" w:line="240" w:lineRule="auto"/>
    </w:pPr>
    <w:rPr>
      <w:sz w:val="24"/>
      <w:szCs w:val="24"/>
      <w:lang w:eastAsia="en-GB"/>
    </w:rPr>
  </w:style>
  <w:style w:type="paragraph" w:customStyle="1" w:styleId="SingleTxt">
    <w:name w:val="__Single Txt"/>
    <w:basedOn w:val="Normal"/>
    <w:rsid w:val="005F6C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A6">
    <w:name w:val="A6"/>
    <w:uiPriority w:val="99"/>
    <w:rsid w:val="005F6C8E"/>
    <w:rPr>
      <w:rFonts w:cs="Myriad Pr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E925AD"/>
    <w:pPr>
      <w:numPr>
        <w:numId w:val="21"/>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1"/>
      </w:numPr>
      <w:spacing w:line="240" w:lineRule="auto"/>
      <w:outlineLvl w:val="1"/>
    </w:pPr>
  </w:style>
  <w:style w:type="paragraph" w:styleId="Heading3">
    <w:name w:val="heading 3"/>
    <w:basedOn w:val="Normal"/>
    <w:next w:val="Normal"/>
    <w:link w:val="Heading3Char"/>
    <w:uiPriority w:val="9"/>
    <w:qFormat/>
    <w:rsid w:val="00E925AD"/>
    <w:pPr>
      <w:numPr>
        <w:ilvl w:val="2"/>
        <w:numId w:val="21"/>
      </w:numPr>
      <w:spacing w:line="240" w:lineRule="auto"/>
      <w:outlineLvl w:val="2"/>
    </w:pPr>
  </w:style>
  <w:style w:type="paragraph" w:styleId="Heading4">
    <w:name w:val="heading 4"/>
    <w:basedOn w:val="Normal"/>
    <w:next w:val="Normal"/>
    <w:qFormat/>
    <w:rsid w:val="00E925AD"/>
    <w:pPr>
      <w:numPr>
        <w:ilvl w:val="3"/>
        <w:numId w:val="21"/>
      </w:numPr>
      <w:spacing w:line="240" w:lineRule="auto"/>
      <w:outlineLvl w:val="3"/>
    </w:pPr>
  </w:style>
  <w:style w:type="paragraph" w:styleId="Heading5">
    <w:name w:val="heading 5"/>
    <w:basedOn w:val="Normal"/>
    <w:next w:val="Normal"/>
    <w:qFormat/>
    <w:rsid w:val="00E925AD"/>
    <w:pPr>
      <w:numPr>
        <w:ilvl w:val="4"/>
        <w:numId w:val="21"/>
      </w:numPr>
      <w:spacing w:line="240" w:lineRule="auto"/>
      <w:outlineLvl w:val="4"/>
    </w:pPr>
  </w:style>
  <w:style w:type="paragraph" w:styleId="Heading6">
    <w:name w:val="heading 6"/>
    <w:basedOn w:val="Normal"/>
    <w:next w:val="Normal"/>
    <w:qFormat/>
    <w:rsid w:val="00E925AD"/>
    <w:pPr>
      <w:numPr>
        <w:ilvl w:val="5"/>
        <w:numId w:val="21"/>
      </w:numPr>
      <w:spacing w:line="240" w:lineRule="auto"/>
      <w:outlineLvl w:val="5"/>
    </w:pPr>
  </w:style>
  <w:style w:type="paragraph" w:styleId="Heading7">
    <w:name w:val="heading 7"/>
    <w:basedOn w:val="Normal"/>
    <w:next w:val="Normal"/>
    <w:qFormat/>
    <w:rsid w:val="00E925AD"/>
    <w:pPr>
      <w:numPr>
        <w:ilvl w:val="6"/>
        <w:numId w:val="21"/>
      </w:numPr>
      <w:spacing w:line="240" w:lineRule="auto"/>
      <w:outlineLvl w:val="6"/>
    </w:pPr>
  </w:style>
  <w:style w:type="paragraph" w:styleId="Heading8">
    <w:name w:val="heading 8"/>
    <w:basedOn w:val="Normal"/>
    <w:next w:val="Normal"/>
    <w:qFormat/>
    <w:rsid w:val="00E925AD"/>
    <w:pPr>
      <w:numPr>
        <w:ilvl w:val="7"/>
        <w:numId w:val="21"/>
      </w:numPr>
      <w:spacing w:line="240" w:lineRule="auto"/>
      <w:outlineLvl w:val="7"/>
    </w:pPr>
  </w:style>
  <w:style w:type="paragraph" w:styleId="Heading9">
    <w:name w:val="heading 9"/>
    <w:basedOn w:val="Normal"/>
    <w:next w:val="Normal"/>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uiPriority w:val="99"/>
    <w:rsid w:val="005F6C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F6C8E"/>
    <w:rPr>
      <w:rFonts w:ascii="Tahoma" w:hAnsi="Tahoma" w:cs="Tahoma"/>
      <w:sz w:val="16"/>
      <w:szCs w:val="16"/>
      <w:lang w:eastAsia="en-US"/>
    </w:rPr>
  </w:style>
  <w:style w:type="paragraph" w:styleId="PlainText">
    <w:name w:val="Plain Text"/>
    <w:basedOn w:val="Normal"/>
    <w:link w:val="PlainTextChar"/>
    <w:rsid w:val="005F6C8E"/>
    <w:rPr>
      <w:rFonts w:cs="Courier New"/>
    </w:rPr>
  </w:style>
  <w:style w:type="character" w:customStyle="1" w:styleId="PlainTextChar">
    <w:name w:val="Plain Text Char"/>
    <w:basedOn w:val="DefaultParagraphFont"/>
    <w:link w:val="PlainText"/>
    <w:rsid w:val="005F6C8E"/>
    <w:rPr>
      <w:rFonts w:cs="Courier New"/>
      <w:lang w:eastAsia="en-US"/>
    </w:rPr>
  </w:style>
  <w:style w:type="paragraph" w:styleId="BodyText">
    <w:name w:val="Body Text"/>
    <w:basedOn w:val="Normal"/>
    <w:next w:val="Normal"/>
    <w:link w:val="BodyTextChar"/>
    <w:rsid w:val="005F6C8E"/>
  </w:style>
  <w:style w:type="character" w:customStyle="1" w:styleId="BodyTextChar">
    <w:name w:val="Body Text Char"/>
    <w:basedOn w:val="DefaultParagraphFont"/>
    <w:link w:val="BodyText"/>
    <w:rsid w:val="005F6C8E"/>
    <w:rPr>
      <w:lang w:eastAsia="en-US"/>
    </w:rPr>
  </w:style>
  <w:style w:type="paragraph" w:styleId="BodyTextIndent">
    <w:name w:val="Body Text Indent"/>
    <w:basedOn w:val="Normal"/>
    <w:link w:val="BodyTextIndentChar"/>
    <w:rsid w:val="005F6C8E"/>
    <w:pPr>
      <w:spacing w:after="120"/>
      <w:ind w:left="283"/>
    </w:pPr>
  </w:style>
  <w:style w:type="character" w:customStyle="1" w:styleId="BodyTextIndentChar">
    <w:name w:val="Body Text Indent Char"/>
    <w:basedOn w:val="DefaultParagraphFont"/>
    <w:link w:val="BodyTextIndent"/>
    <w:rsid w:val="005F6C8E"/>
    <w:rPr>
      <w:lang w:eastAsia="en-US"/>
    </w:rPr>
  </w:style>
  <w:style w:type="paragraph" w:styleId="BlockText">
    <w:name w:val="Block Text"/>
    <w:basedOn w:val="Normal"/>
    <w:rsid w:val="005F6C8E"/>
    <w:pPr>
      <w:ind w:left="1440" w:right="1440"/>
    </w:pPr>
  </w:style>
  <w:style w:type="character" w:styleId="CommentReference">
    <w:name w:val="annotation reference"/>
    <w:uiPriority w:val="99"/>
    <w:rsid w:val="005F6C8E"/>
    <w:rPr>
      <w:sz w:val="6"/>
    </w:rPr>
  </w:style>
  <w:style w:type="paragraph" w:styleId="CommentText">
    <w:name w:val="annotation text"/>
    <w:basedOn w:val="Normal"/>
    <w:link w:val="CommentTextChar1"/>
    <w:uiPriority w:val="99"/>
    <w:rsid w:val="005F6C8E"/>
  </w:style>
  <w:style w:type="character" w:customStyle="1" w:styleId="CommentTextChar">
    <w:name w:val="Comment Text Char"/>
    <w:basedOn w:val="DefaultParagraphFont"/>
    <w:uiPriority w:val="99"/>
    <w:rsid w:val="005F6C8E"/>
    <w:rPr>
      <w:lang w:eastAsia="en-US"/>
    </w:rPr>
  </w:style>
  <w:style w:type="character" w:styleId="LineNumber">
    <w:name w:val="line number"/>
    <w:rsid w:val="005F6C8E"/>
    <w:rPr>
      <w:sz w:val="14"/>
    </w:rPr>
  </w:style>
  <w:style w:type="numbering" w:styleId="111111">
    <w:name w:val="Outline List 2"/>
    <w:basedOn w:val="NoList"/>
    <w:rsid w:val="005F6C8E"/>
    <w:pPr>
      <w:numPr>
        <w:numId w:val="19"/>
      </w:numPr>
    </w:pPr>
  </w:style>
  <w:style w:type="numbering" w:styleId="1ai">
    <w:name w:val="Outline List 1"/>
    <w:basedOn w:val="NoList"/>
    <w:rsid w:val="005F6C8E"/>
    <w:pPr>
      <w:numPr>
        <w:numId w:val="20"/>
      </w:numPr>
    </w:pPr>
  </w:style>
  <w:style w:type="numbering" w:styleId="ArticleSection">
    <w:name w:val="Outline List 3"/>
    <w:basedOn w:val="NoList"/>
    <w:rsid w:val="005F6C8E"/>
    <w:pPr>
      <w:numPr>
        <w:numId w:val="21"/>
      </w:numPr>
    </w:pPr>
  </w:style>
  <w:style w:type="paragraph" w:styleId="BodyText2">
    <w:name w:val="Body Text 2"/>
    <w:basedOn w:val="Normal"/>
    <w:link w:val="BodyText2Char"/>
    <w:rsid w:val="005F6C8E"/>
    <w:pPr>
      <w:spacing w:after="120" w:line="480" w:lineRule="auto"/>
    </w:pPr>
  </w:style>
  <w:style w:type="character" w:customStyle="1" w:styleId="BodyText2Char">
    <w:name w:val="Body Text 2 Char"/>
    <w:basedOn w:val="DefaultParagraphFont"/>
    <w:link w:val="BodyText2"/>
    <w:rsid w:val="005F6C8E"/>
    <w:rPr>
      <w:lang w:eastAsia="en-US"/>
    </w:rPr>
  </w:style>
  <w:style w:type="paragraph" w:styleId="BodyText3">
    <w:name w:val="Body Text 3"/>
    <w:basedOn w:val="Normal"/>
    <w:link w:val="BodyText3Char"/>
    <w:rsid w:val="005F6C8E"/>
    <w:pPr>
      <w:spacing w:after="120"/>
    </w:pPr>
    <w:rPr>
      <w:sz w:val="16"/>
      <w:szCs w:val="16"/>
    </w:rPr>
  </w:style>
  <w:style w:type="character" w:customStyle="1" w:styleId="BodyText3Char">
    <w:name w:val="Body Text 3 Char"/>
    <w:basedOn w:val="DefaultParagraphFont"/>
    <w:link w:val="BodyText3"/>
    <w:rsid w:val="005F6C8E"/>
    <w:rPr>
      <w:sz w:val="16"/>
      <w:szCs w:val="16"/>
      <w:lang w:eastAsia="en-US"/>
    </w:rPr>
  </w:style>
  <w:style w:type="paragraph" w:styleId="BodyTextFirstIndent">
    <w:name w:val="Body Text First Indent"/>
    <w:basedOn w:val="BodyText"/>
    <w:link w:val="BodyTextFirstIndentChar"/>
    <w:rsid w:val="005F6C8E"/>
    <w:pPr>
      <w:spacing w:after="120"/>
      <w:ind w:firstLine="210"/>
    </w:pPr>
  </w:style>
  <w:style w:type="character" w:customStyle="1" w:styleId="BodyTextFirstIndentChar">
    <w:name w:val="Body Text First Indent Char"/>
    <w:basedOn w:val="BodyTextChar"/>
    <w:link w:val="BodyTextFirstIndent"/>
    <w:rsid w:val="005F6C8E"/>
    <w:rPr>
      <w:lang w:eastAsia="en-US"/>
    </w:rPr>
  </w:style>
  <w:style w:type="paragraph" w:styleId="BodyTextFirstIndent2">
    <w:name w:val="Body Text First Indent 2"/>
    <w:basedOn w:val="BodyTextIndent"/>
    <w:link w:val="BodyTextFirstIndent2Char"/>
    <w:rsid w:val="005F6C8E"/>
    <w:pPr>
      <w:ind w:firstLine="210"/>
    </w:pPr>
  </w:style>
  <w:style w:type="character" w:customStyle="1" w:styleId="BodyTextFirstIndent2Char">
    <w:name w:val="Body Text First Indent 2 Char"/>
    <w:basedOn w:val="BodyTextIndentChar"/>
    <w:link w:val="BodyTextFirstIndent2"/>
    <w:rsid w:val="005F6C8E"/>
    <w:rPr>
      <w:lang w:eastAsia="en-US"/>
    </w:rPr>
  </w:style>
  <w:style w:type="paragraph" w:styleId="BodyTextIndent2">
    <w:name w:val="Body Text Indent 2"/>
    <w:basedOn w:val="Normal"/>
    <w:link w:val="BodyTextIndent2Char"/>
    <w:rsid w:val="005F6C8E"/>
    <w:pPr>
      <w:spacing w:after="120" w:line="480" w:lineRule="auto"/>
      <w:ind w:left="283"/>
    </w:pPr>
  </w:style>
  <w:style w:type="character" w:customStyle="1" w:styleId="BodyTextIndent2Char">
    <w:name w:val="Body Text Indent 2 Char"/>
    <w:basedOn w:val="DefaultParagraphFont"/>
    <w:link w:val="BodyTextIndent2"/>
    <w:rsid w:val="005F6C8E"/>
    <w:rPr>
      <w:lang w:eastAsia="en-US"/>
    </w:rPr>
  </w:style>
  <w:style w:type="paragraph" w:styleId="BodyTextIndent3">
    <w:name w:val="Body Text Indent 3"/>
    <w:basedOn w:val="Normal"/>
    <w:link w:val="BodyTextIndent3Char"/>
    <w:rsid w:val="005F6C8E"/>
    <w:pPr>
      <w:spacing w:after="120"/>
      <w:ind w:left="283"/>
    </w:pPr>
    <w:rPr>
      <w:sz w:val="16"/>
      <w:szCs w:val="16"/>
    </w:rPr>
  </w:style>
  <w:style w:type="character" w:customStyle="1" w:styleId="BodyTextIndent3Char">
    <w:name w:val="Body Text Indent 3 Char"/>
    <w:basedOn w:val="DefaultParagraphFont"/>
    <w:link w:val="BodyTextIndent3"/>
    <w:rsid w:val="005F6C8E"/>
    <w:rPr>
      <w:sz w:val="16"/>
      <w:szCs w:val="16"/>
      <w:lang w:eastAsia="en-US"/>
    </w:rPr>
  </w:style>
  <w:style w:type="paragraph" w:styleId="Closing">
    <w:name w:val="Closing"/>
    <w:basedOn w:val="Normal"/>
    <w:link w:val="ClosingChar"/>
    <w:rsid w:val="005F6C8E"/>
    <w:pPr>
      <w:ind w:left="4252"/>
    </w:pPr>
  </w:style>
  <w:style w:type="character" w:customStyle="1" w:styleId="ClosingChar">
    <w:name w:val="Closing Char"/>
    <w:basedOn w:val="DefaultParagraphFont"/>
    <w:link w:val="Closing"/>
    <w:rsid w:val="005F6C8E"/>
    <w:rPr>
      <w:lang w:eastAsia="en-US"/>
    </w:rPr>
  </w:style>
  <w:style w:type="paragraph" w:styleId="Date">
    <w:name w:val="Date"/>
    <w:basedOn w:val="Normal"/>
    <w:next w:val="Normal"/>
    <w:link w:val="DateChar"/>
    <w:rsid w:val="005F6C8E"/>
  </w:style>
  <w:style w:type="character" w:customStyle="1" w:styleId="DateChar">
    <w:name w:val="Date Char"/>
    <w:basedOn w:val="DefaultParagraphFont"/>
    <w:link w:val="Date"/>
    <w:rsid w:val="005F6C8E"/>
    <w:rPr>
      <w:lang w:eastAsia="en-US"/>
    </w:rPr>
  </w:style>
  <w:style w:type="paragraph" w:styleId="E-mailSignature">
    <w:name w:val="E-mail Signature"/>
    <w:basedOn w:val="Normal"/>
    <w:link w:val="E-mailSignatureChar"/>
    <w:rsid w:val="005F6C8E"/>
  </w:style>
  <w:style w:type="character" w:customStyle="1" w:styleId="E-mailSignatureChar">
    <w:name w:val="E-mail Signature Char"/>
    <w:basedOn w:val="DefaultParagraphFont"/>
    <w:link w:val="E-mailSignature"/>
    <w:rsid w:val="005F6C8E"/>
    <w:rPr>
      <w:lang w:eastAsia="en-US"/>
    </w:rPr>
  </w:style>
  <w:style w:type="character" w:styleId="Emphasis">
    <w:name w:val="Emphasis"/>
    <w:qFormat/>
    <w:rsid w:val="005F6C8E"/>
    <w:rPr>
      <w:i/>
      <w:iCs/>
    </w:rPr>
  </w:style>
  <w:style w:type="paragraph" w:styleId="EnvelopeReturn">
    <w:name w:val="envelope return"/>
    <w:basedOn w:val="Normal"/>
    <w:rsid w:val="005F6C8E"/>
    <w:rPr>
      <w:rFonts w:ascii="Arial" w:hAnsi="Arial" w:cs="Arial"/>
    </w:rPr>
  </w:style>
  <w:style w:type="character" w:styleId="HTMLAcronym">
    <w:name w:val="HTML Acronym"/>
    <w:basedOn w:val="DefaultParagraphFont"/>
    <w:rsid w:val="005F6C8E"/>
  </w:style>
  <w:style w:type="paragraph" w:styleId="HTMLAddress">
    <w:name w:val="HTML Address"/>
    <w:basedOn w:val="Normal"/>
    <w:link w:val="HTMLAddressChar"/>
    <w:rsid w:val="005F6C8E"/>
    <w:rPr>
      <w:i/>
      <w:iCs/>
    </w:rPr>
  </w:style>
  <w:style w:type="character" w:customStyle="1" w:styleId="HTMLAddressChar">
    <w:name w:val="HTML Address Char"/>
    <w:basedOn w:val="DefaultParagraphFont"/>
    <w:link w:val="HTMLAddress"/>
    <w:rsid w:val="005F6C8E"/>
    <w:rPr>
      <w:i/>
      <w:iCs/>
      <w:lang w:eastAsia="en-US"/>
    </w:rPr>
  </w:style>
  <w:style w:type="character" w:styleId="HTMLCite">
    <w:name w:val="HTML Cite"/>
    <w:rsid w:val="005F6C8E"/>
    <w:rPr>
      <w:i/>
      <w:iCs/>
    </w:rPr>
  </w:style>
  <w:style w:type="character" w:styleId="HTMLCode">
    <w:name w:val="HTML Code"/>
    <w:rsid w:val="005F6C8E"/>
    <w:rPr>
      <w:rFonts w:ascii="Courier New" w:hAnsi="Courier New" w:cs="Courier New"/>
      <w:sz w:val="20"/>
      <w:szCs w:val="20"/>
    </w:rPr>
  </w:style>
  <w:style w:type="character" w:styleId="HTMLDefinition">
    <w:name w:val="HTML Definition"/>
    <w:rsid w:val="005F6C8E"/>
    <w:rPr>
      <w:i/>
      <w:iCs/>
    </w:rPr>
  </w:style>
  <w:style w:type="character" w:styleId="HTMLKeyboard">
    <w:name w:val="HTML Keyboard"/>
    <w:rsid w:val="005F6C8E"/>
    <w:rPr>
      <w:rFonts w:ascii="Courier New" w:hAnsi="Courier New" w:cs="Courier New"/>
      <w:sz w:val="20"/>
      <w:szCs w:val="20"/>
    </w:rPr>
  </w:style>
  <w:style w:type="paragraph" w:styleId="HTMLPreformatted">
    <w:name w:val="HTML Preformatted"/>
    <w:basedOn w:val="Normal"/>
    <w:link w:val="HTMLPreformattedChar"/>
    <w:rsid w:val="005F6C8E"/>
    <w:rPr>
      <w:rFonts w:ascii="Courier New" w:hAnsi="Courier New" w:cs="Courier New"/>
    </w:rPr>
  </w:style>
  <w:style w:type="character" w:customStyle="1" w:styleId="HTMLPreformattedChar">
    <w:name w:val="HTML Preformatted Char"/>
    <w:basedOn w:val="DefaultParagraphFont"/>
    <w:link w:val="HTMLPreformatted"/>
    <w:rsid w:val="005F6C8E"/>
    <w:rPr>
      <w:rFonts w:ascii="Courier New" w:hAnsi="Courier New" w:cs="Courier New"/>
      <w:lang w:eastAsia="en-US"/>
    </w:rPr>
  </w:style>
  <w:style w:type="character" w:styleId="HTMLSample">
    <w:name w:val="HTML Sample"/>
    <w:rsid w:val="005F6C8E"/>
    <w:rPr>
      <w:rFonts w:ascii="Courier New" w:hAnsi="Courier New" w:cs="Courier New"/>
    </w:rPr>
  </w:style>
  <w:style w:type="character" w:styleId="HTMLTypewriter">
    <w:name w:val="HTML Typewriter"/>
    <w:rsid w:val="005F6C8E"/>
    <w:rPr>
      <w:rFonts w:ascii="Courier New" w:hAnsi="Courier New" w:cs="Courier New"/>
      <w:sz w:val="20"/>
      <w:szCs w:val="20"/>
    </w:rPr>
  </w:style>
  <w:style w:type="character" w:styleId="HTMLVariable">
    <w:name w:val="HTML Variable"/>
    <w:rsid w:val="005F6C8E"/>
    <w:rPr>
      <w:i/>
      <w:iCs/>
    </w:rPr>
  </w:style>
  <w:style w:type="paragraph" w:styleId="List">
    <w:name w:val="List"/>
    <w:basedOn w:val="Normal"/>
    <w:rsid w:val="005F6C8E"/>
    <w:pPr>
      <w:ind w:left="283" w:hanging="283"/>
    </w:pPr>
  </w:style>
  <w:style w:type="paragraph" w:styleId="List2">
    <w:name w:val="List 2"/>
    <w:basedOn w:val="Normal"/>
    <w:rsid w:val="005F6C8E"/>
    <w:pPr>
      <w:ind w:left="566" w:hanging="283"/>
    </w:pPr>
  </w:style>
  <w:style w:type="paragraph" w:styleId="List3">
    <w:name w:val="List 3"/>
    <w:basedOn w:val="Normal"/>
    <w:rsid w:val="005F6C8E"/>
    <w:pPr>
      <w:ind w:left="849" w:hanging="283"/>
    </w:pPr>
  </w:style>
  <w:style w:type="paragraph" w:styleId="List4">
    <w:name w:val="List 4"/>
    <w:basedOn w:val="Normal"/>
    <w:rsid w:val="005F6C8E"/>
    <w:pPr>
      <w:ind w:left="1132" w:hanging="283"/>
    </w:pPr>
  </w:style>
  <w:style w:type="paragraph" w:styleId="List5">
    <w:name w:val="List 5"/>
    <w:basedOn w:val="Normal"/>
    <w:rsid w:val="005F6C8E"/>
    <w:pPr>
      <w:ind w:left="1415" w:hanging="283"/>
    </w:pPr>
  </w:style>
  <w:style w:type="paragraph" w:styleId="ListBullet">
    <w:name w:val="List Bullet"/>
    <w:basedOn w:val="Normal"/>
    <w:rsid w:val="005F6C8E"/>
    <w:pPr>
      <w:tabs>
        <w:tab w:val="num" w:pos="360"/>
      </w:tabs>
      <w:ind w:left="360" w:hanging="360"/>
    </w:pPr>
  </w:style>
  <w:style w:type="paragraph" w:styleId="ListBullet2">
    <w:name w:val="List Bullet 2"/>
    <w:basedOn w:val="Normal"/>
    <w:rsid w:val="005F6C8E"/>
    <w:pPr>
      <w:tabs>
        <w:tab w:val="num" w:pos="643"/>
      </w:tabs>
      <w:ind w:left="643" w:hanging="360"/>
    </w:pPr>
  </w:style>
  <w:style w:type="paragraph" w:styleId="ListBullet3">
    <w:name w:val="List Bullet 3"/>
    <w:basedOn w:val="Normal"/>
    <w:rsid w:val="005F6C8E"/>
    <w:pPr>
      <w:tabs>
        <w:tab w:val="num" w:pos="926"/>
      </w:tabs>
      <w:ind w:left="926" w:hanging="360"/>
    </w:pPr>
  </w:style>
  <w:style w:type="paragraph" w:styleId="ListBullet4">
    <w:name w:val="List Bullet 4"/>
    <w:basedOn w:val="Normal"/>
    <w:rsid w:val="005F6C8E"/>
    <w:pPr>
      <w:tabs>
        <w:tab w:val="num" w:pos="1209"/>
      </w:tabs>
      <w:ind w:left="1209" w:hanging="360"/>
    </w:pPr>
  </w:style>
  <w:style w:type="paragraph" w:styleId="ListBullet5">
    <w:name w:val="List Bullet 5"/>
    <w:basedOn w:val="Normal"/>
    <w:rsid w:val="005F6C8E"/>
    <w:pPr>
      <w:tabs>
        <w:tab w:val="num" w:pos="1492"/>
      </w:tabs>
      <w:ind w:left="1492" w:hanging="360"/>
    </w:pPr>
  </w:style>
  <w:style w:type="paragraph" w:styleId="ListContinue">
    <w:name w:val="List Continue"/>
    <w:basedOn w:val="Normal"/>
    <w:rsid w:val="005F6C8E"/>
    <w:pPr>
      <w:spacing w:after="120"/>
      <w:ind w:left="283"/>
    </w:pPr>
  </w:style>
  <w:style w:type="paragraph" w:styleId="ListContinue2">
    <w:name w:val="List Continue 2"/>
    <w:basedOn w:val="Normal"/>
    <w:rsid w:val="005F6C8E"/>
    <w:pPr>
      <w:spacing w:after="120"/>
      <w:ind w:left="566"/>
    </w:pPr>
  </w:style>
  <w:style w:type="paragraph" w:styleId="ListContinue3">
    <w:name w:val="List Continue 3"/>
    <w:basedOn w:val="Normal"/>
    <w:rsid w:val="005F6C8E"/>
    <w:pPr>
      <w:spacing w:after="120"/>
      <w:ind w:left="849"/>
    </w:pPr>
  </w:style>
  <w:style w:type="paragraph" w:styleId="ListContinue4">
    <w:name w:val="List Continue 4"/>
    <w:basedOn w:val="Normal"/>
    <w:rsid w:val="005F6C8E"/>
    <w:pPr>
      <w:spacing w:after="120"/>
      <w:ind w:left="1132"/>
    </w:pPr>
  </w:style>
  <w:style w:type="paragraph" w:styleId="ListContinue5">
    <w:name w:val="List Continue 5"/>
    <w:basedOn w:val="Normal"/>
    <w:rsid w:val="005F6C8E"/>
    <w:pPr>
      <w:spacing w:after="120"/>
      <w:ind w:left="1415"/>
    </w:pPr>
  </w:style>
  <w:style w:type="paragraph" w:styleId="ListNumber">
    <w:name w:val="List Number"/>
    <w:basedOn w:val="Normal"/>
    <w:rsid w:val="005F6C8E"/>
    <w:pPr>
      <w:tabs>
        <w:tab w:val="num" w:pos="360"/>
      </w:tabs>
      <w:ind w:left="360" w:hanging="360"/>
    </w:pPr>
  </w:style>
  <w:style w:type="paragraph" w:styleId="ListNumber2">
    <w:name w:val="List Number 2"/>
    <w:basedOn w:val="Normal"/>
    <w:rsid w:val="005F6C8E"/>
    <w:pPr>
      <w:tabs>
        <w:tab w:val="num" w:pos="643"/>
      </w:tabs>
      <w:ind w:left="643" w:hanging="360"/>
    </w:pPr>
  </w:style>
  <w:style w:type="paragraph" w:styleId="ListNumber3">
    <w:name w:val="List Number 3"/>
    <w:basedOn w:val="Normal"/>
    <w:rsid w:val="005F6C8E"/>
    <w:pPr>
      <w:tabs>
        <w:tab w:val="num" w:pos="926"/>
      </w:tabs>
      <w:ind w:left="926" w:hanging="360"/>
    </w:pPr>
  </w:style>
  <w:style w:type="paragraph" w:styleId="ListNumber4">
    <w:name w:val="List Number 4"/>
    <w:basedOn w:val="Normal"/>
    <w:rsid w:val="005F6C8E"/>
    <w:pPr>
      <w:tabs>
        <w:tab w:val="num" w:pos="1209"/>
      </w:tabs>
      <w:ind w:left="1209" w:hanging="360"/>
    </w:pPr>
  </w:style>
  <w:style w:type="paragraph" w:styleId="ListNumber5">
    <w:name w:val="List Number 5"/>
    <w:basedOn w:val="Normal"/>
    <w:rsid w:val="005F6C8E"/>
    <w:pPr>
      <w:tabs>
        <w:tab w:val="num" w:pos="1492"/>
      </w:tabs>
      <w:ind w:left="1492" w:hanging="360"/>
    </w:pPr>
  </w:style>
  <w:style w:type="paragraph" w:styleId="MessageHeader">
    <w:name w:val="Message Header"/>
    <w:basedOn w:val="Normal"/>
    <w:link w:val="MessageHeaderChar"/>
    <w:rsid w:val="005F6C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5F6C8E"/>
    <w:rPr>
      <w:rFonts w:ascii="Arial" w:hAnsi="Arial" w:cs="Arial"/>
      <w:sz w:val="24"/>
      <w:szCs w:val="24"/>
      <w:shd w:val="pct20" w:color="auto" w:fill="auto"/>
      <w:lang w:eastAsia="en-US"/>
    </w:rPr>
  </w:style>
  <w:style w:type="paragraph" w:styleId="NormalWeb">
    <w:name w:val="Normal (Web)"/>
    <w:basedOn w:val="Normal"/>
    <w:uiPriority w:val="99"/>
    <w:rsid w:val="005F6C8E"/>
    <w:rPr>
      <w:sz w:val="24"/>
      <w:szCs w:val="24"/>
    </w:rPr>
  </w:style>
  <w:style w:type="paragraph" w:styleId="NormalIndent">
    <w:name w:val="Normal Indent"/>
    <w:basedOn w:val="Normal"/>
    <w:rsid w:val="005F6C8E"/>
    <w:pPr>
      <w:ind w:left="567"/>
    </w:pPr>
  </w:style>
  <w:style w:type="paragraph" w:styleId="NoteHeading">
    <w:name w:val="Note Heading"/>
    <w:basedOn w:val="Normal"/>
    <w:next w:val="Normal"/>
    <w:link w:val="NoteHeadingChar"/>
    <w:rsid w:val="005F6C8E"/>
  </w:style>
  <w:style w:type="character" w:customStyle="1" w:styleId="NoteHeadingChar">
    <w:name w:val="Note Heading Char"/>
    <w:basedOn w:val="DefaultParagraphFont"/>
    <w:link w:val="NoteHeading"/>
    <w:rsid w:val="005F6C8E"/>
    <w:rPr>
      <w:lang w:eastAsia="en-US"/>
    </w:rPr>
  </w:style>
  <w:style w:type="paragraph" w:styleId="Salutation">
    <w:name w:val="Salutation"/>
    <w:basedOn w:val="Normal"/>
    <w:next w:val="Normal"/>
    <w:link w:val="SalutationChar"/>
    <w:rsid w:val="005F6C8E"/>
  </w:style>
  <w:style w:type="character" w:customStyle="1" w:styleId="SalutationChar">
    <w:name w:val="Salutation Char"/>
    <w:basedOn w:val="DefaultParagraphFont"/>
    <w:link w:val="Salutation"/>
    <w:rsid w:val="005F6C8E"/>
    <w:rPr>
      <w:lang w:eastAsia="en-US"/>
    </w:rPr>
  </w:style>
  <w:style w:type="paragraph" w:styleId="Signature">
    <w:name w:val="Signature"/>
    <w:basedOn w:val="Normal"/>
    <w:link w:val="SignatureChar"/>
    <w:rsid w:val="005F6C8E"/>
    <w:pPr>
      <w:ind w:left="4252"/>
    </w:pPr>
  </w:style>
  <w:style w:type="character" w:customStyle="1" w:styleId="SignatureChar">
    <w:name w:val="Signature Char"/>
    <w:basedOn w:val="DefaultParagraphFont"/>
    <w:link w:val="Signature"/>
    <w:rsid w:val="005F6C8E"/>
    <w:rPr>
      <w:lang w:eastAsia="en-US"/>
    </w:rPr>
  </w:style>
  <w:style w:type="character" w:styleId="Strong">
    <w:name w:val="Strong"/>
    <w:uiPriority w:val="22"/>
    <w:qFormat/>
    <w:rsid w:val="005F6C8E"/>
    <w:rPr>
      <w:b/>
      <w:bCs/>
    </w:rPr>
  </w:style>
  <w:style w:type="paragraph" w:styleId="Subtitle">
    <w:name w:val="Subtitle"/>
    <w:basedOn w:val="Normal"/>
    <w:link w:val="SubtitleChar"/>
    <w:qFormat/>
    <w:rsid w:val="005F6C8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5F6C8E"/>
    <w:rPr>
      <w:rFonts w:ascii="Arial" w:hAnsi="Arial" w:cs="Arial"/>
      <w:sz w:val="24"/>
      <w:szCs w:val="24"/>
      <w:lang w:eastAsia="en-US"/>
    </w:rPr>
  </w:style>
  <w:style w:type="table" w:styleId="Table3Deffects1">
    <w:name w:val="Table 3D effects 1"/>
    <w:basedOn w:val="TableNormal"/>
    <w:rsid w:val="005F6C8E"/>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F6C8E"/>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F6C8E"/>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F6C8E"/>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F6C8E"/>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F6C8E"/>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F6C8E"/>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F6C8E"/>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F6C8E"/>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F6C8E"/>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F6C8E"/>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F6C8E"/>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F6C8E"/>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F6C8E"/>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F6C8E"/>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F6C8E"/>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F6C8E"/>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F6C8E"/>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F6C8E"/>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F6C8E"/>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F6C8E"/>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F6C8E"/>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F6C8E"/>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F6C8E"/>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F6C8E"/>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F6C8E"/>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F6C8E"/>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F6C8E"/>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F6C8E"/>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F6C8E"/>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F6C8E"/>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F6C8E"/>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F6C8E"/>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F6C8E"/>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F6C8E"/>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F6C8E"/>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F6C8E"/>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F6C8E"/>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F6C8E"/>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F6C8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F6C8E"/>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F6C8E"/>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F6C8E"/>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F6C8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F6C8E"/>
    <w:rPr>
      <w:rFonts w:ascii="Arial" w:hAnsi="Arial" w:cs="Arial"/>
      <w:b/>
      <w:bCs/>
      <w:kern w:val="28"/>
      <w:sz w:val="32"/>
      <w:szCs w:val="32"/>
      <w:lang w:eastAsia="en-US"/>
    </w:rPr>
  </w:style>
  <w:style w:type="paragraph" w:styleId="EnvelopeAddress">
    <w:name w:val="envelope address"/>
    <w:basedOn w:val="Normal"/>
    <w:rsid w:val="005F6C8E"/>
    <w:pPr>
      <w:framePr w:w="7920" w:h="1980" w:hRule="exact" w:hSpace="180" w:wrap="auto" w:hAnchor="page" w:xAlign="center" w:yAlign="bottom"/>
      <w:ind w:left="2880"/>
    </w:pPr>
    <w:rPr>
      <w:rFonts w:ascii="Arial" w:hAnsi="Arial" w:cs="Arial"/>
      <w:sz w:val="24"/>
      <w:szCs w:val="24"/>
    </w:rPr>
  </w:style>
  <w:style w:type="numbering" w:customStyle="1" w:styleId="NoList1">
    <w:name w:val="No List1"/>
    <w:next w:val="NoList"/>
    <w:uiPriority w:val="99"/>
    <w:semiHidden/>
    <w:unhideWhenUsed/>
    <w:rsid w:val="005F6C8E"/>
  </w:style>
  <w:style w:type="character" w:customStyle="1" w:styleId="Heading1Char">
    <w:name w:val="Heading 1 Char"/>
    <w:aliases w:val="Table_G Char"/>
    <w:link w:val="Heading1"/>
    <w:uiPriority w:val="99"/>
    <w:locked/>
    <w:rsid w:val="005F6C8E"/>
    <w:rPr>
      <w:lang w:eastAsia="en-US"/>
    </w:rPr>
  </w:style>
  <w:style w:type="character" w:customStyle="1" w:styleId="Heading2Char">
    <w:name w:val="Heading 2 Char"/>
    <w:link w:val="Heading2"/>
    <w:uiPriority w:val="99"/>
    <w:locked/>
    <w:rsid w:val="005F6C8E"/>
    <w:rPr>
      <w:lang w:eastAsia="en-US"/>
    </w:rPr>
  </w:style>
  <w:style w:type="character" w:customStyle="1" w:styleId="Heading3Char">
    <w:name w:val="Heading 3 Char"/>
    <w:link w:val="Heading3"/>
    <w:uiPriority w:val="9"/>
    <w:locked/>
    <w:rsid w:val="005F6C8E"/>
    <w:rPr>
      <w:lang w:eastAsia="en-US"/>
    </w:rPr>
  </w:style>
  <w:style w:type="paragraph" w:styleId="ListParagraph">
    <w:name w:val="List Paragraph"/>
    <w:basedOn w:val="Normal"/>
    <w:uiPriority w:val="34"/>
    <w:qFormat/>
    <w:rsid w:val="005F6C8E"/>
    <w:pPr>
      <w:numPr>
        <w:numId w:val="26"/>
      </w:numPr>
      <w:ind w:left="720" w:firstLine="0"/>
    </w:pPr>
  </w:style>
  <w:style w:type="paragraph" w:styleId="CommentSubject">
    <w:name w:val="annotation subject"/>
    <w:basedOn w:val="CommentText"/>
    <w:next w:val="CommentText"/>
    <w:link w:val="CommentSubjectChar"/>
    <w:uiPriority w:val="99"/>
    <w:rsid w:val="005F6C8E"/>
    <w:pPr>
      <w:suppressAutoHyphens w:val="0"/>
      <w:spacing w:after="200" w:line="240" w:lineRule="auto"/>
    </w:pPr>
    <w:rPr>
      <w:rFonts w:ascii="Calibri" w:eastAsia="SimSun" w:hAnsi="Calibri"/>
      <w:b/>
      <w:bCs/>
      <w:lang w:eastAsia="en-GB"/>
    </w:rPr>
  </w:style>
  <w:style w:type="character" w:customStyle="1" w:styleId="CommentSubjectChar">
    <w:name w:val="Comment Subject Char"/>
    <w:basedOn w:val="CommentTextChar"/>
    <w:link w:val="CommentSubject"/>
    <w:uiPriority w:val="99"/>
    <w:rsid w:val="005F6C8E"/>
    <w:rPr>
      <w:rFonts w:ascii="Calibri" w:eastAsia="SimSun" w:hAnsi="Calibri"/>
      <w:b/>
      <w:bCs/>
      <w:lang w:eastAsia="en-US"/>
    </w:rPr>
  </w:style>
  <w:style w:type="character" w:customStyle="1" w:styleId="CommentTextChar1">
    <w:name w:val="Comment Text Char1"/>
    <w:link w:val="CommentText"/>
    <w:uiPriority w:val="99"/>
    <w:rsid w:val="005F6C8E"/>
    <w:rPr>
      <w:lang w:eastAsia="en-US"/>
    </w:rPr>
  </w:style>
  <w:style w:type="character" w:customStyle="1" w:styleId="HeaderChar">
    <w:name w:val="Header Char"/>
    <w:aliases w:val="6_G Char"/>
    <w:link w:val="Header"/>
    <w:uiPriority w:val="99"/>
    <w:rsid w:val="005F6C8E"/>
    <w:rPr>
      <w:b/>
      <w:sz w:val="18"/>
      <w:lang w:eastAsia="en-US"/>
    </w:rPr>
  </w:style>
  <w:style w:type="character" w:customStyle="1" w:styleId="FooterChar">
    <w:name w:val="Footer Char"/>
    <w:aliases w:val="3_G Char"/>
    <w:link w:val="Footer"/>
    <w:uiPriority w:val="99"/>
    <w:rsid w:val="005F6C8E"/>
    <w:rPr>
      <w:sz w:val="16"/>
      <w:lang w:eastAsia="en-US"/>
    </w:rPr>
  </w:style>
  <w:style w:type="character" w:customStyle="1" w:styleId="FootnoteTextChar">
    <w:name w:val="Footnote Text Char"/>
    <w:aliases w:val="5_G Char,Fußnote Char,Footnote Text Char Char Char,single space Char,footnote text Char"/>
    <w:link w:val="FootnoteText"/>
    <w:rsid w:val="005F6C8E"/>
    <w:rPr>
      <w:sz w:val="18"/>
      <w:lang w:eastAsia="en-US"/>
    </w:rPr>
  </w:style>
  <w:style w:type="character" w:customStyle="1" w:styleId="hps">
    <w:name w:val="hps"/>
    <w:rsid w:val="005F6C8E"/>
  </w:style>
  <w:style w:type="paragraph" w:styleId="Revision">
    <w:name w:val="Revision"/>
    <w:hidden/>
    <w:uiPriority w:val="99"/>
    <w:semiHidden/>
    <w:rsid w:val="005F6C8E"/>
    <w:rPr>
      <w:rFonts w:ascii="Calibri" w:eastAsia="SimSun" w:hAnsi="Calibri" w:cs="Arial"/>
      <w:sz w:val="22"/>
      <w:szCs w:val="22"/>
    </w:rPr>
  </w:style>
  <w:style w:type="paragraph" w:customStyle="1" w:styleId="Pa14">
    <w:name w:val="Pa14"/>
    <w:basedOn w:val="Normal"/>
    <w:next w:val="Normal"/>
    <w:uiPriority w:val="99"/>
    <w:rsid w:val="005F6C8E"/>
    <w:pPr>
      <w:suppressAutoHyphens w:val="0"/>
      <w:autoSpaceDE w:val="0"/>
      <w:autoSpaceDN w:val="0"/>
      <w:adjustRightInd w:val="0"/>
      <w:spacing w:line="181" w:lineRule="atLeast"/>
    </w:pPr>
    <w:rPr>
      <w:rFonts w:ascii="Palatino LT Std" w:eastAsia="SimSun" w:hAnsi="Palatino LT Std" w:cs="Arial"/>
      <w:sz w:val="24"/>
      <w:szCs w:val="24"/>
      <w:lang w:val="es-ES" w:eastAsia="es-ES"/>
    </w:rPr>
  </w:style>
  <w:style w:type="character" w:customStyle="1" w:styleId="SingleTxtGChar">
    <w:name w:val="_ Single Txt_G Char"/>
    <w:link w:val="SingleTxtG"/>
    <w:rsid w:val="005F6C8E"/>
    <w:rPr>
      <w:lang w:eastAsia="en-US"/>
    </w:rPr>
  </w:style>
  <w:style w:type="paragraph" w:customStyle="1" w:styleId="Default">
    <w:name w:val="Default"/>
    <w:rsid w:val="005F6C8E"/>
    <w:pPr>
      <w:autoSpaceDE w:val="0"/>
      <w:autoSpaceDN w:val="0"/>
      <w:adjustRightInd w:val="0"/>
    </w:pPr>
    <w:rPr>
      <w:rFonts w:ascii="Tahoma" w:hAnsi="Tahoma" w:cs="Tahoma"/>
      <w:color w:val="000000"/>
      <w:sz w:val="24"/>
      <w:szCs w:val="24"/>
      <w:lang w:val="en-US" w:eastAsia="en-US"/>
    </w:rPr>
  </w:style>
  <w:style w:type="character" w:customStyle="1" w:styleId="apple-converted-space">
    <w:name w:val="apple-converted-space"/>
    <w:basedOn w:val="DefaultParagraphFont"/>
    <w:rsid w:val="005F6C8E"/>
  </w:style>
  <w:style w:type="paragraph" w:customStyle="1" w:styleId="style171">
    <w:name w:val="style171"/>
    <w:basedOn w:val="Normal"/>
    <w:rsid w:val="005F6C8E"/>
    <w:pPr>
      <w:suppressAutoHyphens w:val="0"/>
      <w:spacing w:before="100" w:beforeAutospacing="1" w:after="100" w:afterAutospacing="1" w:line="240" w:lineRule="auto"/>
    </w:pPr>
    <w:rPr>
      <w:sz w:val="24"/>
      <w:szCs w:val="24"/>
      <w:lang w:eastAsia="en-GB"/>
    </w:rPr>
  </w:style>
  <w:style w:type="paragraph" w:customStyle="1" w:styleId="SingleTxt">
    <w:name w:val="__Single Txt"/>
    <w:basedOn w:val="Normal"/>
    <w:rsid w:val="005F6C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A6">
    <w:name w:val="A6"/>
    <w:uiPriority w:val="99"/>
    <w:rsid w:val="005F6C8E"/>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edex.e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notes.xml.rels><?xml version="1.0" encoding="UTF-8" standalone="yes"?>
<Relationships xmlns="http://schemas.openxmlformats.org/package/2006/relationships"><Relationship Id="rId3" Type="http://schemas.openxmlformats.org/officeDocument/2006/relationships/hyperlink" Target="file:///\\UNECE-DATA\DATA\GROUPS\Ehlm\Editorial\in%20preparation\www.unece.org\index.php%3fid=38163" TargetMode="External"/><Relationship Id="rId2" Type="http://schemas.openxmlformats.org/officeDocument/2006/relationships/hyperlink" Target="file:///\\UNECE-DATA\DATA\GROUPS\Ehlm\Editorial\in%20preparation\www.unece.org\index.php%3fid=35032" TargetMode="External"/><Relationship Id="rId1" Type="http://schemas.openxmlformats.org/officeDocument/2006/relationships/hyperlink" Target="file:///\\UNECE-DATA\DATA\GROUPS\Ehlm\Editorial\in%20preparation\www.unece.org\index.php%3fid=32257" TargetMode="External"/><Relationship Id="rId6" Type="http://schemas.openxmlformats.org/officeDocument/2006/relationships/hyperlink" Target="http://www.unep.org/resourceefficiency/Policy/SCPPoliciesandthe10YFP/The10YearFrameworkProgrammesonSCP/GlobalSCPClearinghouse/tabid/102573/Default.aspx" TargetMode="External"/><Relationship Id="rId5" Type="http://schemas.openxmlformats.org/officeDocument/2006/relationships/hyperlink" Target="http://www.unece.org/env/treaties/welcome." TargetMode="External"/><Relationship Id="rId4" Type="http://schemas.openxmlformats.org/officeDocument/2006/relationships/hyperlink" Target="http://dx.doi.org/10.1787/9789264087637-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ichuk\AppData\Roaming\Microsoft\Templates\ECE+PlainPage\ECE_E.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wyrowski\Documents\luki%20praca\TRANSPORT\URBAN%20TRANSPORT%20INDICATORS%20ANALYSIS_LW_review.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'выданные кредиты'!$B$5</c:f>
              <c:strCache>
                <c:ptCount val="1"/>
                <c:pt idx="0">
                  <c:v>Loan portfolio of commercial banks (for renovation purposes), million euros</c:v>
                </c:pt>
              </c:strCache>
            </c:strRef>
          </c:tx>
          <c:invertIfNegative val="0"/>
          <c:cat>
            <c:numRef>
              <c:f>'выданные кредиты'!$C$4:$M$4</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'выданные кредиты'!$C$5:$M$5</c:f>
              <c:numCache>
                <c:formatCode>General</c:formatCode>
                <c:ptCount val="11"/>
                <c:pt idx="0">
                  <c:v>1.7</c:v>
                </c:pt>
                <c:pt idx="1">
                  <c:v>6</c:v>
                </c:pt>
                <c:pt idx="2">
                  <c:v>14.6</c:v>
                </c:pt>
                <c:pt idx="3">
                  <c:v>30</c:v>
                </c:pt>
                <c:pt idx="4">
                  <c:v>62</c:v>
                </c:pt>
                <c:pt idx="5">
                  <c:v>119.9</c:v>
                </c:pt>
                <c:pt idx="6">
                  <c:v>169</c:v>
                </c:pt>
                <c:pt idx="7">
                  <c:v>209.4</c:v>
                </c:pt>
                <c:pt idx="8">
                  <c:v>208.3</c:v>
                </c:pt>
                <c:pt idx="9">
                  <c:v>189</c:v>
                </c:pt>
                <c:pt idx="10">
                  <c:v>199.8</c:v>
                </c:pt>
              </c:numCache>
            </c:numRef>
          </c:val>
        </c:ser>
        <c:ser>
          <c:idx val="1"/>
          <c:order val="1"/>
          <c:tx>
            <c:strRef>
              <c:f>'выданные кредиты'!$B$6</c:f>
              <c:strCache>
                <c:ptCount val="1"/>
                <c:pt idx="0">
                  <c:v>Loans originated for renovation of apartment buildings, million euros </c:v>
                </c:pt>
              </c:strCache>
            </c:strRef>
          </c:tx>
          <c:invertIfNegative val="0"/>
          <c:cat>
            <c:numRef>
              <c:f>'выданные кредиты'!$C$4:$M$4</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'выданные кредиты'!$C$6:$M$6</c:f>
              <c:numCache>
                <c:formatCode>General</c:formatCode>
                <c:ptCount val="11"/>
                <c:pt idx="0">
                  <c:v>1.7</c:v>
                </c:pt>
                <c:pt idx="1">
                  <c:v>4.3</c:v>
                </c:pt>
                <c:pt idx="2">
                  <c:v>8.6</c:v>
                </c:pt>
                <c:pt idx="3">
                  <c:v>15.4</c:v>
                </c:pt>
                <c:pt idx="4">
                  <c:v>32</c:v>
                </c:pt>
                <c:pt idx="5">
                  <c:v>57.9</c:v>
                </c:pt>
                <c:pt idx="6">
                  <c:v>49.1</c:v>
                </c:pt>
                <c:pt idx="7">
                  <c:v>63</c:v>
                </c:pt>
                <c:pt idx="8">
                  <c:v>19.2</c:v>
                </c:pt>
                <c:pt idx="9">
                  <c:v>19.100000000000001</c:v>
                </c:pt>
                <c:pt idx="10">
                  <c:v>22.1</c:v>
                </c:pt>
              </c:numCache>
            </c:numRef>
          </c:val>
        </c:ser>
        <c:dLbls>
          <c:showLegendKey val="0"/>
          <c:showVal val="0"/>
          <c:showCatName val="0"/>
          <c:showSerName val="0"/>
          <c:showPercent val="0"/>
          <c:showBubbleSize val="0"/>
        </c:dLbls>
        <c:gapWidth val="150"/>
        <c:axId val="61783552"/>
        <c:axId val="195634880"/>
      </c:barChart>
      <c:catAx>
        <c:axId val="61783552"/>
        <c:scaling>
          <c:orientation val="minMax"/>
        </c:scaling>
        <c:delete val="0"/>
        <c:axPos val="b"/>
        <c:numFmt formatCode="General" sourceLinked="1"/>
        <c:majorTickMark val="out"/>
        <c:minorTickMark val="none"/>
        <c:tickLblPos val="nextTo"/>
        <c:txPr>
          <a:bodyPr/>
          <a:lstStyle/>
          <a:p>
            <a:pPr>
              <a:defRPr b="1"/>
            </a:pPr>
            <a:endParaRPr lang="en-US"/>
          </a:p>
        </c:txPr>
        <c:crossAx val="195634880"/>
        <c:crosses val="autoZero"/>
        <c:auto val="1"/>
        <c:lblAlgn val="ctr"/>
        <c:lblOffset val="100"/>
        <c:noMultiLvlLbl val="0"/>
      </c:catAx>
      <c:valAx>
        <c:axId val="195634880"/>
        <c:scaling>
          <c:orientation val="minMax"/>
        </c:scaling>
        <c:delete val="0"/>
        <c:axPos val="l"/>
        <c:majorGridlines/>
        <c:title>
          <c:tx>
            <c:rich>
              <a:bodyPr/>
              <a:lstStyle/>
              <a:p>
                <a:pPr>
                  <a:defRPr sz="1001" b="1" i="0" u="none" strike="noStrike" baseline="0">
                    <a:solidFill>
                      <a:srgbClr val="000000"/>
                    </a:solidFill>
                    <a:latin typeface="Calibri"/>
                    <a:ea typeface="Calibri"/>
                    <a:cs typeface="Calibri"/>
                  </a:defRPr>
                </a:pPr>
                <a:r>
                  <a:rPr lang="en-GB"/>
                  <a:t>Millions</a:t>
                </a:r>
                <a:r>
                  <a:rPr lang="en-GB" baseline="0"/>
                  <a:t> of euros</a:t>
                </a:r>
                <a:endParaRPr lang="en-GB"/>
              </a:p>
            </c:rich>
          </c:tx>
          <c:overlay val="0"/>
        </c:title>
        <c:numFmt formatCode="General" sourceLinked="1"/>
        <c:majorTickMark val="out"/>
        <c:minorTickMark val="none"/>
        <c:tickLblPos val="nextTo"/>
        <c:txPr>
          <a:bodyPr/>
          <a:lstStyle/>
          <a:p>
            <a:pPr>
              <a:defRPr b="1"/>
            </a:pPr>
            <a:endParaRPr lang="en-US"/>
          </a:p>
        </c:txPr>
        <c:crossAx val="61783552"/>
        <c:crosses val="autoZero"/>
        <c:crossBetween val="between"/>
      </c:valAx>
    </c:plotArea>
    <c:legend>
      <c:legendPos val="b"/>
      <c:overlay val="0"/>
      <c:txPr>
        <a:bodyPr/>
        <a:lstStyle/>
        <a:p>
          <a:pPr>
            <a:defRPr sz="1001" b="1"/>
          </a:pPr>
          <a:endParaRPr lang="en-US"/>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19876778678657"/>
          <c:y val="3.4891639487867283E-2"/>
          <c:w val="0.84109176256814056"/>
          <c:h val="0.81962511761501511"/>
        </c:manualLayout>
      </c:layout>
      <c:scatterChart>
        <c:scatterStyle val="lineMarker"/>
        <c:varyColors val="0"/>
        <c:ser>
          <c:idx val="0"/>
          <c:order val="0"/>
          <c:spPr>
            <a:ln w="28575">
              <a:noFill/>
            </a:ln>
          </c:spPr>
          <c:marker>
            <c:symbol val="circle"/>
            <c:size val="5"/>
          </c:marker>
          <c:dLbls>
            <c:dLbl>
              <c:idx val="0"/>
              <c:tx>
                <c:rich>
                  <a:bodyPr/>
                  <a:lstStyle/>
                  <a:p>
                    <a:pPr>
                      <a:defRPr sz="800" b="0" i="0" strike="noStrike">
                        <a:latin typeface="Calibri"/>
                      </a:defRPr>
                    </a:pPr>
                    <a:r>
                      <a:rPr lang="en-GB"/>
                      <a:t>Prague</a:t>
                    </a:r>
                  </a:p>
                </c:rich>
              </c:tx>
              <c:spPr/>
              <c:dLblPos val="r"/>
              <c:showLegendKey val="0"/>
              <c:showVal val="1"/>
              <c:showCatName val="0"/>
              <c:showSerName val="0"/>
              <c:showPercent val="0"/>
              <c:showBubbleSize val="0"/>
            </c:dLbl>
            <c:dLbl>
              <c:idx val="1"/>
              <c:tx>
                <c:strRef>
                  <c:f>'Overall quality 1'!$R$15</c:f>
                  <c:strCache>
                    <c:ptCount val="1"/>
                    <c:pt idx="0">
                      <c:v>Amsterdam</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2"/>
              <c:tx>
                <c:strRef>
                  <c:f>'Overall quality 1'!$R$16</c:f>
                  <c:strCache>
                    <c:ptCount val="1"/>
                    <c:pt idx="0">
                      <c:v>Bucharest</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3"/>
              <c:tx>
                <c:strRef>
                  <c:f>'Overall quality 1'!$R$17</c:f>
                  <c:strCache>
                    <c:ptCount val="1"/>
                    <c:pt idx="0">
                      <c:v>Bratislava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4"/>
              <c:layout>
                <c:manualLayout>
                  <c:x val="-4.7939572438941466E-2"/>
                  <c:y val="2.0214430743326895E-2"/>
                </c:manualLayout>
              </c:layout>
              <c:tx>
                <c:strRef>
                  <c:f>'Overall quality 1'!$R$18</c:f>
                  <c:strCache>
                    <c:ptCount val="1"/>
                    <c:pt idx="0">
                      <c:v>Moscow</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5"/>
              <c:tx>
                <c:strRef>
                  <c:f>'Overall quality 1'!$R$19</c:f>
                  <c:strCache>
                    <c:ptCount val="1"/>
                    <c:pt idx="0">
                      <c:v>Sofia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6"/>
              <c:tx>
                <c:strRef>
                  <c:f>'Overall quality 1'!$R$20</c:f>
                  <c:strCache>
                    <c:ptCount val="1"/>
                    <c:pt idx="0">
                      <c:v>Ottawa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7"/>
              <c:tx>
                <c:strRef>
                  <c:f>'Overall quality 1'!$R$21</c:f>
                  <c:strCache>
                    <c:ptCount val="1"/>
                    <c:pt idx="0">
                      <c:v>Rome</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8"/>
              <c:tx>
                <c:strRef>
                  <c:f>'Overall quality 1'!$R$24</c:f>
                  <c:strCache>
                    <c:ptCount val="1"/>
                    <c:pt idx="0">
                      <c:v>Chisinau</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9"/>
              <c:tx>
                <c:strRef>
                  <c:f>'Overall quality 1'!$R$25</c:f>
                  <c:strCache>
                    <c:ptCount val="1"/>
                    <c:pt idx="0">
                      <c:v>Tallinn</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10"/>
              <c:tx>
                <c:strRef>
                  <c:f>'Overall quality 1'!$R$26</c:f>
                  <c:strCache>
                    <c:ptCount val="1"/>
                    <c:pt idx="0">
                      <c:v>Tbilisi</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11"/>
              <c:tx>
                <c:strRef>
                  <c:f>'Overall quality 1'!$R$27</c:f>
                  <c:strCache>
                    <c:ptCount val="1"/>
                    <c:pt idx="0">
                      <c:v>Bern</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12"/>
              <c:tx>
                <c:strRef>
                  <c:f>'Overall quality 1'!$R$28</c:f>
                  <c:strCache>
                    <c:ptCount val="1"/>
                    <c:pt idx="0">
                      <c:v>Zagreb</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13"/>
              <c:tx>
                <c:strRef>
                  <c:f>'Overall quality 1'!$R$29</c:f>
                  <c:strCache>
                    <c:ptCount val="1"/>
                    <c:pt idx="0">
                      <c:v>Minsk</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14"/>
              <c:tx>
                <c:strRef>
                  <c:f>'Overall quality 1'!$R$30</c:f>
                  <c:strCache>
                    <c:ptCount val="1"/>
                    <c:pt idx="0">
                      <c:v>Reykjavik</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15"/>
              <c:tx>
                <c:strRef>
                  <c:f>'Overall quality 1'!$R$31</c:f>
                  <c:strCache>
                    <c:ptCount val="1"/>
                    <c:pt idx="0">
                      <c:v>Ljubljana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16"/>
              <c:tx>
                <c:strRef>
                  <c:f>'Overall quality 1'!$R$32</c:f>
                  <c:strCache>
                    <c:ptCount val="1"/>
                    <c:pt idx="0">
                      <c:v>Riga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17"/>
              <c:tx>
                <c:strRef>
                  <c:f>'Overall quality 1'!$R$33</c:f>
                  <c:strCache>
                    <c:ptCount val="1"/>
                    <c:pt idx="0">
                      <c:v>Belgrade</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18"/>
              <c:tx>
                <c:strRef>
                  <c:f>'Overall quality 1'!$R$34</c:f>
                  <c:strCache>
                    <c:ptCount val="1"/>
                    <c:pt idx="0">
                      <c:v>Oslo</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19"/>
              <c:tx>
                <c:strRef>
                  <c:f>'Overall quality 1'!$R$35</c:f>
                  <c:strCache>
                    <c:ptCount val="1"/>
                    <c:pt idx="0">
                      <c:v>Baku</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20"/>
              <c:tx>
                <c:strRef>
                  <c:f>'Overall quality 1'!$R$36</c:f>
                  <c:strCache>
                    <c:ptCount val="1"/>
                    <c:pt idx="0">
                      <c:v>Vilnius</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21"/>
              <c:tx>
                <c:strRef>
                  <c:f>'Overall quality 1'!$R$37</c:f>
                  <c:strCache>
                    <c:ptCount val="1"/>
                    <c:pt idx="0">
                      <c:v>Warsaw</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22"/>
              <c:tx>
                <c:strRef>
                  <c:f>'Overall quality 1'!$R$38</c:f>
                  <c:strCache>
                    <c:ptCount val="1"/>
                    <c:pt idx="0">
                      <c:v>Brussels</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23"/>
              <c:layout>
                <c:manualLayout>
                  <c:x val="-8.1424936386768447E-3"/>
                  <c:y val="9.433962264150943E-3"/>
                </c:manualLayout>
              </c:layout>
              <c:tx>
                <c:strRef>
                  <c:f>'Overall quality 1'!$R$39</c:f>
                  <c:strCache>
                    <c:ptCount val="1"/>
                    <c:pt idx="0">
                      <c:v>Athens</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24"/>
              <c:tx>
                <c:strRef>
                  <c:f>'Overall quality 1'!$R$40</c:f>
                  <c:strCache>
                    <c:ptCount val="1"/>
                    <c:pt idx="0">
                      <c:v>Budapest</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25"/>
              <c:tx>
                <c:strRef>
                  <c:f>'Overall quality 1'!$R$41</c:f>
                  <c:strCache>
                    <c:ptCount val="1"/>
                    <c:pt idx="0">
                      <c:v>Astana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26"/>
              <c:tx>
                <c:strRef>
                  <c:f>'Overall quality 1'!$R$42</c:f>
                  <c:strCache>
                    <c:ptCount val="1"/>
                    <c:pt idx="0">
                      <c:v>Ankara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txPr>
              <a:bodyPr/>
              <a:lstStyle/>
              <a:p>
                <a:pPr>
                  <a:defRPr sz="800"/>
                </a:pPr>
                <a:endParaRPr lang="en-US"/>
              </a:p>
            </c:txPr>
            <c:dLblPos val="r"/>
            <c:showLegendKey val="0"/>
            <c:showVal val="1"/>
            <c:showCatName val="0"/>
            <c:showSerName val="0"/>
            <c:showPercent val="0"/>
            <c:showBubbleSize val="0"/>
            <c:showLeaderLines val="0"/>
          </c:dLbls>
          <c:trendline>
            <c:trendlineType val="linear"/>
            <c:dispRSqr val="0"/>
            <c:dispEq val="0"/>
          </c:trendline>
          <c:xVal>
            <c:numRef>
              <c:f>'Overall quality 1'!$S$14:$S$42</c:f>
              <c:numCache>
                <c:formatCode>0%</c:formatCode>
                <c:ptCount val="27"/>
                <c:pt idx="0">
                  <c:v>0.72222222222222221</c:v>
                </c:pt>
                <c:pt idx="1">
                  <c:v>0.83333333333333326</c:v>
                </c:pt>
                <c:pt idx="2">
                  <c:v>0.83333333333333326</c:v>
                </c:pt>
                <c:pt idx="3">
                  <c:v>0.83333333333333326</c:v>
                </c:pt>
                <c:pt idx="4">
                  <c:v>0.82777777777777772</c:v>
                </c:pt>
                <c:pt idx="5">
                  <c:v>0.84259259259259256</c:v>
                </c:pt>
                <c:pt idx="6">
                  <c:v>0.71111111111111103</c:v>
                </c:pt>
                <c:pt idx="7">
                  <c:v>0.77777777777777768</c:v>
                </c:pt>
                <c:pt idx="8">
                  <c:v>0.6</c:v>
                </c:pt>
                <c:pt idx="9">
                  <c:v>0.93499999999999994</c:v>
                </c:pt>
                <c:pt idx="10">
                  <c:v>0.71333333333333337</c:v>
                </c:pt>
                <c:pt idx="11">
                  <c:v>0.78333333333333333</c:v>
                </c:pt>
                <c:pt idx="12">
                  <c:v>0.76833333333333342</c:v>
                </c:pt>
                <c:pt idx="13">
                  <c:v>0.87</c:v>
                </c:pt>
                <c:pt idx="14">
                  <c:v>0.6</c:v>
                </c:pt>
                <c:pt idx="15">
                  <c:v>0.55000000000000004</c:v>
                </c:pt>
                <c:pt idx="16">
                  <c:v>0.85166666666666668</c:v>
                </c:pt>
                <c:pt idx="17">
                  <c:v>0.77500000000000002</c:v>
                </c:pt>
                <c:pt idx="18">
                  <c:v>0.755</c:v>
                </c:pt>
                <c:pt idx="19">
                  <c:v>0.48750000000000004</c:v>
                </c:pt>
                <c:pt idx="20">
                  <c:v>0.70333333333333337</c:v>
                </c:pt>
                <c:pt idx="21">
                  <c:v>0.93500000000000005</c:v>
                </c:pt>
                <c:pt idx="22">
                  <c:v>0.87000000000000011</c:v>
                </c:pt>
                <c:pt idx="23">
                  <c:v>0.83500000000000008</c:v>
                </c:pt>
                <c:pt idx="24">
                  <c:v>0.81666666666666665</c:v>
                </c:pt>
                <c:pt idx="25">
                  <c:v>0.54</c:v>
                </c:pt>
                <c:pt idx="26">
                  <c:v>0.61</c:v>
                </c:pt>
              </c:numCache>
            </c:numRef>
          </c:xVal>
          <c:yVal>
            <c:numRef>
              <c:f>'Overall quality 1'!$T$14:$T$42</c:f>
              <c:numCache>
                <c:formatCode>General</c:formatCode>
                <c:ptCount val="27"/>
                <c:pt idx="0">
                  <c:v>334.31704387350726</c:v>
                </c:pt>
                <c:pt idx="1">
                  <c:v>176.65992106096533</c:v>
                </c:pt>
                <c:pt idx="2">
                  <c:v>413.6083256350887</c:v>
                </c:pt>
                <c:pt idx="3">
                  <c:v>458.68085106382978</c:v>
                </c:pt>
                <c:pt idx="4">
                  <c:v>453.71896551724137</c:v>
                </c:pt>
                <c:pt idx="5">
                  <c:v>341.8902295592755</c:v>
                </c:pt>
                <c:pt idx="6">
                  <c:v>113.52054866304556</c:v>
                </c:pt>
                <c:pt idx="7">
                  <c:v>528.57369526960724</c:v>
                </c:pt>
                <c:pt idx="8">
                  <c:v>486.32837339437873</c:v>
                </c:pt>
                <c:pt idx="9">
                  <c:v>336.39878022426586</c:v>
                </c:pt>
                <c:pt idx="10">
                  <c:v>203.41218332005874</c:v>
                </c:pt>
                <c:pt idx="11">
                  <c:v>268.76771653543307</c:v>
                </c:pt>
                <c:pt idx="12">
                  <c:v>220.28440160735389</c:v>
                </c:pt>
                <c:pt idx="13">
                  <c:v>438.42105263157896</c:v>
                </c:pt>
                <c:pt idx="14">
                  <c:v>44.117647058823529</c:v>
                </c:pt>
                <c:pt idx="15">
                  <c:v>77.569239716375506</c:v>
                </c:pt>
                <c:pt idx="16">
                  <c:v>214.61636968593524</c:v>
                </c:pt>
                <c:pt idx="17">
                  <c:v>370.23857204840186</c:v>
                </c:pt>
                <c:pt idx="18">
                  <c:v>249.71984036796772</c:v>
                </c:pt>
                <c:pt idx="19">
                  <c:v>362.09254111105878</c:v>
                </c:pt>
                <c:pt idx="20">
                  <c:v>373.96042443361057</c:v>
                </c:pt>
                <c:pt idx="21">
                  <c:v>510.69549999999998</c:v>
                </c:pt>
                <c:pt idx="22">
                  <c:v>286.28472222222223</c:v>
                </c:pt>
                <c:pt idx="23">
                  <c:v>205.55686031101644</c:v>
                </c:pt>
                <c:pt idx="24">
                  <c:v>669.32729805884685</c:v>
                </c:pt>
                <c:pt idx="25">
                  <c:v>196.50067294751008</c:v>
                </c:pt>
                <c:pt idx="26">
                  <c:v>145.55692937874537</c:v>
                </c:pt>
              </c:numCache>
            </c:numRef>
          </c:yVal>
          <c:smooth val="0"/>
        </c:ser>
        <c:dLbls>
          <c:showLegendKey val="0"/>
          <c:showVal val="0"/>
          <c:showCatName val="0"/>
          <c:showSerName val="0"/>
          <c:showPercent val="0"/>
          <c:showBubbleSize val="0"/>
        </c:dLbls>
        <c:axId val="195637760"/>
        <c:axId val="195638336"/>
      </c:scatterChart>
      <c:valAx>
        <c:axId val="195637760"/>
        <c:scaling>
          <c:orientation val="minMax"/>
          <c:min val="0.4"/>
        </c:scaling>
        <c:delete val="0"/>
        <c:axPos val="b"/>
        <c:title>
          <c:tx>
            <c:rich>
              <a:bodyPr/>
              <a:lstStyle/>
              <a:p>
                <a:pPr>
                  <a:defRPr/>
                </a:pPr>
                <a:r>
                  <a:rPr lang="en-US"/>
                  <a:t>Public transport quality</a:t>
                </a:r>
              </a:p>
            </c:rich>
          </c:tx>
          <c:overlay val="0"/>
        </c:title>
        <c:numFmt formatCode="0%" sourceLinked="1"/>
        <c:majorTickMark val="none"/>
        <c:minorTickMark val="none"/>
        <c:tickLblPos val="nextTo"/>
        <c:crossAx val="195638336"/>
        <c:crosses val="autoZero"/>
        <c:crossBetween val="midCat"/>
        <c:majorUnit val="0.2"/>
      </c:valAx>
      <c:valAx>
        <c:axId val="195638336"/>
        <c:scaling>
          <c:orientation val="minMax"/>
          <c:max val="700"/>
        </c:scaling>
        <c:delete val="0"/>
        <c:axPos val="l"/>
        <c:majorGridlines/>
        <c:title>
          <c:tx>
            <c:rich>
              <a:bodyPr/>
              <a:lstStyle/>
              <a:p>
                <a:pPr>
                  <a:defRPr/>
                </a:pPr>
                <a:r>
                  <a:rPr lang="en-US"/>
                  <a:t>Annual demand for public transport per capita</a:t>
                </a:r>
              </a:p>
            </c:rich>
          </c:tx>
          <c:overlay val="0"/>
        </c:title>
        <c:numFmt formatCode="General" sourceLinked="1"/>
        <c:majorTickMark val="none"/>
        <c:minorTickMark val="none"/>
        <c:tickLblPos val="nextTo"/>
        <c:crossAx val="195637760"/>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DB3A-980A-46D3-BDC5-0241BFA7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24</Pages>
  <Words>10149</Words>
  <Characters>57855</Characters>
  <Application>Microsoft Office Word</Application>
  <DocSecurity>0</DocSecurity>
  <Lines>482</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Ludmila Boichuk</dc:creator>
  <cp:lastModifiedBy>sochirca</cp:lastModifiedBy>
  <cp:revision>4</cp:revision>
  <cp:lastPrinted>2015-08-19T07:13:00Z</cp:lastPrinted>
  <dcterms:created xsi:type="dcterms:W3CDTF">2015-08-19T07:13:00Z</dcterms:created>
  <dcterms:modified xsi:type="dcterms:W3CDTF">2015-10-14T15:55:00Z</dcterms:modified>
</cp:coreProperties>
</file>